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charts/chart18.xml" ContentType="application/vnd.openxmlformats-officedocument.drawingml.chart+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8CD" w:rsidRDefault="00F838CD" w:rsidP="00F838CD"/>
    <w:p w:rsidR="00F838CD" w:rsidRDefault="00F838CD" w:rsidP="00F838CD">
      <w:pPr>
        <w:jc w:val="center"/>
      </w:pPr>
      <w:r>
        <w:rPr>
          <w:noProof/>
          <w:lang w:eastAsia="cs-CZ"/>
        </w:rPr>
        <w:drawing>
          <wp:inline distT="0" distB="0" distL="0" distR="0" wp14:anchorId="3A1C2D3D" wp14:editId="66005FD7">
            <wp:extent cx="1009650" cy="971550"/>
            <wp:effectExtent l="0" t="0" r="0" b="0"/>
            <wp:docPr id="519" name="Obrázek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9650" cy="971550"/>
                    </a:xfrm>
                    <a:prstGeom prst="rect">
                      <a:avLst/>
                    </a:prstGeom>
                    <a:noFill/>
                    <a:ln>
                      <a:noFill/>
                    </a:ln>
                  </pic:spPr>
                </pic:pic>
              </a:graphicData>
            </a:graphic>
          </wp:inline>
        </w:drawing>
      </w:r>
    </w:p>
    <w:p w:rsidR="00F838CD" w:rsidRDefault="00F838CD" w:rsidP="00F838CD">
      <w:pPr>
        <w:jc w:val="center"/>
      </w:pPr>
    </w:p>
    <w:p w:rsidR="00F838CD" w:rsidRDefault="00F838CD" w:rsidP="00F838CD">
      <w:pPr>
        <w:jc w:val="center"/>
      </w:pPr>
    </w:p>
    <w:p w:rsidR="00F838CD" w:rsidRDefault="00F838CD" w:rsidP="00F838CD">
      <w:pPr>
        <w:jc w:val="center"/>
      </w:pPr>
    </w:p>
    <w:p w:rsidR="00F838CD" w:rsidRPr="006C25CB" w:rsidRDefault="00F838CD" w:rsidP="00F838CD">
      <w:pPr>
        <w:spacing w:line="240" w:lineRule="auto"/>
        <w:jc w:val="center"/>
        <w:rPr>
          <w:caps/>
          <w:spacing w:val="60"/>
        </w:rPr>
      </w:pPr>
      <w:r w:rsidRPr="006C25CB">
        <w:rPr>
          <w:caps/>
          <w:spacing w:val="60"/>
        </w:rPr>
        <w:t>Ministerstvo práce a sociálních věcí</w:t>
      </w:r>
    </w:p>
    <w:p w:rsidR="00F838CD" w:rsidRDefault="00F838CD" w:rsidP="00F838CD">
      <w:pPr>
        <w:tabs>
          <w:tab w:val="left" w:pos="1134"/>
          <w:tab w:val="center" w:pos="4536"/>
          <w:tab w:val="right" w:pos="9072"/>
        </w:tabs>
        <w:spacing w:line="240" w:lineRule="auto"/>
        <w:jc w:val="center"/>
      </w:pPr>
      <w:r w:rsidRPr="006C25CB">
        <w:rPr>
          <w:noProof/>
          <w:lang w:eastAsia="cs-CZ"/>
        </w:rPr>
        <mc:AlternateContent>
          <mc:Choice Requires="wps">
            <w:drawing>
              <wp:anchor distT="0" distB="0" distL="114300" distR="114300" simplePos="0" relativeHeight="251681792" behindDoc="0" locked="0" layoutInCell="0" allowOverlap="1" wp14:anchorId="3769A8E0" wp14:editId="6B80772F">
                <wp:simplePos x="0" y="0"/>
                <wp:positionH relativeFrom="column">
                  <wp:posOffset>992505</wp:posOffset>
                </wp:positionH>
                <wp:positionV relativeFrom="paragraph">
                  <wp:posOffset>102235</wp:posOffset>
                </wp:positionV>
                <wp:extent cx="5054600" cy="0"/>
                <wp:effectExtent l="0" t="0" r="0" b="0"/>
                <wp:wrapNone/>
                <wp:docPr id="31" name="Přímá spojnic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Přímá spojnice 3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15pt,8.05pt" to="476.1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" o:allowincell="f"/>
            </w:pict>
          </mc:Fallback>
        </mc:AlternateContent>
      </w:r>
    </w:p>
    <w:p w:rsidR="00F838CD" w:rsidRDefault="00F838CD" w:rsidP="00F838CD"/>
    <w:p w:rsidR="00F838CD" w:rsidRDefault="00F838CD" w:rsidP="00F838CD"/>
    <w:p w:rsidR="00F838CD" w:rsidRDefault="00F838CD" w:rsidP="00F838CD"/>
    <w:p w:rsidR="00F838CD" w:rsidRPr="00B333BD" w:rsidRDefault="00F838CD" w:rsidP="00F838CD"/>
    <w:p w:rsidR="00F838CD" w:rsidRPr="00B333BD" w:rsidRDefault="00F838CD" w:rsidP="00F838CD">
      <w:pPr>
        <w:jc w:val="center"/>
        <w:rPr>
          <w:b/>
          <w:sz w:val="36"/>
        </w:rPr>
      </w:pPr>
      <w:r>
        <w:rPr>
          <w:b/>
          <w:sz w:val="36"/>
        </w:rPr>
        <w:t>ANALÝZA NABÍDKY A POPTÁVKY NA TRHU PRÁCE</w:t>
      </w:r>
    </w:p>
    <w:p w:rsidR="00F838CD" w:rsidRDefault="00F838CD" w:rsidP="00F838CD">
      <w:pPr>
        <w:jc w:val="center"/>
        <w:rPr>
          <w:b/>
          <w:sz w:val="36"/>
        </w:rPr>
      </w:pPr>
    </w:p>
    <w:p w:rsidR="00F838CD" w:rsidRDefault="00F838CD" w:rsidP="00F838CD">
      <w:pPr>
        <w:jc w:val="center"/>
        <w:rPr>
          <w:b/>
          <w:sz w:val="36"/>
        </w:rPr>
      </w:pPr>
    </w:p>
    <w:p w:rsidR="00F838CD" w:rsidRDefault="00F838CD" w:rsidP="00F838CD">
      <w:pPr>
        <w:jc w:val="center"/>
        <w:rPr>
          <w:b/>
          <w:sz w:val="36"/>
        </w:rPr>
      </w:pPr>
      <w:r>
        <w:rPr>
          <w:b/>
          <w:sz w:val="36"/>
        </w:rPr>
        <w:t>Část A</w:t>
      </w:r>
    </w:p>
    <w:p w:rsidR="00F838CD" w:rsidRPr="00B333BD" w:rsidRDefault="00F838CD" w:rsidP="00F838CD">
      <w:pPr>
        <w:jc w:val="center"/>
        <w:rPr>
          <w:b/>
          <w:sz w:val="36"/>
        </w:rPr>
      </w:pPr>
      <w:r>
        <w:rPr>
          <w:b/>
          <w:sz w:val="36"/>
        </w:rPr>
        <w:t>Analýza nabídky a poptávky</w:t>
      </w:r>
    </w:p>
    <w:p w:rsidR="00F838CD" w:rsidRPr="00B333BD" w:rsidRDefault="00F838CD" w:rsidP="00F838CD">
      <w:pPr>
        <w:jc w:val="center"/>
        <w:rPr>
          <w:b/>
          <w:sz w:val="36"/>
        </w:rPr>
      </w:pPr>
    </w:p>
    <w:p w:rsidR="00F838CD" w:rsidRPr="00B333BD" w:rsidRDefault="00F838CD" w:rsidP="00F838CD">
      <w:pPr>
        <w:jc w:val="center"/>
        <w:rPr>
          <w:b/>
          <w:sz w:val="36"/>
        </w:rPr>
      </w:pPr>
    </w:p>
    <w:p w:rsidR="00F838CD" w:rsidRDefault="00F838CD" w:rsidP="00F838CD">
      <w:pPr>
        <w:jc w:val="center"/>
        <w:rPr>
          <w:b/>
          <w:sz w:val="36"/>
        </w:rPr>
      </w:pPr>
      <w:r>
        <w:rPr>
          <w:b/>
          <w:sz w:val="36"/>
        </w:rPr>
        <w:t>říjen</w:t>
      </w:r>
      <w:r w:rsidRPr="00B333BD">
        <w:rPr>
          <w:b/>
          <w:sz w:val="36"/>
        </w:rPr>
        <w:t xml:space="preserve"> 2016</w:t>
      </w:r>
    </w:p>
    <w:p w:rsidR="00644621" w:rsidRDefault="00F838CD">
      <w:pPr>
        <w:spacing w:after="200"/>
        <w:jc w:val="left"/>
        <w:rPr>
          <w:b/>
          <w:sz w:val="36"/>
        </w:rPr>
        <w:sectPr w:rsidR="00644621" w:rsidSect="008358AE">
          <w:headerReference w:type="default" r:id="rId10"/>
          <w:footerReference w:type="default" r:id="rId11"/>
          <w:headerReference w:type="first" r:id="rId12"/>
          <w:footerReference w:type="first" r:id="rId13"/>
          <w:pgSz w:w="11906" w:h="16838"/>
          <w:pgMar w:top="1417" w:right="1417" w:bottom="1417" w:left="1417" w:header="708" w:footer="708" w:gutter="0"/>
          <w:cols w:space="708"/>
          <w:docGrid w:linePitch="360"/>
        </w:sectPr>
      </w:pPr>
      <w:r>
        <w:rPr>
          <w:b/>
          <w:sz w:val="36"/>
        </w:rPr>
        <w:br w:type="page"/>
      </w:r>
    </w:p>
    <w:p w:rsidR="00F838CD" w:rsidRDefault="00F838CD">
      <w:pPr>
        <w:spacing w:after="200"/>
        <w:jc w:val="left"/>
        <w:rPr>
          <w:b/>
          <w:sz w:val="36"/>
        </w:rPr>
      </w:pPr>
    </w:p>
    <w:sdt>
      <w:sdtPr>
        <w:rPr>
          <w:rFonts w:ascii="Arial" w:eastAsiaTheme="minorHAnsi" w:hAnsi="Arial" w:cstheme="minorBidi"/>
          <w:b w:val="0"/>
          <w:bCs w:val="0"/>
          <w:color w:val="auto"/>
          <w:sz w:val="24"/>
          <w:szCs w:val="22"/>
          <w:lang w:eastAsia="en-US"/>
        </w:rPr>
        <w:id w:val="1792247985"/>
        <w:docPartObj>
          <w:docPartGallery w:val="Table of Contents"/>
          <w:docPartUnique/>
        </w:docPartObj>
      </w:sdtPr>
      <w:sdtEndPr/>
      <w:sdtContent>
        <w:p w:rsidR="00C26633" w:rsidRDefault="00C26633">
          <w:pPr>
            <w:pStyle w:val="Nadpisobsahu"/>
          </w:pPr>
          <w:r>
            <w:t>Obsah</w:t>
          </w:r>
        </w:p>
        <w:p w:rsidR="00255C9E" w:rsidRDefault="00C26633">
          <w:pPr>
            <w:pStyle w:val="Obsah1"/>
            <w:tabs>
              <w:tab w:val="right" w:leader="dot" w:pos="9062"/>
            </w:tabs>
            <w:rPr>
              <w:rFonts w:asciiTheme="minorHAnsi" w:eastAsiaTheme="minorEastAsia" w:hAnsiTheme="minorHAnsi"/>
              <w:noProof/>
              <w:sz w:val="22"/>
              <w:lang w:eastAsia="cs-CZ"/>
            </w:rPr>
          </w:pPr>
          <w:r>
            <w:fldChar w:fldCharType="begin"/>
          </w:r>
          <w:r>
            <w:instrText xml:space="preserve"> TOC \o "1-3" \h \z \u </w:instrText>
          </w:r>
          <w:r>
            <w:fldChar w:fldCharType="separate"/>
          </w:r>
          <w:hyperlink w:anchor="_Toc465674767" w:history="1">
            <w:r w:rsidR="00255C9E" w:rsidRPr="005846E9">
              <w:rPr>
                <w:rStyle w:val="Hypertextovodkaz"/>
                <w:noProof/>
              </w:rPr>
              <w:t>Seznam grafů a tabulek</w:t>
            </w:r>
            <w:r w:rsidR="00255C9E">
              <w:rPr>
                <w:noProof/>
                <w:webHidden/>
              </w:rPr>
              <w:tab/>
            </w:r>
            <w:r w:rsidR="00255C9E">
              <w:rPr>
                <w:noProof/>
                <w:webHidden/>
              </w:rPr>
              <w:fldChar w:fldCharType="begin"/>
            </w:r>
            <w:r w:rsidR="00255C9E">
              <w:rPr>
                <w:noProof/>
                <w:webHidden/>
              </w:rPr>
              <w:instrText xml:space="preserve"> PAGEREF _Toc465674767 \h </w:instrText>
            </w:r>
            <w:r w:rsidR="00255C9E">
              <w:rPr>
                <w:noProof/>
                <w:webHidden/>
              </w:rPr>
            </w:r>
            <w:r w:rsidR="00255C9E">
              <w:rPr>
                <w:noProof/>
                <w:webHidden/>
              </w:rPr>
              <w:fldChar w:fldCharType="separate"/>
            </w:r>
            <w:r w:rsidR="005B254A">
              <w:rPr>
                <w:noProof/>
                <w:webHidden/>
              </w:rPr>
              <w:t>1</w:t>
            </w:r>
            <w:r w:rsidR="00255C9E">
              <w:rPr>
                <w:noProof/>
                <w:webHidden/>
              </w:rPr>
              <w:fldChar w:fldCharType="end"/>
            </w:r>
          </w:hyperlink>
        </w:p>
        <w:p w:rsidR="00255C9E" w:rsidRDefault="005B254A">
          <w:pPr>
            <w:pStyle w:val="Obsah1"/>
            <w:tabs>
              <w:tab w:val="left" w:pos="480"/>
              <w:tab w:val="right" w:leader="dot" w:pos="9062"/>
            </w:tabs>
            <w:rPr>
              <w:rFonts w:asciiTheme="minorHAnsi" w:eastAsiaTheme="minorEastAsia" w:hAnsiTheme="minorHAnsi"/>
              <w:noProof/>
              <w:sz w:val="22"/>
              <w:lang w:eastAsia="cs-CZ"/>
            </w:rPr>
          </w:pPr>
          <w:hyperlink w:anchor="_Toc465674768" w:history="1">
            <w:r w:rsidR="00255C9E" w:rsidRPr="005846E9">
              <w:rPr>
                <w:rStyle w:val="Hypertextovodkaz"/>
                <w:noProof/>
              </w:rPr>
              <w:t>1.</w:t>
            </w:r>
            <w:r w:rsidR="00255C9E">
              <w:rPr>
                <w:rFonts w:asciiTheme="minorHAnsi" w:eastAsiaTheme="minorEastAsia" w:hAnsiTheme="minorHAnsi"/>
                <w:noProof/>
                <w:sz w:val="22"/>
                <w:lang w:eastAsia="cs-CZ"/>
              </w:rPr>
              <w:tab/>
            </w:r>
            <w:r w:rsidR="00255C9E" w:rsidRPr="005846E9">
              <w:rPr>
                <w:rStyle w:val="Hypertextovodkaz"/>
                <w:noProof/>
              </w:rPr>
              <w:t>Nabídka a poptávka na trhu práce</w:t>
            </w:r>
            <w:r w:rsidR="00255C9E">
              <w:rPr>
                <w:noProof/>
                <w:webHidden/>
              </w:rPr>
              <w:tab/>
            </w:r>
            <w:r w:rsidR="00255C9E">
              <w:rPr>
                <w:noProof/>
                <w:webHidden/>
              </w:rPr>
              <w:fldChar w:fldCharType="begin"/>
            </w:r>
            <w:r w:rsidR="00255C9E">
              <w:rPr>
                <w:noProof/>
                <w:webHidden/>
              </w:rPr>
              <w:instrText xml:space="preserve"> PAGEREF _Toc465674768 \h </w:instrText>
            </w:r>
            <w:r w:rsidR="00255C9E">
              <w:rPr>
                <w:noProof/>
                <w:webHidden/>
              </w:rPr>
            </w:r>
            <w:r w:rsidR="00255C9E">
              <w:rPr>
                <w:noProof/>
                <w:webHidden/>
              </w:rPr>
              <w:fldChar w:fldCharType="separate"/>
            </w:r>
            <w:r>
              <w:rPr>
                <w:noProof/>
                <w:webHidden/>
              </w:rPr>
              <w:t>2</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69" w:history="1">
            <w:r w:rsidR="00255C9E" w:rsidRPr="005846E9">
              <w:rPr>
                <w:rStyle w:val="Hypertextovodkaz"/>
                <w:noProof/>
              </w:rPr>
              <w:t>1.1.</w:t>
            </w:r>
            <w:r w:rsidR="00255C9E">
              <w:rPr>
                <w:rFonts w:asciiTheme="minorHAnsi" w:eastAsiaTheme="minorEastAsia" w:hAnsiTheme="minorHAnsi"/>
                <w:noProof/>
                <w:sz w:val="22"/>
                <w:lang w:eastAsia="cs-CZ"/>
              </w:rPr>
              <w:tab/>
            </w:r>
            <w:r w:rsidR="00255C9E" w:rsidRPr="005846E9">
              <w:rPr>
                <w:rStyle w:val="Hypertextovodkaz"/>
                <w:noProof/>
              </w:rPr>
              <w:t>Situace na trhu práce</w:t>
            </w:r>
            <w:r w:rsidR="00255C9E">
              <w:rPr>
                <w:noProof/>
                <w:webHidden/>
              </w:rPr>
              <w:tab/>
            </w:r>
            <w:r w:rsidR="00255C9E">
              <w:rPr>
                <w:noProof/>
                <w:webHidden/>
              </w:rPr>
              <w:fldChar w:fldCharType="begin"/>
            </w:r>
            <w:r w:rsidR="00255C9E">
              <w:rPr>
                <w:noProof/>
                <w:webHidden/>
              </w:rPr>
              <w:instrText xml:space="preserve"> PAGEREF _Toc465674769 \h </w:instrText>
            </w:r>
            <w:r w:rsidR="00255C9E">
              <w:rPr>
                <w:noProof/>
                <w:webHidden/>
              </w:rPr>
            </w:r>
            <w:r w:rsidR="00255C9E">
              <w:rPr>
                <w:noProof/>
                <w:webHidden/>
              </w:rPr>
              <w:fldChar w:fldCharType="separate"/>
            </w:r>
            <w:r>
              <w:rPr>
                <w:noProof/>
                <w:webHidden/>
              </w:rPr>
              <w:t>2</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70" w:history="1">
            <w:r w:rsidR="00255C9E" w:rsidRPr="005846E9">
              <w:rPr>
                <w:rStyle w:val="Hypertextovodkaz"/>
                <w:noProof/>
              </w:rPr>
              <w:t>1.2.</w:t>
            </w:r>
            <w:r w:rsidR="00255C9E">
              <w:rPr>
                <w:rFonts w:asciiTheme="minorHAnsi" w:eastAsiaTheme="minorEastAsia" w:hAnsiTheme="minorHAnsi"/>
                <w:noProof/>
                <w:sz w:val="22"/>
                <w:lang w:eastAsia="cs-CZ"/>
              </w:rPr>
              <w:tab/>
            </w:r>
            <w:r w:rsidR="00255C9E" w:rsidRPr="005846E9">
              <w:rPr>
                <w:rStyle w:val="Hypertextovodkaz"/>
                <w:noProof/>
              </w:rPr>
              <w:t>Volná pracovní místa a jejich neobsazenost</w:t>
            </w:r>
            <w:r w:rsidR="00255C9E">
              <w:rPr>
                <w:noProof/>
                <w:webHidden/>
              </w:rPr>
              <w:tab/>
            </w:r>
            <w:r w:rsidR="00255C9E">
              <w:rPr>
                <w:noProof/>
                <w:webHidden/>
              </w:rPr>
              <w:fldChar w:fldCharType="begin"/>
            </w:r>
            <w:r w:rsidR="00255C9E">
              <w:rPr>
                <w:noProof/>
                <w:webHidden/>
              </w:rPr>
              <w:instrText xml:space="preserve"> PAGEREF _Toc465674770 \h </w:instrText>
            </w:r>
            <w:r w:rsidR="00255C9E">
              <w:rPr>
                <w:noProof/>
                <w:webHidden/>
              </w:rPr>
            </w:r>
            <w:r w:rsidR="00255C9E">
              <w:rPr>
                <w:noProof/>
                <w:webHidden/>
              </w:rPr>
              <w:fldChar w:fldCharType="separate"/>
            </w:r>
            <w:r>
              <w:rPr>
                <w:noProof/>
                <w:webHidden/>
              </w:rPr>
              <w:t>3</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71" w:history="1">
            <w:r w:rsidR="00255C9E" w:rsidRPr="005846E9">
              <w:rPr>
                <w:rStyle w:val="Hypertextovodkaz"/>
                <w:noProof/>
              </w:rPr>
              <w:t>1.3.</w:t>
            </w:r>
            <w:r w:rsidR="00255C9E">
              <w:rPr>
                <w:rFonts w:asciiTheme="minorHAnsi" w:eastAsiaTheme="minorEastAsia" w:hAnsiTheme="minorHAnsi"/>
                <w:noProof/>
                <w:sz w:val="22"/>
                <w:lang w:eastAsia="cs-CZ"/>
              </w:rPr>
              <w:tab/>
            </w:r>
            <w:r w:rsidR="00255C9E" w:rsidRPr="005846E9">
              <w:rPr>
                <w:rStyle w:val="Hypertextovodkaz"/>
                <w:noProof/>
              </w:rPr>
              <w:t>Struktura uchazečů o zaměstnání</w:t>
            </w:r>
            <w:r w:rsidR="00255C9E">
              <w:rPr>
                <w:noProof/>
                <w:webHidden/>
              </w:rPr>
              <w:tab/>
            </w:r>
            <w:r w:rsidR="00255C9E">
              <w:rPr>
                <w:noProof/>
                <w:webHidden/>
              </w:rPr>
              <w:fldChar w:fldCharType="begin"/>
            </w:r>
            <w:r w:rsidR="00255C9E">
              <w:rPr>
                <w:noProof/>
                <w:webHidden/>
              </w:rPr>
              <w:instrText xml:space="preserve"> PAGEREF _Toc465674771 \h </w:instrText>
            </w:r>
            <w:r w:rsidR="00255C9E">
              <w:rPr>
                <w:noProof/>
                <w:webHidden/>
              </w:rPr>
            </w:r>
            <w:r w:rsidR="00255C9E">
              <w:rPr>
                <w:noProof/>
                <w:webHidden/>
              </w:rPr>
              <w:fldChar w:fldCharType="separate"/>
            </w:r>
            <w:r>
              <w:rPr>
                <w:noProof/>
                <w:webHidden/>
              </w:rPr>
              <w:t>9</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72" w:history="1">
            <w:r w:rsidR="00255C9E" w:rsidRPr="005846E9">
              <w:rPr>
                <w:rStyle w:val="Hypertextovodkaz"/>
                <w:noProof/>
              </w:rPr>
              <w:t>1.4.</w:t>
            </w:r>
            <w:r w:rsidR="00255C9E">
              <w:rPr>
                <w:rFonts w:asciiTheme="minorHAnsi" w:eastAsiaTheme="minorEastAsia" w:hAnsiTheme="minorHAnsi"/>
                <w:noProof/>
                <w:sz w:val="22"/>
                <w:lang w:eastAsia="cs-CZ"/>
              </w:rPr>
              <w:tab/>
            </w:r>
            <w:r w:rsidR="00255C9E" w:rsidRPr="005846E9">
              <w:rPr>
                <w:rStyle w:val="Hypertextovodkaz"/>
                <w:noProof/>
              </w:rPr>
              <w:t>Dlouhodobá nezaměstnanost</w:t>
            </w:r>
            <w:r w:rsidR="00255C9E">
              <w:rPr>
                <w:noProof/>
                <w:webHidden/>
              </w:rPr>
              <w:tab/>
            </w:r>
            <w:r w:rsidR="00255C9E">
              <w:rPr>
                <w:noProof/>
                <w:webHidden/>
              </w:rPr>
              <w:fldChar w:fldCharType="begin"/>
            </w:r>
            <w:r w:rsidR="00255C9E">
              <w:rPr>
                <w:noProof/>
                <w:webHidden/>
              </w:rPr>
              <w:instrText xml:space="preserve"> PAGEREF _Toc465674772 \h </w:instrText>
            </w:r>
            <w:r w:rsidR="00255C9E">
              <w:rPr>
                <w:noProof/>
                <w:webHidden/>
              </w:rPr>
            </w:r>
            <w:r w:rsidR="00255C9E">
              <w:rPr>
                <w:noProof/>
                <w:webHidden/>
              </w:rPr>
              <w:fldChar w:fldCharType="separate"/>
            </w:r>
            <w:r>
              <w:rPr>
                <w:noProof/>
                <w:webHidden/>
              </w:rPr>
              <w:t>13</w:t>
            </w:r>
            <w:r w:rsidR="00255C9E">
              <w:rPr>
                <w:noProof/>
                <w:webHidden/>
              </w:rPr>
              <w:fldChar w:fldCharType="end"/>
            </w:r>
          </w:hyperlink>
        </w:p>
        <w:p w:rsidR="00255C9E" w:rsidRDefault="005B254A">
          <w:pPr>
            <w:pStyle w:val="Obsah3"/>
            <w:tabs>
              <w:tab w:val="left" w:pos="1320"/>
              <w:tab w:val="right" w:leader="dot" w:pos="9062"/>
            </w:tabs>
            <w:rPr>
              <w:rFonts w:asciiTheme="minorHAnsi" w:eastAsiaTheme="minorEastAsia" w:hAnsiTheme="minorHAnsi"/>
              <w:noProof/>
              <w:sz w:val="22"/>
              <w:lang w:eastAsia="cs-CZ"/>
            </w:rPr>
          </w:pPr>
          <w:hyperlink w:anchor="_Toc465674773" w:history="1">
            <w:r w:rsidR="00255C9E" w:rsidRPr="005846E9">
              <w:rPr>
                <w:rStyle w:val="Hypertextovodkaz"/>
                <w:noProof/>
              </w:rPr>
              <w:t>1.4.1.</w:t>
            </w:r>
            <w:r w:rsidR="00255C9E">
              <w:rPr>
                <w:rFonts w:asciiTheme="minorHAnsi" w:eastAsiaTheme="minorEastAsia" w:hAnsiTheme="minorHAnsi"/>
                <w:noProof/>
                <w:sz w:val="22"/>
                <w:lang w:eastAsia="cs-CZ"/>
              </w:rPr>
              <w:tab/>
            </w:r>
            <w:r w:rsidR="00255C9E" w:rsidRPr="005846E9">
              <w:rPr>
                <w:rStyle w:val="Hypertextovodkaz"/>
                <w:noProof/>
              </w:rPr>
              <w:t>Vývoj dlouhodobé nezaměstnanosti</w:t>
            </w:r>
            <w:r w:rsidR="00255C9E">
              <w:rPr>
                <w:noProof/>
                <w:webHidden/>
              </w:rPr>
              <w:tab/>
            </w:r>
            <w:r w:rsidR="00255C9E">
              <w:rPr>
                <w:noProof/>
                <w:webHidden/>
              </w:rPr>
              <w:fldChar w:fldCharType="begin"/>
            </w:r>
            <w:r w:rsidR="00255C9E">
              <w:rPr>
                <w:noProof/>
                <w:webHidden/>
              </w:rPr>
              <w:instrText xml:space="preserve"> PAGEREF _Toc465674773 \h </w:instrText>
            </w:r>
            <w:r w:rsidR="00255C9E">
              <w:rPr>
                <w:noProof/>
                <w:webHidden/>
              </w:rPr>
            </w:r>
            <w:r w:rsidR="00255C9E">
              <w:rPr>
                <w:noProof/>
                <w:webHidden/>
              </w:rPr>
              <w:fldChar w:fldCharType="separate"/>
            </w:r>
            <w:r>
              <w:rPr>
                <w:noProof/>
                <w:webHidden/>
              </w:rPr>
              <w:t>13</w:t>
            </w:r>
            <w:r w:rsidR="00255C9E">
              <w:rPr>
                <w:noProof/>
                <w:webHidden/>
              </w:rPr>
              <w:fldChar w:fldCharType="end"/>
            </w:r>
          </w:hyperlink>
        </w:p>
        <w:p w:rsidR="00255C9E" w:rsidRDefault="005B254A">
          <w:pPr>
            <w:pStyle w:val="Obsah3"/>
            <w:tabs>
              <w:tab w:val="left" w:pos="1320"/>
              <w:tab w:val="right" w:leader="dot" w:pos="9062"/>
            </w:tabs>
            <w:rPr>
              <w:rFonts w:asciiTheme="minorHAnsi" w:eastAsiaTheme="minorEastAsia" w:hAnsiTheme="minorHAnsi"/>
              <w:noProof/>
              <w:sz w:val="22"/>
              <w:lang w:eastAsia="cs-CZ"/>
            </w:rPr>
          </w:pPr>
          <w:hyperlink w:anchor="_Toc465674774" w:history="1">
            <w:r w:rsidR="00255C9E" w:rsidRPr="005846E9">
              <w:rPr>
                <w:rStyle w:val="Hypertextovodkaz"/>
                <w:noProof/>
              </w:rPr>
              <w:t>1.4.2.</w:t>
            </w:r>
            <w:r w:rsidR="00255C9E">
              <w:rPr>
                <w:rFonts w:asciiTheme="minorHAnsi" w:eastAsiaTheme="minorEastAsia" w:hAnsiTheme="minorHAnsi"/>
                <w:noProof/>
                <w:sz w:val="22"/>
                <w:lang w:eastAsia="cs-CZ"/>
              </w:rPr>
              <w:tab/>
            </w:r>
            <w:r w:rsidR="00255C9E" w:rsidRPr="005846E9">
              <w:rPr>
                <w:rStyle w:val="Hypertextovodkaz"/>
                <w:noProof/>
              </w:rPr>
              <w:t>Struktura dlouhodobé nezaměstnanosti</w:t>
            </w:r>
            <w:r w:rsidR="00255C9E">
              <w:rPr>
                <w:noProof/>
                <w:webHidden/>
              </w:rPr>
              <w:tab/>
            </w:r>
            <w:r w:rsidR="00255C9E">
              <w:rPr>
                <w:noProof/>
                <w:webHidden/>
              </w:rPr>
              <w:fldChar w:fldCharType="begin"/>
            </w:r>
            <w:r w:rsidR="00255C9E">
              <w:rPr>
                <w:noProof/>
                <w:webHidden/>
              </w:rPr>
              <w:instrText xml:space="preserve"> PAGEREF _Toc465674774 \h </w:instrText>
            </w:r>
            <w:r w:rsidR="00255C9E">
              <w:rPr>
                <w:noProof/>
                <w:webHidden/>
              </w:rPr>
            </w:r>
            <w:r w:rsidR="00255C9E">
              <w:rPr>
                <w:noProof/>
                <w:webHidden/>
              </w:rPr>
              <w:fldChar w:fldCharType="separate"/>
            </w:r>
            <w:r>
              <w:rPr>
                <w:noProof/>
                <w:webHidden/>
              </w:rPr>
              <w:t>15</w:t>
            </w:r>
            <w:r w:rsidR="00255C9E">
              <w:rPr>
                <w:noProof/>
                <w:webHidden/>
              </w:rPr>
              <w:fldChar w:fldCharType="end"/>
            </w:r>
          </w:hyperlink>
        </w:p>
        <w:p w:rsidR="00255C9E" w:rsidRDefault="005B254A">
          <w:pPr>
            <w:pStyle w:val="Obsah1"/>
            <w:tabs>
              <w:tab w:val="left" w:pos="480"/>
              <w:tab w:val="right" w:leader="dot" w:pos="9062"/>
            </w:tabs>
            <w:rPr>
              <w:rFonts w:asciiTheme="minorHAnsi" w:eastAsiaTheme="minorEastAsia" w:hAnsiTheme="minorHAnsi"/>
              <w:noProof/>
              <w:sz w:val="22"/>
              <w:lang w:eastAsia="cs-CZ"/>
            </w:rPr>
          </w:pPr>
          <w:hyperlink w:anchor="_Toc465674775" w:history="1">
            <w:r w:rsidR="00255C9E" w:rsidRPr="005846E9">
              <w:rPr>
                <w:rStyle w:val="Hypertextovodkaz"/>
                <w:noProof/>
              </w:rPr>
              <w:t>2.</w:t>
            </w:r>
            <w:r w:rsidR="00255C9E">
              <w:rPr>
                <w:rFonts w:asciiTheme="minorHAnsi" w:eastAsiaTheme="minorEastAsia" w:hAnsiTheme="minorHAnsi"/>
                <w:noProof/>
                <w:sz w:val="22"/>
                <w:lang w:eastAsia="cs-CZ"/>
              </w:rPr>
              <w:tab/>
            </w:r>
            <w:r w:rsidR="00255C9E" w:rsidRPr="005846E9">
              <w:rPr>
                <w:rStyle w:val="Hypertextovodkaz"/>
                <w:noProof/>
              </w:rPr>
              <w:t>Odhad přirozené míry nezaměstnanosti</w:t>
            </w:r>
            <w:r w:rsidR="00255C9E">
              <w:rPr>
                <w:noProof/>
                <w:webHidden/>
              </w:rPr>
              <w:tab/>
            </w:r>
            <w:r w:rsidR="00255C9E">
              <w:rPr>
                <w:noProof/>
                <w:webHidden/>
              </w:rPr>
              <w:fldChar w:fldCharType="begin"/>
            </w:r>
            <w:r w:rsidR="00255C9E">
              <w:rPr>
                <w:noProof/>
                <w:webHidden/>
              </w:rPr>
              <w:instrText xml:space="preserve"> PAGEREF _Toc465674775 \h </w:instrText>
            </w:r>
            <w:r w:rsidR="00255C9E">
              <w:rPr>
                <w:noProof/>
                <w:webHidden/>
              </w:rPr>
            </w:r>
            <w:r w:rsidR="00255C9E">
              <w:rPr>
                <w:noProof/>
                <w:webHidden/>
              </w:rPr>
              <w:fldChar w:fldCharType="separate"/>
            </w:r>
            <w:r>
              <w:rPr>
                <w:noProof/>
                <w:webHidden/>
              </w:rPr>
              <w:t>18</w:t>
            </w:r>
            <w:r w:rsidR="00255C9E">
              <w:rPr>
                <w:noProof/>
                <w:webHidden/>
              </w:rPr>
              <w:fldChar w:fldCharType="end"/>
            </w:r>
          </w:hyperlink>
        </w:p>
        <w:p w:rsidR="00255C9E" w:rsidRDefault="005B254A">
          <w:pPr>
            <w:pStyle w:val="Obsah1"/>
            <w:tabs>
              <w:tab w:val="left" w:pos="480"/>
              <w:tab w:val="right" w:leader="dot" w:pos="9062"/>
            </w:tabs>
            <w:rPr>
              <w:rFonts w:asciiTheme="minorHAnsi" w:eastAsiaTheme="minorEastAsia" w:hAnsiTheme="minorHAnsi"/>
              <w:noProof/>
              <w:sz w:val="22"/>
              <w:lang w:eastAsia="cs-CZ"/>
            </w:rPr>
          </w:pPr>
          <w:hyperlink w:anchor="_Toc465674776" w:history="1">
            <w:r w:rsidR="00255C9E" w:rsidRPr="005846E9">
              <w:rPr>
                <w:rStyle w:val="Hypertextovodkaz"/>
                <w:noProof/>
              </w:rPr>
              <w:t>3.</w:t>
            </w:r>
            <w:r w:rsidR="00255C9E">
              <w:rPr>
                <w:rFonts w:asciiTheme="minorHAnsi" w:eastAsiaTheme="minorEastAsia" w:hAnsiTheme="minorHAnsi"/>
                <w:noProof/>
                <w:sz w:val="22"/>
                <w:lang w:eastAsia="cs-CZ"/>
              </w:rPr>
              <w:tab/>
            </w:r>
            <w:r w:rsidR="00255C9E" w:rsidRPr="005846E9">
              <w:rPr>
                <w:rStyle w:val="Hypertextovodkaz"/>
                <w:noProof/>
              </w:rPr>
              <w:t>Analýza nabídky a poptávky</w:t>
            </w:r>
            <w:r w:rsidR="00255C9E">
              <w:rPr>
                <w:noProof/>
                <w:webHidden/>
              </w:rPr>
              <w:tab/>
            </w:r>
            <w:r w:rsidR="00255C9E">
              <w:rPr>
                <w:noProof/>
                <w:webHidden/>
              </w:rPr>
              <w:fldChar w:fldCharType="begin"/>
            </w:r>
            <w:r w:rsidR="00255C9E">
              <w:rPr>
                <w:noProof/>
                <w:webHidden/>
              </w:rPr>
              <w:instrText xml:space="preserve"> PAGEREF _Toc465674776 \h </w:instrText>
            </w:r>
            <w:r w:rsidR="00255C9E">
              <w:rPr>
                <w:noProof/>
                <w:webHidden/>
              </w:rPr>
            </w:r>
            <w:r w:rsidR="00255C9E">
              <w:rPr>
                <w:noProof/>
                <w:webHidden/>
              </w:rPr>
              <w:fldChar w:fldCharType="separate"/>
            </w:r>
            <w:r>
              <w:rPr>
                <w:noProof/>
                <w:webHidden/>
              </w:rPr>
              <w:t>19</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77" w:history="1">
            <w:r w:rsidR="00255C9E" w:rsidRPr="005846E9">
              <w:rPr>
                <w:rStyle w:val="Hypertextovodkaz"/>
                <w:noProof/>
              </w:rPr>
              <w:t>3.1.</w:t>
            </w:r>
            <w:r w:rsidR="00255C9E">
              <w:rPr>
                <w:rFonts w:asciiTheme="minorHAnsi" w:eastAsiaTheme="minorEastAsia" w:hAnsiTheme="minorHAnsi"/>
                <w:noProof/>
                <w:sz w:val="22"/>
                <w:lang w:eastAsia="cs-CZ"/>
              </w:rPr>
              <w:tab/>
            </w:r>
            <w:r w:rsidR="00255C9E" w:rsidRPr="005846E9">
              <w:rPr>
                <w:rStyle w:val="Hypertextovodkaz"/>
                <w:noProof/>
              </w:rPr>
              <w:t>Nejčastěji poptávané skupiny povolání</w:t>
            </w:r>
            <w:r w:rsidR="00255C9E">
              <w:rPr>
                <w:noProof/>
                <w:webHidden/>
              </w:rPr>
              <w:tab/>
            </w:r>
            <w:r w:rsidR="00255C9E">
              <w:rPr>
                <w:noProof/>
                <w:webHidden/>
              </w:rPr>
              <w:fldChar w:fldCharType="begin"/>
            </w:r>
            <w:r w:rsidR="00255C9E">
              <w:rPr>
                <w:noProof/>
                <w:webHidden/>
              </w:rPr>
              <w:instrText xml:space="preserve"> PAGEREF _Toc465674777 \h </w:instrText>
            </w:r>
            <w:r w:rsidR="00255C9E">
              <w:rPr>
                <w:noProof/>
                <w:webHidden/>
              </w:rPr>
            </w:r>
            <w:r w:rsidR="00255C9E">
              <w:rPr>
                <w:noProof/>
                <w:webHidden/>
              </w:rPr>
              <w:fldChar w:fldCharType="separate"/>
            </w:r>
            <w:r>
              <w:rPr>
                <w:noProof/>
                <w:webHidden/>
              </w:rPr>
              <w:t>19</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78" w:history="1">
            <w:r w:rsidR="00255C9E" w:rsidRPr="005846E9">
              <w:rPr>
                <w:rStyle w:val="Hypertextovodkaz"/>
                <w:noProof/>
              </w:rPr>
              <w:t>3.2.</w:t>
            </w:r>
            <w:r w:rsidR="00255C9E">
              <w:rPr>
                <w:rFonts w:asciiTheme="minorHAnsi" w:eastAsiaTheme="minorEastAsia" w:hAnsiTheme="minorHAnsi"/>
                <w:noProof/>
                <w:sz w:val="22"/>
                <w:lang w:eastAsia="cs-CZ"/>
              </w:rPr>
              <w:tab/>
            </w:r>
            <w:r w:rsidR="00255C9E" w:rsidRPr="005846E9">
              <w:rPr>
                <w:rStyle w:val="Hypertextovodkaz"/>
                <w:noProof/>
              </w:rPr>
              <w:t>Nejpočetnější skupiny uchazečů o zaměstnání</w:t>
            </w:r>
            <w:r w:rsidR="00255C9E">
              <w:rPr>
                <w:noProof/>
                <w:webHidden/>
              </w:rPr>
              <w:tab/>
            </w:r>
            <w:r w:rsidR="00255C9E">
              <w:rPr>
                <w:noProof/>
                <w:webHidden/>
              </w:rPr>
              <w:fldChar w:fldCharType="begin"/>
            </w:r>
            <w:r w:rsidR="00255C9E">
              <w:rPr>
                <w:noProof/>
                <w:webHidden/>
              </w:rPr>
              <w:instrText xml:space="preserve"> PAGEREF _Toc465674778 \h </w:instrText>
            </w:r>
            <w:r w:rsidR="00255C9E">
              <w:rPr>
                <w:noProof/>
                <w:webHidden/>
              </w:rPr>
            </w:r>
            <w:r w:rsidR="00255C9E">
              <w:rPr>
                <w:noProof/>
                <w:webHidden/>
              </w:rPr>
              <w:fldChar w:fldCharType="separate"/>
            </w:r>
            <w:r>
              <w:rPr>
                <w:noProof/>
                <w:webHidden/>
              </w:rPr>
              <w:t>21</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79" w:history="1">
            <w:r w:rsidR="00255C9E" w:rsidRPr="005846E9">
              <w:rPr>
                <w:rStyle w:val="Hypertextovodkaz"/>
                <w:noProof/>
              </w:rPr>
              <w:t>3.3.</w:t>
            </w:r>
            <w:r w:rsidR="00255C9E">
              <w:rPr>
                <w:rFonts w:asciiTheme="minorHAnsi" w:eastAsiaTheme="minorEastAsia" w:hAnsiTheme="minorHAnsi"/>
                <w:noProof/>
                <w:sz w:val="22"/>
                <w:lang w:eastAsia="cs-CZ"/>
              </w:rPr>
              <w:tab/>
            </w:r>
            <w:r w:rsidR="00255C9E" w:rsidRPr="005846E9">
              <w:rPr>
                <w:rStyle w:val="Hypertextovodkaz"/>
                <w:noProof/>
              </w:rPr>
              <w:t>Nejzávažnější problémy související s problematikou nesouladu nabídky a poptávky na trhu práce</w:t>
            </w:r>
            <w:r w:rsidR="00255C9E">
              <w:rPr>
                <w:noProof/>
                <w:webHidden/>
              </w:rPr>
              <w:tab/>
            </w:r>
            <w:r w:rsidR="00255C9E">
              <w:rPr>
                <w:noProof/>
                <w:webHidden/>
              </w:rPr>
              <w:fldChar w:fldCharType="begin"/>
            </w:r>
            <w:r w:rsidR="00255C9E">
              <w:rPr>
                <w:noProof/>
                <w:webHidden/>
              </w:rPr>
              <w:instrText xml:space="preserve"> PAGEREF _Toc465674779 \h </w:instrText>
            </w:r>
            <w:r w:rsidR="00255C9E">
              <w:rPr>
                <w:noProof/>
                <w:webHidden/>
              </w:rPr>
            </w:r>
            <w:r w:rsidR="00255C9E">
              <w:rPr>
                <w:noProof/>
                <w:webHidden/>
              </w:rPr>
              <w:fldChar w:fldCharType="separate"/>
            </w:r>
            <w:r>
              <w:rPr>
                <w:noProof/>
                <w:webHidden/>
              </w:rPr>
              <w:t>22</w:t>
            </w:r>
            <w:r w:rsidR="00255C9E">
              <w:rPr>
                <w:noProof/>
                <w:webHidden/>
              </w:rPr>
              <w:fldChar w:fldCharType="end"/>
            </w:r>
          </w:hyperlink>
        </w:p>
        <w:p w:rsidR="00255C9E" w:rsidRDefault="005B254A">
          <w:pPr>
            <w:pStyle w:val="Obsah1"/>
            <w:tabs>
              <w:tab w:val="left" w:pos="480"/>
              <w:tab w:val="right" w:leader="dot" w:pos="9062"/>
            </w:tabs>
            <w:rPr>
              <w:rFonts w:asciiTheme="minorHAnsi" w:eastAsiaTheme="minorEastAsia" w:hAnsiTheme="minorHAnsi"/>
              <w:noProof/>
              <w:sz w:val="22"/>
              <w:lang w:eastAsia="cs-CZ"/>
            </w:rPr>
          </w:pPr>
          <w:hyperlink w:anchor="_Toc465674780" w:history="1">
            <w:r w:rsidR="00255C9E" w:rsidRPr="005846E9">
              <w:rPr>
                <w:rStyle w:val="Hypertextovodkaz"/>
                <w:noProof/>
              </w:rPr>
              <w:t>4.</w:t>
            </w:r>
            <w:r w:rsidR="00255C9E">
              <w:rPr>
                <w:rFonts w:asciiTheme="minorHAnsi" w:eastAsiaTheme="minorEastAsia" w:hAnsiTheme="minorHAnsi"/>
                <w:noProof/>
                <w:sz w:val="22"/>
                <w:lang w:eastAsia="cs-CZ"/>
              </w:rPr>
              <w:tab/>
            </w:r>
            <w:r w:rsidR="00255C9E" w:rsidRPr="005846E9">
              <w:rPr>
                <w:rStyle w:val="Hypertextovodkaz"/>
                <w:noProof/>
              </w:rPr>
              <w:t>Projekty pracovní migrace z Ukrajiny</w:t>
            </w:r>
            <w:r w:rsidR="00255C9E">
              <w:rPr>
                <w:noProof/>
                <w:webHidden/>
              </w:rPr>
              <w:tab/>
            </w:r>
            <w:r w:rsidR="00255C9E">
              <w:rPr>
                <w:noProof/>
                <w:webHidden/>
              </w:rPr>
              <w:fldChar w:fldCharType="begin"/>
            </w:r>
            <w:r w:rsidR="00255C9E">
              <w:rPr>
                <w:noProof/>
                <w:webHidden/>
              </w:rPr>
              <w:instrText xml:space="preserve"> PAGEREF _Toc465674780 \h </w:instrText>
            </w:r>
            <w:r w:rsidR="00255C9E">
              <w:rPr>
                <w:noProof/>
                <w:webHidden/>
              </w:rPr>
            </w:r>
            <w:r w:rsidR="00255C9E">
              <w:rPr>
                <w:noProof/>
                <w:webHidden/>
              </w:rPr>
              <w:fldChar w:fldCharType="separate"/>
            </w:r>
            <w:r>
              <w:rPr>
                <w:noProof/>
                <w:webHidden/>
              </w:rPr>
              <w:t>26</w:t>
            </w:r>
            <w:r w:rsidR="00255C9E">
              <w:rPr>
                <w:noProof/>
                <w:webHidden/>
              </w:rPr>
              <w:fldChar w:fldCharType="end"/>
            </w:r>
          </w:hyperlink>
        </w:p>
        <w:p w:rsidR="00255C9E" w:rsidRDefault="005B254A">
          <w:pPr>
            <w:pStyle w:val="Obsah1"/>
            <w:tabs>
              <w:tab w:val="left" w:pos="480"/>
              <w:tab w:val="right" w:leader="dot" w:pos="9062"/>
            </w:tabs>
            <w:rPr>
              <w:rFonts w:asciiTheme="minorHAnsi" w:eastAsiaTheme="minorEastAsia" w:hAnsiTheme="minorHAnsi"/>
              <w:noProof/>
              <w:sz w:val="22"/>
              <w:lang w:eastAsia="cs-CZ"/>
            </w:rPr>
          </w:pPr>
          <w:hyperlink w:anchor="_Toc465674781" w:history="1">
            <w:r w:rsidR="00255C9E" w:rsidRPr="005846E9">
              <w:rPr>
                <w:rStyle w:val="Hypertextovodkaz"/>
                <w:noProof/>
              </w:rPr>
              <w:t>5.</w:t>
            </w:r>
            <w:r w:rsidR="00255C9E">
              <w:rPr>
                <w:rFonts w:asciiTheme="minorHAnsi" w:eastAsiaTheme="minorEastAsia" w:hAnsiTheme="minorHAnsi"/>
                <w:noProof/>
                <w:sz w:val="22"/>
                <w:lang w:eastAsia="cs-CZ"/>
              </w:rPr>
              <w:tab/>
            </w:r>
            <w:r w:rsidR="00255C9E" w:rsidRPr="005846E9">
              <w:rPr>
                <w:rStyle w:val="Hypertextovodkaz"/>
                <w:noProof/>
              </w:rPr>
              <w:t>Zprostředkování zaměstnání agenturami práce</w:t>
            </w:r>
            <w:r w:rsidR="00255C9E">
              <w:rPr>
                <w:noProof/>
                <w:webHidden/>
              </w:rPr>
              <w:tab/>
            </w:r>
            <w:r w:rsidR="00255C9E">
              <w:rPr>
                <w:noProof/>
                <w:webHidden/>
              </w:rPr>
              <w:fldChar w:fldCharType="begin"/>
            </w:r>
            <w:r w:rsidR="00255C9E">
              <w:rPr>
                <w:noProof/>
                <w:webHidden/>
              </w:rPr>
              <w:instrText xml:space="preserve"> PAGEREF _Toc465674781 \h </w:instrText>
            </w:r>
            <w:r w:rsidR="00255C9E">
              <w:rPr>
                <w:noProof/>
                <w:webHidden/>
              </w:rPr>
            </w:r>
            <w:r w:rsidR="00255C9E">
              <w:rPr>
                <w:noProof/>
                <w:webHidden/>
              </w:rPr>
              <w:fldChar w:fldCharType="separate"/>
            </w:r>
            <w:r>
              <w:rPr>
                <w:noProof/>
                <w:webHidden/>
              </w:rPr>
              <w:t>27</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82" w:history="1">
            <w:r w:rsidR="00255C9E" w:rsidRPr="005846E9">
              <w:rPr>
                <w:rStyle w:val="Hypertextovodkaz"/>
                <w:noProof/>
              </w:rPr>
              <w:t>5.1.</w:t>
            </w:r>
            <w:r w:rsidR="00255C9E">
              <w:rPr>
                <w:rFonts w:asciiTheme="minorHAnsi" w:eastAsiaTheme="minorEastAsia" w:hAnsiTheme="minorHAnsi"/>
                <w:noProof/>
                <w:sz w:val="22"/>
                <w:lang w:eastAsia="cs-CZ"/>
              </w:rPr>
              <w:tab/>
            </w:r>
            <w:r w:rsidR="00255C9E" w:rsidRPr="005846E9">
              <w:rPr>
                <w:rStyle w:val="Hypertextovodkaz"/>
                <w:noProof/>
              </w:rPr>
              <w:t>Vývoj a současný stav</w:t>
            </w:r>
            <w:r w:rsidR="00255C9E">
              <w:rPr>
                <w:noProof/>
                <w:webHidden/>
              </w:rPr>
              <w:tab/>
            </w:r>
            <w:r w:rsidR="00255C9E">
              <w:rPr>
                <w:noProof/>
                <w:webHidden/>
              </w:rPr>
              <w:fldChar w:fldCharType="begin"/>
            </w:r>
            <w:r w:rsidR="00255C9E">
              <w:rPr>
                <w:noProof/>
                <w:webHidden/>
              </w:rPr>
              <w:instrText xml:space="preserve"> PAGEREF _Toc465674782 \h </w:instrText>
            </w:r>
            <w:r w:rsidR="00255C9E">
              <w:rPr>
                <w:noProof/>
                <w:webHidden/>
              </w:rPr>
            </w:r>
            <w:r w:rsidR="00255C9E">
              <w:rPr>
                <w:noProof/>
                <w:webHidden/>
              </w:rPr>
              <w:fldChar w:fldCharType="separate"/>
            </w:r>
            <w:r>
              <w:rPr>
                <w:noProof/>
                <w:webHidden/>
              </w:rPr>
              <w:t>27</w:t>
            </w:r>
            <w:r w:rsidR="00255C9E">
              <w:rPr>
                <w:noProof/>
                <w:webHidden/>
              </w:rPr>
              <w:fldChar w:fldCharType="end"/>
            </w:r>
          </w:hyperlink>
        </w:p>
        <w:p w:rsidR="00255C9E" w:rsidRDefault="005B254A">
          <w:pPr>
            <w:pStyle w:val="Obsah3"/>
            <w:tabs>
              <w:tab w:val="left" w:pos="1320"/>
              <w:tab w:val="right" w:leader="dot" w:pos="9062"/>
            </w:tabs>
            <w:rPr>
              <w:rFonts w:asciiTheme="minorHAnsi" w:eastAsiaTheme="minorEastAsia" w:hAnsiTheme="minorHAnsi"/>
              <w:noProof/>
              <w:sz w:val="22"/>
              <w:lang w:eastAsia="cs-CZ"/>
            </w:rPr>
          </w:pPr>
          <w:hyperlink w:anchor="_Toc465674783" w:history="1">
            <w:r w:rsidR="00255C9E" w:rsidRPr="005846E9">
              <w:rPr>
                <w:rStyle w:val="Hypertextovodkaz"/>
                <w:noProof/>
              </w:rPr>
              <w:t>5.1.1.</w:t>
            </w:r>
            <w:r w:rsidR="00255C9E">
              <w:rPr>
                <w:rFonts w:asciiTheme="minorHAnsi" w:eastAsiaTheme="minorEastAsia" w:hAnsiTheme="minorHAnsi"/>
                <w:noProof/>
                <w:sz w:val="22"/>
                <w:lang w:eastAsia="cs-CZ"/>
              </w:rPr>
              <w:tab/>
            </w:r>
            <w:r w:rsidR="00255C9E" w:rsidRPr="005846E9">
              <w:rPr>
                <w:rStyle w:val="Hypertextovodkaz"/>
                <w:noProof/>
              </w:rPr>
              <w:t>Geneze zprostředkovatelské činnosti agentur práce</w:t>
            </w:r>
            <w:r w:rsidR="00255C9E">
              <w:rPr>
                <w:noProof/>
                <w:webHidden/>
              </w:rPr>
              <w:tab/>
            </w:r>
            <w:r w:rsidR="00255C9E">
              <w:rPr>
                <w:noProof/>
                <w:webHidden/>
              </w:rPr>
              <w:fldChar w:fldCharType="begin"/>
            </w:r>
            <w:r w:rsidR="00255C9E">
              <w:rPr>
                <w:noProof/>
                <w:webHidden/>
              </w:rPr>
              <w:instrText xml:space="preserve"> PAGEREF _Toc465674783 \h </w:instrText>
            </w:r>
            <w:r w:rsidR="00255C9E">
              <w:rPr>
                <w:noProof/>
                <w:webHidden/>
              </w:rPr>
            </w:r>
            <w:r w:rsidR="00255C9E">
              <w:rPr>
                <w:noProof/>
                <w:webHidden/>
              </w:rPr>
              <w:fldChar w:fldCharType="separate"/>
            </w:r>
            <w:r>
              <w:rPr>
                <w:noProof/>
                <w:webHidden/>
              </w:rPr>
              <w:t>27</w:t>
            </w:r>
            <w:r w:rsidR="00255C9E">
              <w:rPr>
                <w:noProof/>
                <w:webHidden/>
              </w:rPr>
              <w:fldChar w:fldCharType="end"/>
            </w:r>
          </w:hyperlink>
        </w:p>
        <w:p w:rsidR="00255C9E" w:rsidRDefault="005B254A">
          <w:pPr>
            <w:pStyle w:val="Obsah3"/>
            <w:tabs>
              <w:tab w:val="left" w:pos="1320"/>
              <w:tab w:val="right" w:leader="dot" w:pos="9062"/>
            </w:tabs>
            <w:rPr>
              <w:rFonts w:asciiTheme="minorHAnsi" w:eastAsiaTheme="minorEastAsia" w:hAnsiTheme="minorHAnsi"/>
              <w:noProof/>
              <w:sz w:val="22"/>
              <w:lang w:eastAsia="cs-CZ"/>
            </w:rPr>
          </w:pPr>
          <w:hyperlink w:anchor="_Toc465674784" w:history="1">
            <w:r w:rsidR="00255C9E" w:rsidRPr="005846E9">
              <w:rPr>
                <w:rStyle w:val="Hypertextovodkaz"/>
                <w:noProof/>
              </w:rPr>
              <w:t>5.1.2.</w:t>
            </w:r>
            <w:r w:rsidR="00255C9E">
              <w:rPr>
                <w:rFonts w:asciiTheme="minorHAnsi" w:eastAsiaTheme="minorEastAsia" w:hAnsiTheme="minorHAnsi"/>
                <w:noProof/>
                <w:sz w:val="22"/>
                <w:lang w:eastAsia="cs-CZ"/>
              </w:rPr>
              <w:tab/>
            </w:r>
            <w:r w:rsidR="00255C9E" w:rsidRPr="005846E9">
              <w:rPr>
                <w:rStyle w:val="Hypertextovodkaz"/>
                <w:noProof/>
              </w:rPr>
              <w:t>Současný stav</w:t>
            </w:r>
            <w:r w:rsidR="00255C9E">
              <w:rPr>
                <w:noProof/>
                <w:webHidden/>
              </w:rPr>
              <w:tab/>
            </w:r>
            <w:r w:rsidR="00255C9E">
              <w:rPr>
                <w:noProof/>
                <w:webHidden/>
              </w:rPr>
              <w:fldChar w:fldCharType="begin"/>
            </w:r>
            <w:r w:rsidR="00255C9E">
              <w:rPr>
                <w:noProof/>
                <w:webHidden/>
              </w:rPr>
              <w:instrText xml:space="preserve"> PAGEREF _Toc465674784 \h </w:instrText>
            </w:r>
            <w:r w:rsidR="00255C9E">
              <w:rPr>
                <w:noProof/>
                <w:webHidden/>
              </w:rPr>
            </w:r>
            <w:r w:rsidR="00255C9E">
              <w:rPr>
                <w:noProof/>
                <w:webHidden/>
              </w:rPr>
              <w:fldChar w:fldCharType="separate"/>
            </w:r>
            <w:r>
              <w:rPr>
                <w:noProof/>
                <w:webHidden/>
              </w:rPr>
              <w:t>28</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85" w:history="1">
            <w:r w:rsidR="00255C9E" w:rsidRPr="005846E9">
              <w:rPr>
                <w:rStyle w:val="Hypertextovodkaz"/>
                <w:noProof/>
              </w:rPr>
              <w:t>5.2.</w:t>
            </w:r>
            <w:r w:rsidR="00255C9E">
              <w:rPr>
                <w:rFonts w:asciiTheme="minorHAnsi" w:eastAsiaTheme="minorEastAsia" w:hAnsiTheme="minorHAnsi"/>
                <w:noProof/>
                <w:sz w:val="22"/>
                <w:lang w:eastAsia="cs-CZ"/>
              </w:rPr>
              <w:tab/>
            </w:r>
            <w:r w:rsidR="00255C9E" w:rsidRPr="005846E9">
              <w:rPr>
                <w:rStyle w:val="Hypertextovodkaz"/>
                <w:noProof/>
              </w:rPr>
              <w:t>Změny spojené s novelou zákona o zaměstnanosti a dalších souvisejících zákonů</w:t>
            </w:r>
            <w:r w:rsidR="00255C9E">
              <w:rPr>
                <w:noProof/>
                <w:webHidden/>
              </w:rPr>
              <w:tab/>
            </w:r>
            <w:r w:rsidR="00255C9E">
              <w:rPr>
                <w:noProof/>
                <w:webHidden/>
              </w:rPr>
              <w:fldChar w:fldCharType="begin"/>
            </w:r>
            <w:r w:rsidR="00255C9E">
              <w:rPr>
                <w:noProof/>
                <w:webHidden/>
              </w:rPr>
              <w:instrText xml:space="preserve"> PAGEREF _Toc465674785 \h </w:instrText>
            </w:r>
            <w:r w:rsidR="00255C9E">
              <w:rPr>
                <w:noProof/>
                <w:webHidden/>
              </w:rPr>
            </w:r>
            <w:r w:rsidR="00255C9E">
              <w:rPr>
                <w:noProof/>
                <w:webHidden/>
              </w:rPr>
              <w:fldChar w:fldCharType="separate"/>
            </w:r>
            <w:r>
              <w:rPr>
                <w:noProof/>
                <w:webHidden/>
              </w:rPr>
              <w:t>29</w:t>
            </w:r>
            <w:r w:rsidR="00255C9E">
              <w:rPr>
                <w:noProof/>
                <w:webHidden/>
              </w:rPr>
              <w:fldChar w:fldCharType="end"/>
            </w:r>
          </w:hyperlink>
        </w:p>
        <w:p w:rsidR="00255C9E" w:rsidRDefault="005B254A">
          <w:pPr>
            <w:pStyle w:val="Obsah2"/>
            <w:tabs>
              <w:tab w:val="left" w:pos="880"/>
              <w:tab w:val="right" w:leader="dot" w:pos="9062"/>
            </w:tabs>
            <w:rPr>
              <w:rFonts w:asciiTheme="minorHAnsi" w:eastAsiaTheme="minorEastAsia" w:hAnsiTheme="minorHAnsi"/>
              <w:noProof/>
              <w:sz w:val="22"/>
              <w:lang w:eastAsia="cs-CZ"/>
            </w:rPr>
          </w:pPr>
          <w:hyperlink w:anchor="_Toc465674786" w:history="1">
            <w:r w:rsidR="00255C9E" w:rsidRPr="005846E9">
              <w:rPr>
                <w:rStyle w:val="Hypertextovodkaz"/>
                <w:noProof/>
              </w:rPr>
              <w:t>5.3.</w:t>
            </w:r>
            <w:r w:rsidR="00255C9E">
              <w:rPr>
                <w:rFonts w:asciiTheme="minorHAnsi" w:eastAsiaTheme="minorEastAsia" w:hAnsiTheme="minorHAnsi"/>
                <w:noProof/>
                <w:sz w:val="22"/>
                <w:lang w:eastAsia="cs-CZ"/>
              </w:rPr>
              <w:tab/>
            </w:r>
            <w:r w:rsidR="00255C9E" w:rsidRPr="005846E9">
              <w:rPr>
                <w:rStyle w:val="Hypertextovodkaz"/>
                <w:noProof/>
              </w:rPr>
              <w:t>Kontrolní činnost na úseku agenturního zaměstnávání</w:t>
            </w:r>
            <w:r w:rsidR="00255C9E">
              <w:rPr>
                <w:noProof/>
                <w:webHidden/>
              </w:rPr>
              <w:tab/>
            </w:r>
            <w:r w:rsidR="00255C9E">
              <w:rPr>
                <w:noProof/>
                <w:webHidden/>
              </w:rPr>
              <w:fldChar w:fldCharType="begin"/>
            </w:r>
            <w:r w:rsidR="00255C9E">
              <w:rPr>
                <w:noProof/>
                <w:webHidden/>
              </w:rPr>
              <w:instrText xml:space="preserve"> PAGEREF _Toc465674786 \h </w:instrText>
            </w:r>
            <w:r w:rsidR="00255C9E">
              <w:rPr>
                <w:noProof/>
                <w:webHidden/>
              </w:rPr>
            </w:r>
            <w:r w:rsidR="00255C9E">
              <w:rPr>
                <w:noProof/>
                <w:webHidden/>
              </w:rPr>
              <w:fldChar w:fldCharType="separate"/>
            </w:r>
            <w:r>
              <w:rPr>
                <w:noProof/>
                <w:webHidden/>
              </w:rPr>
              <w:t>30</w:t>
            </w:r>
            <w:r w:rsidR="00255C9E">
              <w:rPr>
                <w:noProof/>
                <w:webHidden/>
              </w:rPr>
              <w:fldChar w:fldCharType="end"/>
            </w:r>
          </w:hyperlink>
        </w:p>
        <w:p w:rsidR="00255C9E" w:rsidRDefault="005B254A">
          <w:pPr>
            <w:pStyle w:val="Obsah1"/>
            <w:tabs>
              <w:tab w:val="left" w:pos="480"/>
              <w:tab w:val="right" w:leader="dot" w:pos="9062"/>
            </w:tabs>
            <w:rPr>
              <w:rFonts w:asciiTheme="minorHAnsi" w:eastAsiaTheme="minorEastAsia" w:hAnsiTheme="minorHAnsi"/>
              <w:noProof/>
              <w:sz w:val="22"/>
              <w:lang w:eastAsia="cs-CZ"/>
            </w:rPr>
          </w:pPr>
          <w:hyperlink w:anchor="_Toc465674787" w:history="1">
            <w:r w:rsidR="00255C9E" w:rsidRPr="005846E9">
              <w:rPr>
                <w:rStyle w:val="Hypertextovodkaz"/>
                <w:noProof/>
              </w:rPr>
              <w:t>6.</w:t>
            </w:r>
            <w:r w:rsidR="00255C9E">
              <w:rPr>
                <w:rFonts w:asciiTheme="minorHAnsi" w:eastAsiaTheme="minorEastAsia" w:hAnsiTheme="minorHAnsi"/>
                <w:noProof/>
                <w:sz w:val="22"/>
                <w:lang w:eastAsia="cs-CZ"/>
              </w:rPr>
              <w:tab/>
            </w:r>
            <w:r w:rsidR="00255C9E" w:rsidRPr="005846E9">
              <w:rPr>
                <w:rStyle w:val="Hypertextovodkaz"/>
                <w:noProof/>
              </w:rPr>
              <w:t>Seznam opatření</w:t>
            </w:r>
            <w:r w:rsidR="00255C9E">
              <w:rPr>
                <w:noProof/>
                <w:webHidden/>
              </w:rPr>
              <w:tab/>
            </w:r>
            <w:r w:rsidR="00255C9E">
              <w:rPr>
                <w:noProof/>
                <w:webHidden/>
              </w:rPr>
              <w:fldChar w:fldCharType="begin"/>
            </w:r>
            <w:r w:rsidR="00255C9E">
              <w:rPr>
                <w:noProof/>
                <w:webHidden/>
              </w:rPr>
              <w:instrText xml:space="preserve"> PAGEREF _Toc465674787 \h </w:instrText>
            </w:r>
            <w:r w:rsidR="00255C9E">
              <w:rPr>
                <w:noProof/>
                <w:webHidden/>
              </w:rPr>
            </w:r>
            <w:r w:rsidR="00255C9E">
              <w:rPr>
                <w:noProof/>
                <w:webHidden/>
              </w:rPr>
              <w:fldChar w:fldCharType="separate"/>
            </w:r>
            <w:r>
              <w:rPr>
                <w:noProof/>
                <w:webHidden/>
              </w:rPr>
              <w:t>32</w:t>
            </w:r>
            <w:r w:rsidR="00255C9E">
              <w:rPr>
                <w:noProof/>
                <w:webHidden/>
              </w:rPr>
              <w:fldChar w:fldCharType="end"/>
            </w:r>
          </w:hyperlink>
        </w:p>
        <w:p w:rsidR="00255C9E" w:rsidRDefault="00255C9E">
          <w:pPr>
            <w:pStyle w:val="Obsah1"/>
            <w:tabs>
              <w:tab w:val="left" w:pos="480"/>
              <w:tab w:val="right" w:leader="dot" w:pos="9062"/>
            </w:tabs>
            <w:rPr>
              <w:rFonts w:asciiTheme="minorHAnsi" w:eastAsiaTheme="minorEastAsia" w:hAnsiTheme="minorHAnsi"/>
              <w:noProof/>
              <w:sz w:val="22"/>
              <w:lang w:eastAsia="cs-CZ"/>
            </w:rPr>
          </w:pPr>
        </w:p>
        <w:p w:rsidR="00C26633" w:rsidRDefault="00C26633">
          <w:r>
            <w:rPr>
              <w:b/>
              <w:bCs/>
            </w:rPr>
            <w:fldChar w:fldCharType="end"/>
          </w:r>
        </w:p>
      </w:sdtContent>
    </w:sdt>
    <w:p w:rsidR="00644621" w:rsidRDefault="00644621">
      <w:pPr>
        <w:spacing w:after="200"/>
        <w:jc w:val="left"/>
        <w:rPr>
          <w:rFonts w:eastAsiaTheme="majorEastAsia" w:cstheme="majorBidi"/>
          <w:b/>
          <w:bCs/>
          <w:sz w:val="28"/>
          <w:szCs w:val="28"/>
          <w:u w:val="single"/>
        </w:rPr>
      </w:pPr>
    </w:p>
    <w:p w:rsidR="0086035C" w:rsidRDefault="0086035C">
      <w:pPr>
        <w:spacing w:after="200"/>
        <w:jc w:val="left"/>
        <w:rPr>
          <w:rFonts w:eastAsiaTheme="majorEastAsia" w:cstheme="majorBidi"/>
          <w:b/>
          <w:bCs/>
          <w:sz w:val="28"/>
          <w:szCs w:val="28"/>
          <w:u w:val="single"/>
        </w:rPr>
      </w:pPr>
    </w:p>
    <w:p w:rsidR="0086035C" w:rsidRDefault="0086035C">
      <w:pPr>
        <w:spacing w:after="200"/>
        <w:jc w:val="left"/>
        <w:rPr>
          <w:rFonts w:eastAsiaTheme="majorEastAsia" w:cstheme="majorBidi"/>
          <w:b/>
          <w:bCs/>
          <w:sz w:val="28"/>
          <w:szCs w:val="28"/>
          <w:u w:val="single"/>
        </w:rPr>
      </w:pPr>
    </w:p>
    <w:p w:rsidR="0086035C" w:rsidRDefault="0086035C">
      <w:pPr>
        <w:spacing w:after="200"/>
        <w:jc w:val="left"/>
        <w:rPr>
          <w:rFonts w:eastAsiaTheme="majorEastAsia" w:cstheme="majorBidi"/>
          <w:b/>
          <w:bCs/>
          <w:sz w:val="28"/>
          <w:szCs w:val="28"/>
          <w:u w:val="single"/>
        </w:rPr>
      </w:pPr>
    </w:p>
    <w:p w:rsidR="0086035C" w:rsidRDefault="0086035C" w:rsidP="0086035C">
      <w:pPr>
        <w:pStyle w:val="Nadpis1"/>
      </w:pPr>
      <w:bookmarkStart w:id="0" w:name="_Toc465674767"/>
      <w:r>
        <w:t>Seznam grafů a tabulek</w:t>
      </w:r>
      <w:bookmarkEnd w:id="0"/>
    </w:p>
    <w:p w:rsidR="0086035C" w:rsidRDefault="0086035C" w:rsidP="0086035C">
      <w:pPr>
        <w:rPr>
          <w:b/>
        </w:rPr>
      </w:pPr>
      <w:r w:rsidRPr="0086035C">
        <w:rPr>
          <w:b/>
        </w:rPr>
        <w:t>Grafy</w:t>
      </w:r>
    </w:p>
    <w:p w:rsidR="00805809" w:rsidRDefault="0086035C">
      <w:pPr>
        <w:pStyle w:val="Seznamobrzk"/>
        <w:tabs>
          <w:tab w:val="right" w:leader="dot" w:pos="9062"/>
        </w:tabs>
        <w:rPr>
          <w:rFonts w:asciiTheme="minorHAnsi" w:eastAsiaTheme="minorEastAsia" w:hAnsiTheme="minorHAnsi"/>
          <w:noProof/>
          <w:sz w:val="22"/>
          <w:lang w:eastAsia="cs-CZ"/>
        </w:rPr>
      </w:pPr>
      <w:r w:rsidRPr="00255C9E">
        <w:rPr>
          <w:rFonts w:eastAsiaTheme="majorEastAsia" w:cstheme="majorBidi"/>
          <w:b/>
          <w:bCs/>
          <w:szCs w:val="24"/>
          <w:u w:val="single"/>
        </w:rPr>
        <w:fldChar w:fldCharType="begin"/>
      </w:r>
      <w:r w:rsidRPr="00255C9E">
        <w:rPr>
          <w:rFonts w:eastAsiaTheme="majorEastAsia" w:cstheme="majorBidi"/>
          <w:b/>
          <w:bCs/>
          <w:szCs w:val="24"/>
          <w:u w:val="single"/>
        </w:rPr>
        <w:instrText xml:space="preserve"> TOC \h \z \c "Graf č.:" </w:instrText>
      </w:r>
      <w:r w:rsidRPr="00255C9E">
        <w:rPr>
          <w:rFonts w:eastAsiaTheme="majorEastAsia" w:cstheme="majorBidi"/>
          <w:b/>
          <w:bCs/>
          <w:szCs w:val="24"/>
          <w:u w:val="single"/>
        </w:rPr>
        <w:fldChar w:fldCharType="separate"/>
      </w:r>
      <w:hyperlink w:anchor="_Toc465675920" w:history="1">
        <w:r w:rsidR="00805809" w:rsidRPr="00122E7D">
          <w:rPr>
            <w:rStyle w:val="Hypertextovodkaz"/>
            <w:noProof/>
          </w:rPr>
          <w:t>Graf 1 – Počty VPM podle hl. tříd zaměstnání a doby neobsazení (30. 9. 2016)</w:t>
        </w:r>
        <w:r w:rsidR="00805809">
          <w:rPr>
            <w:noProof/>
            <w:webHidden/>
          </w:rPr>
          <w:tab/>
        </w:r>
        <w:r w:rsidR="00805809">
          <w:rPr>
            <w:noProof/>
            <w:webHidden/>
          </w:rPr>
          <w:fldChar w:fldCharType="begin"/>
        </w:r>
        <w:r w:rsidR="00805809">
          <w:rPr>
            <w:noProof/>
            <w:webHidden/>
          </w:rPr>
          <w:instrText xml:space="preserve"> PAGEREF _Toc465675920 \h </w:instrText>
        </w:r>
        <w:r w:rsidR="00805809">
          <w:rPr>
            <w:noProof/>
            <w:webHidden/>
          </w:rPr>
        </w:r>
        <w:r w:rsidR="00805809">
          <w:rPr>
            <w:noProof/>
            <w:webHidden/>
          </w:rPr>
          <w:fldChar w:fldCharType="separate"/>
        </w:r>
        <w:r w:rsidR="005B254A">
          <w:rPr>
            <w:noProof/>
            <w:webHidden/>
          </w:rPr>
          <w:t>4</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21" w:history="1">
        <w:r w:rsidR="00805809" w:rsidRPr="00122E7D">
          <w:rPr>
            <w:rStyle w:val="Hypertextovodkaz"/>
            <w:noProof/>
          </w:rPr>
          <w:t>Graf 2 - Podíly VPM podle hl. tříd zaměstnání podle doby neobsazení (30. 9. 2016)</w:t>
        </w:r>
        <w:r w:rsidR="00805809">
          <w:rPr>
            <w:noProof/>
            <w:webHidden/>
          </w:rPr>
          <w:tab/>
        </w:r>
        <w:r w:rsidR="00805809">
          <w:rPr>
            <w:noProof/>
            <w:webHidden/>
          </w:rPr>
          <w:fldChar w:fldCharType="begin"/>
        </w:r>
        <w:r w:rsidR="00805809">
          <w:rPr>
            <w:noProof/>
            <w:webHidden/>
          </w:rPr>
          <w:instrText xml:space="preserve"> PAGEREF _Toc465675921 \h </w:instrText>
        </w:r>
        <w:r w:rsidR="00805809">
          <w:rPr>
            <w:noProof/>
            <w:webHidden/>
          </w:rPr>
        </w:r>
        <w:r w:rsidR="00805809">
          <w:rPr>
            <w:noProof/>
            <w:webHidden/>
          </w:rPr>
          <w:fldChar w:fldCharType="separate"/>
        </w:r>
        <w:r>
          <w:rPr>
            <w:noProof/>
            <w:webHidden/>
          </w:rPr>
          <w:t>4</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22" w:history="1">
        <w:r w:rsidR="00805809" w:rsidRPr="00122E7D">
          <w:rPr>
            <w:rStyle w:val="Hypertextovodkaz"/>
            <w:noProof/>
          </w:rPr>
          <w:t>Graf 3 – Struktura a počty VPM podle požadovaného vzdělání (30. 9. 2016)</w:t>
        </w:r>
        <w:r w:rsidR="00805809">
          <w:rPr>
            <w:noProof/>
            <w:webHidden/>
          </w:rPr>
          <w:tab/>
        </w:r>
        <w:r w:rsidR="00805809">
          <w:rPr>
            <w:noProof/>
            <w:webHidden/>
          </w:rPr>
          <w:fldChar w:fldCharType="begin"/>
        </w:r>
        <w:r w:rsidR="00805809">
          <w:rPr>
            <w:noProof/>
            <w:webHidden/>
          </w:rPr>
          <w:instrText xml:space="preserve"> PAGEREF _Toc465675922 \h </w:instrText>
        </w:r>
        <w:r w:rsidR="00805809">
          <w:rPr>
            <w:noProof/>
            <w:webHidden/>
          </w:rPr>
        </w:r>
        <w:r w:rsidR="00805809">
          <w:rPr>
            <w:noProof/>
            <w:webHidden/>
          </w:rPr>
          <w:fldChar w:fldCharType="separate"/>
        </w:r>
        <w:r>
          <w:rPr>
            <w:noProof/>
            <w:webHidden/>
          </w:rPr>
          <w:t>5</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23" w:history="1">
        <w:r w:rsidR="00805809" w:rsidRPr="00122E7D">
          <w:rPr>
            <w:rStyle w:val="Hypertextovodkaz"/>
            <w:noProof/>
          </w:rPr>
          <w:t>Graf 4 – Podíly VPM podle vzdělání a podle doby neobsazenosti (30. 9. 2016)</w:t>
        </w:r>
        <w:r w:rsidR="00805809">
          <w:rPr>
            <w:noProof/>
            <w:webHidden/>
          </w:rPr>
          <w:tab/>
        </w:r>
        <w:r w:rsidR="00805809">
          <w:rPr>
            <w:noProof/>
            <w:webHidden/>
          </w:rPr>
          <w:fldChar w:fldCharType="begin"/>
        </w:r>
        <w:r w:rsidR="00805809">
          <w:rPr>
            <w:noProof/>
            <w:webHidden/>
          </w:rPr>
          <w:instrText xml:space="preserve"> PAGEREF _Toc465675923 \h </w:instrText>
        </w:r>
        <w:r w:rsidR="00805809">
          <w:rPr>
            <w:noProof/>
            <w:webHidden/>
          </w:rPr>
        </w:r>
        <w:r w:rsidR="00805809">
          <w:rPr>
            <w:noProof/>
            <w:webHidden/>
          </w:rPr>
          <w:fldChar w:fldCharType="separate"/>
        </w:r>
        <w:r>
          <w:rPr>
            <w:noProof/>
            <w:webHidden/>
          </w:rPr>
          <w:t>5</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24" w:history="1">
        <w:r w:rsidR="00805809" w:rsidRPr="00122E7D">
          <w:rPr>
            <w:rStyle w:val="Hypertextovodkaz"/>
            <w:noProof/>
          </w:rPr>
          <w:t>Graf 5 – Počet UoZ na VPM podle kategorie zaměstnání - vývoj</w:t>
        </w:r>
        <w:r w:rsidR="00805809">
          <w:rPr>
            <w:noProof/>
            <w:webHidden/>
          </w:rPr>
          <w:tab/>
        </w:r>
        <w:r w:rsidR="00805809">
          <w:rPr>
            <w:noProof/>
            <w:webHidden/>
          </w:rPr>
          <w:fldChar w:fldCharType="begin"/>
        </w:r>
        <w:r w:rsidR="00805809">
          <w:rPr>
            <w:noProof/>
            <w:webHidden/>
          </w:rPr>
          <w:instrText xml:space="preserve"> PAGEREF _Toc465675924 \h </w:instrText>
        </w:r>
        <w:r w:rsidR="00805809">
          <w:rPr>
            <w:noProof/>
            <w:webHidden/>
          </w:rPr>
        </w:r>
        <w:r w:rsidR="00805809">
          <w:rPr>
            <w:noProof/>
            <w:webHidden/>
          </w:rPr>
          <w:fldChar w:fldCharType="separate"/>
        </w:r>
        <w:r>
          <w:rPr>
            <w:noProof/>
            <w:webHidden/>
          </w:rPr>
          <w:t>6</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25" w:history="1">
        <w:r w:rsidR="00805809" w:rsidRPr="00122E7D">
          <w:rPr>
            <w:rStyle w:val="Hypertextovodkaz"/>
            <w:noProof/>
          </w:rPr>
          <w:t>Graf 6 – vývoj počtu UoZ/VPM v krajích k 30. 9. daného roku</w:t>
        </w:r>
        <w:r w:rsidR="00805809">
          <w:rPr>
            <w:noProof/>
            <w:webHidden/>
          </w:rPr>
          <w:tab/>
        </w:r>
        <w:r w:rsidR="00805809">
          <w:rPr>
            <w:noProof/>
            <w:webHidden/>
          </w:rPr>
          <w:fldChar w:fldCharType="begin"/>
        </w:r>
        <w:r w:rsidR="00805809">
          <w:rPr>
            <w:noProof/>
            <w:webHidden/>
          </w:rPr>
          <w:instrText xml:space="preserve"> PAGEREF _Toc465675925 \h </w:instrText>
        </w:r>
        <w:r w:rsidR="00805809">
          <w:rPr>
            <w:noProof/>
            <w:webHidden/>
          </w:rPr>
        </w:r>
        <w:r w:rsidR="00805809">
          <w:rPr>
            <w:noProof/>
            <w:webHidden/>
          </w:rPr>
          <w:fldChar w:fldCharType="separate"/>
        </w:r>
        <w:r>
          <w:rPr>
            <w:noProof/>
            <w:webHidden/>
          </w:rPr>
          <w:t>6</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26" w:history="1">
        <w:r w:rsidR="00805809" w:rsidRPr="00122E7D">
          <w:rPr>
            <w:rStyle w:val="Hypertextovodkaz"/>
            <w:noProof/>
          </w:rPr>
          <w:t>Graf 7 - Součet podílů znevýhodněných skupin UoZ podle krajů k 30. 9. 2016</w:t>
        </w:r>
        <w:r w:rsidR="00805809">
          <w:rPr>
            <w:noProof/>
            <w:webHidden/>
          </w:rPr>
          <w:tab/>
        </w:r>
        <w:r w:rsidR="00805809">
          <w:rPr>
            <w:noProof/>
            <w:webHidden/>
          </w:rPr>
          <w:fldChar w:fldCharType="begin"/>
        </w:r>
        <w:r w:rsidR="00805809">
          <w:rPr>
            <w:noProof/>
            <w:webHidden/>
          </w:rPr>
          <w:instrText xml:space="preserve"> PAGEREF _Toc465675926 \h </w:instrText>
        </w:r>
        <w:r w:rsidR="00805809">
          <w:rPr>
            <w:noProof/>
            <w:webHidden/>
          </w:rPr>
        </w:r>
        <w:r w:rsidR="00805809">
          <w:rPr>
            <w:noProof/>
            <w:webHidden/>
          </w:rPr>
          <w:fldChar w:fldCharType="separate"/>
        </w:r>
        <w:r>
          <w:rPr>
            <w:noProof/>
            <w:webHidden/>
          </w:rPr>
          <w:t>10</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27" w:history="1">
        <w:r w:rsidR="00805809" w:rsidRPr="00122E7D">
          <w:rPr>
            <w:rStyle w:val="Hypertextovodkaz"/>
            <w:noProof/>
          </w:rPr>
          <w:t>Graf 8 - Vzdělanostní struktura UoZ k 30. 9. 2016 podle krajů, vzdělanostní struktura absolventů v ČR</w:t>
        </w:r>
        <w:r w:rsidR="00805809">
          <w:rPr>
            <w:noProof/>
            <w:webHidden/>
          </w:rPr>
          <w:tab/>
        </w:r>
        <w:r w:rsidR="00805809">
          <w:rPr>
            <w:noProof/>
            <w:webHidden/>
          </w:rPr>
          <w:fldChar w:fldCharType="begin"/>
        </w:r>
        <w:r w:rsidR="00805809">
          <w:rPr>
            <w:noProof/>
            <w:webHidden/>
          </w:rPr>
          <w:instrText xml:space="preserve"> PAGEREF _Toc465675927 \h </w:instrText>
        </w:r>
        <w:r w:rsidR="00805809">
          <w:rPr>
            <w:noProof/>
            <w:webHidden/>
          </w:rPr>
        </w:r>
        <w:r w:rsidR="00805809">
          <w:rPr>
            <w:noProof/>
            <w:webHidden/>
          </w:rPr>
          <w:fldChar w:fldCharType="separate"/>
        </w:r>
        <w:r>
          <w:rPr>
            <w:noProof/>
            <w:webHidden/>
          </w:rPr>
          <w:t>11</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28" w:history="1">
        <w:r w:rsidR="00805809" w:rsidRPr="00122E7D">
          <w:rPr>
            <w:rStyle w:val="Hypertextovodkaz"/>
            <w:noProof/>
          </w:rPr>
          <w:t>Graf 9 – Počet a podíl UoZ vykonávajících nekolidující zaměstnání (2006-2014)</w:t>
        </w:r>
        <w:r w:rsidR="00805809">
          <w:rPr>
            <w:noProof/>
            <w:webHidden/>
          </w:rPr>
          <w:tab/>
        </w:r>
        <w:r w:rsidR="00805809">
          <w:rPr>
            <w:noProof/>
            <w:webHidden/>
          </w:rPr>
          <w:fldChar w:fldCharType="begin"/>
        </w:r>
        <w:r w:rsidR="00805809">
          <w:rPr>
            <w:noProof/>
            <w:webHidden/>
          </w:rPr>
          <w:instrText xml:space="preserve"> PAGEREF _Toc465675928 \h </w:instrText>
        </w:r>
        <w:r w:rsidR="00805809">
          <w:rPr>
            <w:noProof/>
            <w:webHidden/>
          </w:rPr>
        </w:r>
        <w:r w:rsidR="00805809">
          <w:rPr>
            <w:noProof/>
            <w:webHidden/>
          </w:rPr>
          <w:fldChar w:fldCharType="separate"/>
        </w:r>
        <w:r>
          <w:rPr>
            <w:noProof/>
            <w:webHidden/>
          </w:rPr>
          <w:t>12</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29" w:history="1">
        <w:r w:rsidR="00805809" w:rsidRPr="00122E7D">
          <w:rPr>
            <w:rStyle w:val="Hypertextovodkaz"/>
            <w:noProof/>
          </w:rPr>
          <w:t>Graf 10 - Vývoj struktury uchazečů o zaměstnání podle délky evidence</w:t>
        </w:r>
        <w:r w:rsidR="00805809">
          <w:rPr>
            <w:noProof/>
            <w:webHidden/>
          </w:rPr>
          <w:tab/>
        </w:r>
        <w:r w:rsidR="00805809">
          <w:rPr>
            <w:noProof/>
            <w:webHidden/>
          </w:rPr>
          <w:fldChar w:fldCharType="begin"/>
        </w:r>
        <w:r w:rsidR="00805809">
          <w:rPr>
            <w:noProof/>
            <w:webHidden/>
          </w:rPr>
          <w:instrText xml:space="preserve"> PAGEREF _Toc465675929 \h </w:instrText>
        </w:r>
        <w:r w:rsidR="00805809">
          <w:rPr>
            <w:noProof/>
            <w:webHidden/>
          </w:rPr>
        </w:r>
        <w:r w:rsidR="00805809">
          <w:rPr>
            <w:noProof/>
            <w:webHidden/>
          </w:rPr>
          <w:fldChar w:fldCharType="separate"/>
        </w:r>
        <w:r>
          <w:rPr>
            <w:noProof/>
            <w:webHidden/>
          </w:rPr>
          <w:t>13</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r:id="rId14" w:anchor="_Toc465675930" w:history="1">
        <w:r w:rsidR="00805809" w:rsidRPr="00122E7D">
          <w:rPr>
            <w:rStyle w:val="Hypertextovodkaz"/>
            <w:noProof/>
          </w:rPr>
          <w:t xml:space="preserve">Graf 11 - </w:t>
        </w:r>
        <w:r w:rsidR="00805809" w:rsidRPr="00122E7D">
          <w:rPr>
            <w:rStyle w:val="Hypertextovodkaz"/>
            <w:i/>
            <w:noProof/>
          </w:rPr>
          <w:t xml:space="preserve"> </w:t>
        </w:r>
        <w:r w:rsidR="00805809" w:rsidRPr="00122E7D">
          <w:rPr>
            <w:rStyle w:val="Hypertextovodkaz"/>
            <w:noProof/>
          </w:rPr>
          <w:t>Vývoj počtu uchazečů o zaměstnání podle délky evidence</w:t>
        </w:r>
        <w:r w:rsidR="00805809">
          <w:rPr>
            <w:noProof/>
            <w:webHidden/>
          </w:rPr>
          <w:tab/>
        </w:r>
        <w:r w:rsidR="00805809">
          <w:rPr>
            <w:noProof/>
            <w:webHidden/>
          </w:rPr>
          <w:fldChar w:fldCharType="begin"/>
        </w:r>
        <w:r w:rsidR="00805809">
          <w:rPr>
            <w:noProof/>
            <w:webHidden/>
          </w:rPr>
          <w:instrText xml:space="preserve"> PAGEREF _Toc465675930 \h </w:instrText>
        </w:r>
        <w:r w:rsidR="00805809">
          <w:rPr>
            <w:noProof/>
            <w:webHidden/>
          </w:rPr>
        </w:r>
        <w:r w:rsidR="00805809">
          <w:rPr>
            <w:noProof/>
            <w:webHidden/>
          </w:rPr>
          <w:fldChar w:fldCharType="separate"/>
        </w:r>
        <w:r>
          <w:rPr>
            <w:noProof/>
            <w:webHidden/>
          </w:rPr>
          <w:t>14</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31" w:history="1">
        <w:r w:rsidR="00805809" w:rsidRPr="00122E7D">
          <w:rPr>
            <w:rStyle w:val="Hypertextovodkaz"/>
            <w:noProof/>
          </w:rPr>
          <w:t>Graf 12 - Dynamika vývoje (mezičtvrtletní nárůst/pokles počtu v %) dlouhodobě nezaměstnaných uchazečů o zaměstnání</w:t>
        </w:r>
        <w:r w:rsidR="00805809">
          <w:rPr>
            <w:noProof/>
            <w:webHidden/>
          </w:rPr>
          <w:tab/>
        </w:r>
        <w:r w:rsidR="00805809">
          <w:rPr>
            <w:noProof/>
            <w:webHidden/>
          </w:rPr>
          <w:fldChar w:fldCharType="begin"/>
        </w:r>
        <w:r w:rsidR="00805809">
          <w:rPr>
            <w:noProof/>
            <w:webHidden/>
          </w:rPr>
          <w:instrText xml:space="preserve"> PAGEREF _Toc465675931 \h </w:instrText>
        </w:r>
        <w:r w:rsidR="00805809">
          <w:rPr>
            <w:noProof/>
            <w:webHidden/>
          </w:rPr>
        </w:r>
        <w:r w:rsidR="00805809">
          <w:rPr>
            <w:noProof/>
            <w:webHidden/>
          </w:rPr>
          <w:fldChar w:fldCharType="separate"/>
        </w:r>
        <w:r>
          <w:rPr>
            <w:noProof/>
            <w:webHidden/>
          </w:rPr>
          <w:t>14</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r:id="rId15" w:anchor="_Toc465675932" w:history="1">
        <w:r w:rsidR="00805809" w:rsidRPr="00122E7D">
          <w:rPr>
            <w:rStyle w:val="Hypertextovodkaz"/>
            <w:noProof/>
          </w:rPr>
          <w:t>Graf 13 Dynamika vývoje (mezičtvrtletní nárů</w:t>
        </w:r>
        <w:r w:rsidR="00B80241">
          <w:rPr>
            <w:rStyle w:val="Hypertextovodkaz"/>
            <w:noProof/>
          </w:rPr>
          <w:t>st/pokles počtu v %) uchazečů o </w:t>
        </w:r>
        <w:r w:rsidR="00805809" w:rsidRPr="00122E7D">
          <w:rPr>
            <w:rStyle w:val="Hypertextovodkaz"/>
            <w:noProof/>
          </w:rPr>
          <w:t>zaměstnání – celkový počet a uchazeči o zaměstnání do 12 měsíců evidence</w:t>
        </w:r>
        <w:r w:rsidR="00805809">
          <w:rPr>
            <w:noProof/>
            <w:webHidden/>
          </w:rPr>
          <w:tab/>
        </w:r>
        <w:r w:rsidR="00805809">
          <w:rPr>
            <w:noProof/>
            <w:webHidden/>
          </w:rPr>
          <w:fldChar w:fldCharType="begin"/>
        </w:r>
        <w:r w:rsidR="00805809">
          <w:rPr>
            <w:noProof/>
            <w:webHidden/>
          </w:rPr>
          <w:instrText xml:space="preserve"> PAGEREF _Toc465675932 \h </w:instrText>
        </w:r>
        <w:r w:rsidR="00805809">
          <w:rPr>
            <w:noProof/>
            <w:webHidden/>
          </w:rPr>
        </w:r>
        <w:r w:rsidR="00805809">
          <w:rPr>
            <w:noProof/>
            <w:webHidden/>
          </w:rPr>
          <w:fldChar w:fldCharType="separate"/>
        </w:r>
        <w:r>
          <w:rPr>
            <w:noProof/>
            <w:webHidden/>
          </w:rPr>
          <w:t>15</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33" w:history="1">
        <w:r w:rsidR="00805809" w:rsidRPr="00122E7D">
          <w:rPr>
            <w:rStyle w:val="Hypertextovodkaz"/>
            <w:noProof/>
          </w:rPr>
          <w:t>Graf 14 - Struktura dlouhodobě nezaměstnaných UoZ – součet podílů sledovaných skupin, k 31. 8. 2016</w:t>
        </w:r>
        <w:r w:rsidR="00805809">
          <w:rPr>
            <w:noProof/>
            <w:webHidden/>
          </w:rPr>
          <w:tab/>
        </w:r>
        <w:r w:rsidR="00805809">
          <w:rPr>
            <w:noProof/>
            <w:webHidden/>
          </w:rPr>
          <w:fldChar w:fldCharType="begin"/>
        </w:r>
        <w:r w:rsidR="00805809">
          <w:rPr>
            <w:noProof/>
            <w:webHidden/>
          </w:rPr>
          <w:instrText xml:space="preserve"> PAGEREF _Toc465675933 \h </w:instrText>
        </w:r>
        <w:r w:rsidR="00805809">
          <w:rPr>
            <w:noProof/>
            <w:webHidden/>
          </w:rPr>
        </w:r>
        <w:r w:rsidR="00805809">
          <w:rPr>
            <w:noProof/>
            <w:webHidden/>
          </w:rPr>
          <w:fldChar w:fldCharType="separate"/>
        </w:r>
        <w:r>
          <w:rPr>
            <w:noProof/>
            <w:webHidden/>
          </w:rPr>
          <w:t>17</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r:id="rId16" w:anchor="_Toc465675934" w:history="1">
        <w:r w:rsidR="00805809" w:rsidRPr="00122E7D">
          <w:rPr>
            <w:rStyle w:val="Hypertextovodkaz"/>
            <w:noProof/>
          </w:rPr>
          <w:t>Graf 15 Struktura dlouhodobě nezaměstnaných UoZ – počty ve sledovaných skupinách, k 31. 8. 2016</w:t>
        </w:r>
        <w:r w:rsidR="00805809">
          <w:rPr>
            <w:noProof/>
            <w:webHidden/>
          </w:rPr>
          <w:tab/>
        </w:r>
        <w:r w:rsidR="00805809">
          <w:rPr>
            <w:noProof/>
            <w:webHidden/>
          </w:rPr>
          <w:fldChar w:fldCharType="begin"/>
        </w:r>
        <w:r w:rsidR="00805809">
          <w:rPr>
            <w:noProof/>
            <w:webHidden/>
          </w:rPr>
          <w:instrText xml:space="preserve"> PAGEREF _Toc465675934 \h </w:instrText>
        </w:r>
        <w:r w:rsidR="00805809">
          <w:rPr>
            <w:noProof/>
            <w:webHidden/>
          </w:rPr>
        </w:r>
        <w:r w:rsidR="00805809">
          <w:rPr>
            <w:noProof/>
            <w:webHidden/>
          </w:rPr>
          <w:fldChar w:fldCharType="separate"/>
        </w:r>
        <w:r>
          <w:rPr>
            <w:noProof/>
            <w:webHidden/>
          </w:rPr>
          <w:t>18</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w:anchor="_Toc465675935" w:history="1">
        <w:r w:rsidR="00805809" w:rsidRPr="00122E7D">
          <w:rPr>
            <w:rStyle w:val="Hypertextovodkaz"/>
            <w:noProof/>
          </w:rPr>
          <w:t>Graf 16 – Počet agentur práce v letech 2004 - 2016</w:t>
        </w:r>
        <w:r w:rsidR="00805809">
          <w:rPr>
            <w:noProof/>
            <w:webHidden/>
          </w:rPr>
          <w:tab/>
        </w:r>
        <w:r w:rsidR="00805809">
          <w:rPr>
            <w:noProof/>
            <w:webHidden/>
          </w:rPr>
          <w:fldChar w:fldCharType="begin"/>
        </w:r>
        <w:r w:rsidR="00805809">
          <w:rPr>
            <w:noProof/>
            <w:webHidden/>
          </w:rPr>
          <w:instrText xml:space="preserve"> PAGEREF _Toc465675935 \h </w:instrText>
        </w:r>
        <w:r w:rsidR="00805809">
          <w:rPr>
            <w:noProof/>
            <w:webHidden/>
          </w:rPr>
        </w:r>
        <w:r w:rsidR="00805809">
          <w:rPr>
            <w:noProof/>
            <w:webHidden/>
          </w:rPr>
          <w:fldChar w:fldCharType="separate"/>
        </w:r>
        <w:r>
          <w:rPr>
            <w:noProof/>
            <w:webHidden/>
          </w:rPr>
          <w:t>28</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r:id="rId17" w:anchor="_Toc465675936" w:history="1">
        <w:r w:rsidR="00805809" w:rsidRPr="00122E7D">
          <w:rPr>
            <w:rStyle w:val="Hypertextovodkaz"/>
            <w:noProof/>
          </w:rPr>
          <w:t>Graf 17 - Vývoj zprostředkovatelské činnosti age</w:t>
        </w:r>
        <w:r w:rsidR="00B80241">
          <w:rPr>
            <w:rStyle w:val="Hypertextovodkaz"/>
            <w:noProof/>
          </w:rPr>
          <w:t>ntur práce a Počet umístěných a </w:t>
        </w:r>
        <w:r w:rsidR="00805809" w:rsidRPr="00122E7D">
          <w:rPr>
            <w:rStyle w:val="Hypertextovodkaz"/>
            <w:noProof/>
          </w:rPr>
          <w:t>dočasně přidělených fyzických osob 2004 - 2015</w:t>
        </w:r>
        <w:r w:rsidR="00805809">
          <w:rPr>
            <w:noProof/>
            <w:webHidden/>
          </w:rPr>
          <w:tab/>
        </w:r>
        <w:r w:rsidR="00805809">
          <w:rPr>
            <w:noProof/>
            <w:webHidden/>
          </w:rPr>
          <w:fldChar w:fldCharType="begin"/>
        </w:r>
        <w:r w:rsidR="00805809">
          <w:rPr>
            <w:noProof/>
            <w:webHidden/>
          </w:rPr>
          <w:instrText xml:space="preserve"> PAGEREF _Toc465675936 \h </w:instrText>
        </w:r>
        <w:r w:rsidR="00805809">
          <w:rPr>
            <w:noProof/>
            <w:webHidden/>
          </w:rPr>
        </w:r>
        <w:r w:rsidR="00805809">
          <w:rPr>
            <w:noProof/>
            <w:webHidden/>
          </w:rPr>
          <w:fldChar w:fldCharType="separate"/>
        </w:r>
        <w:r>
          <w:rPr>
            <w:noProof/>
            <w:webHidden/>
          </w:rPr>
          <w:t>28</w:t>
        </w:r>
        <w:r w:rsidR="00805809">
          <w:rPr>
            <w:noProof/>
            <w:webHidden/>
          </w:rPr>
          <w:fldChar w:fldCharType="end"/>
        </w:r>
      </w:hyperlink>
    </w:p>
    <w:p w:rsidR="00805809" w:rsidRDefault="005B254A">
      <w:pPr>
        <w:pStyle w:val="Seznamobrzk"/>
        <w:tabs>
          <w:tab w:val="right" w:leader="dot" w:pos="9062"/>
        </w:tabs>
        <w:rPr>
          <w:rFonts w:asciiTheme="minorHAnsi" w:eastAsiaTheme="minorEastAsia" w:hAnsiTheme="minorHAnsi"/>
          <w:noProof/>
          <w:sz w:val="22"/>
          <w:lang w:eastAsia="cs-CZ"/>
        </w:rPr>
      </w:pPr>
      <w:hyperlink r:id="rId18" w:anchor="_Toc465675937" w:history="1">
        <w:r w:rsidR="00805809" w:rsidRPr="00122E7D">
          <w:rPr>
            <w:rStyle w:val="Hypertextovodkaz"/>
            <w:noProof/>
          </w:rPr>
          <w:t>Graf 18 - Realizované kontroly agenturního zaměstnávání v období 2009 - 1. pol. 2016</w:t>
        </w:r>
        <w:r w:rsidR="00805809">
          <w:rPr>
            <w:noProof/>
            <w:webHidden/>
          </w:rPr>
          <w:tab/>
        </w:r>
        <w:r w:rsidR="00805809">
          <w:rPr>
            <w:noProof/>
            <w:webHidden/>
          </w:rPr>
          <w:fldChar w:fldCharType="begin"/>
        </w:r>
        <w:r w:rsidR="00805809">
          <w:rPr>
            <w:noProof/>
            <w:webHidden/>
          </w:rPr>
          <w:instrText xml:space="preserve"> PAGEREF _Toc465675937 \h </w:instrText>
        </w:r>
        <w:r w:rsidR="00805809">
          <w:rPr>
            <w:noProof/>
            <w:webHidden/>
          </w:rPr>
        </w:r>
        <w:r w:rsidR="00805809">
          <w:rPr>
            <w:noProof/>
            <w:webHidden/>
          </w:rPr>
          <w:fldChar w:fldCharType="separate"/>
        </w:r>
        <w:r>
          <w:rPr>
            <w:noProof/>
            <w:webHidden/>
          </w:rPr>
          <w:t>31</w:t>
        </w:r>
        <w:r w:rsidR="00805809">
          <w:rPr>
            <w:noProof/>
            <w:webHidden/>
          </w:rPr>
          <w:fldChar w:fldCharType="end"/>
        </w:r>
      </w:hyperlink>
    </w:p>
    <w:p w:rsidR="00805809" w:rsidRDefault="0086035C" w:rsidP="00255C9E">
      <w:pPr>
        <w:jc w:val="left"/>
        <w:rPr>
          <w:rFonts w:eastAsiaTheme="majorEastAsia" w:cstheme="majorBidi"/>
          <w:b/>
          <w:bCs/>
          <w:szCs w:val="24"/>
          <w:u w:val="single"/>
        </w:rPr>
      </w:pPr>
      <w:r w:rsidRPr="00255C9E">
        <w:rPr>
          <w:rFonts w:eastAsiaTheme="majorEastAsia" w:cstheme="majorBidi"/>
          <w:b/>
          <w:bCs/>
          <w:szCs w:val="24"/>
          <w:u w:val="single"/>
        </w:rPr>
        <w:fldChar w:fldCharType="end"/>
      </w:r>
    </w:p>
    <w:p w:rsidR="0086035C" w:rsidRPr="00255C9E" w:rsidRDefault="0086035C" w:rsidP="00255C9E">
      <w:pPr>
        <w:jc w:val="left"/>
        <w:rPr>
          <w:rFonts w:eastAsiaTheme="majorEastAsia" w:cstheme="majorBidi"/>
          <w:b/>
          <w:bCs/>
          <w:szCs w:val="24"/>
        </w:rPr>
      </w:pPr>
      <w:r w:rsidRPr="00255C9E">
        <w:rPr>
          <w:rFonts w:eastAsiaTheme="majorEastAsia" w:cstheme="majorBidi"/>
          <w:b/>
          <w:bCs/>
          <w:szCs w:val="24"/>
        </w:rPr>
        <w:t>Tabulky</w:t>
      </w:r>
    </w:p>
    <w:p w:rsidR="0086035C" w:rsidRPr="00255C9E" w:rsidRDefault="0086035C">
      <w:pPr>
        <w:pStyle w:val="Seznamobrzk"/>
        <w:tabs>
          <w:tab w:val="right" w:leader="dot" w:pos="9062"/>
        </w:tabs>
        <w:rPr>
          <w:rFonts w:asciiTheme="minorHAnsi" w:eastAsiaTheme="minorEastAsia" w:hAnsiTheme="minorHAnsi"/>
          <w:noProof/>
          <w:szCs w:val="24"/>
          <w:lang w:eastAsia="cs-CZ"/>
        </w:rPr>
      </w:pPr>
      <w:r w:rsidRPr="00255C9E">
        <w:rPr>
          <w:rFonts w:eastAsiaTheme="majorEastAsia" w:cstheme="majorBidi"/>
          <w:b/>
          <w:bCs/>
          <w:szCs w:val="24"/>
        </w:rPr>
        <w:fldChar w:fldCharType="begin"/>
      </w:r>
      <w:r w:rsidRPr="00255C9E">
        <w:rPr>
          <w:rFonts w:eastAsiaTheme="majorEastAsia" w:cstheme="majorBidi"/>
          <w:b/>
          <w:bCs/>
          <w:szCs w:val="24"/>
        </w:rPr>
        <w:instrText xml:space="preserve"> TOC \h \z \c "Tabulka" </w:instrText>
      </w:r>
      <w:r w:rsidRPr="00255C9E">
        <w:rPr>
          <w:rFonts w:eastAsiaTheme="majorEastAsia" w:cstheme="majorBidi"/>
          <w:b/>
          <w:bCs/>
          <w:szCs w:val="24"/>
        </w:rPr>
        <w:fldChar w:fldCharType="separate"/>
      </w:r>
      <w:hyperlink w:anchor="_Toc465674531" w:history="1">
        <w:r w:rsidRPr="00255C9E">
          <w:rPr>
            <w:rStyle w:val="Hypertextovodkaz"/>
            <w:noProof/>
            <w:szCs w:val="24"/>
          </w:rPr>
          <w:t>Tabulka 1: Nezaměstnanost v ČR k 30. 9. 2016</w:t>
        </w:r>
        <w:r w:rsidRPr="00255C9E">
          <w:rPr>
            <w:noProof/>
            <w:webHidden/>
            <w:szCs w:val="24"/>
          </w:rPr>
          <w:tab/>
        </w:r>
        <w:r w:rsidRPr="00255C9E">
          <w:rPr>
            <w:noProof/>
            <w:webHidden/>
            <w:szCs w:val="24"/>
          </w:rPr>
          <w:fldChar w:fldCharType="begin"/>
        </w:r>
        <w:r w:rsidRPr="00255C9E">
          <w:rPr>
            <w:noProof/>
            <w:webHidden/>
            <w:szCs w:val="24"/>
          </w:rPr>
          <w:instrText xml:space="preserve"> PAGEREF _Toc465674531 \h </w:instrText>
        </w:r>
        <w:r w:rsidRPr="00255C9E">
          <w:rPr>
            <w:noProof/>
            <w:webHidden/>
            <w:szCs w:val="24"/>
          </w:rPr>
        </w:r>
        <w:r w:rsidRPr="00255C9E">
          <w:rPr>
            <w:noProof/>
            <w:webHidden/>
            <w:szCs w:val="24"/>
          </w:rPr>
          <w:fldChar w:fldCharType="separate"/>
        </w:r>
        <w:r w:rsidR="005B254A">
          <w:rPr>
            <w:noProof/>
            <w:webHidden/>
            <w:szCs w:val="24"/>
          </w:rPr>
          <w:t>2</w:t>
        </w:r>
        <w:r w:rsidRPr="00255C9E">
          <w:rPr>
            <w:noProof/>
            <w:webHidden/>
            <w:szCs w:val="24"/>
          </w:rPr>
          <w:fldChar w:fldCharType="end"/>
        </w:r>
      </w:hyperlink>
    </w:p>
    <w:p w:rsidR="0086035C" w:rsidRPr="00255C9E" w:rsidRDefault="005B254A">
      <w:pPr>
        <w:pStyle w:val="Seznamobrzk"/>
        <w:tabs>
          <w:tab w:val="right" w:leader="dot" w:pos="9062"/>
        </w:tabs>
        <w:rPr>
          <w:rFonts w:asciiTheme="minorHAnsi" w:eastAsiaTheme="minorEastAsia" w:hAnsiTheme="minorHAnsi"/>
          <w:noProof/>
          <w:szCs w:val="24"/>
          <w:lang w:eastAsia="cs-CZ"/>
        </w:rPr>
      </w:pPr>
      <w:hyperlink w:anchor="_Toc465674532" w:history="1">
        <w:r w:rsidR="0086035C" w:rsidRPr="00255C9E">
          <w:rPr>
            <w:rStyle w:val="Hypertextovodkaz"/>
            <w:noProof/>
            <w:szCs w:val="24"/>
          </w:rPr>
          <w:t>Tabulka 2: Neobsazenost hlášených volných pracovních míst</w:t>
        </w:r>
        <w:r w:rsidR="0086035C" w:rsidRPr="00255C9E">
          <w:rPr>
            <w:noProof/>
            <w:webHidden/>
            <w:szCs w:val="24"/>
          </w:rPr>
          <w:tab/>
        </w:r>
        <w:r w:rsidR="0086035C" w:rsidRPr="00255C9E">
          <w:rPr>
            <w:noProof/>
            <w:webHidden/>
            <w:szCs w:val="24"/>
          </w:rPr>
          <w:fldChar w:fldCharType="begin"/>
        </w:r>
        <w:r w:rsidR="0086035C" w:rsidRPr="00255C9E">
          <w:rPr>
            <w:noProof/>
            <w:webHidden/>
            <w:szCs w:val="24"/>
          </w:rPr>
          <w:instrText xml:space="preserve"> PAGEREF _Toc465674532 \h </w:instrText>
        </w:r>
        <w:r w:rsidR="0086035C" w:rsidRPr="00255C9E">
          <w:rPr>
            <w:noProof/>
            <w:webHidden/>
            <w:szCs w:val="24"/>
          </w:rPr>
        </w:r>
        <w:r w:rsidR="0086035C" w:rsidRPr="00255C9E">
          <w:rPr>
            <w:noProof/>
            <w:webHidden/>
            <w:szCs w:val="24"/>
          </w:rPr>
          <w:fldChar w:fldCharType="separate"/>
        </w:r>
        <w:r>
          <w:rPr>
            <w:noProof/>
            <w:webHidden/>
            <w:szCs w:val="24"/>
          </w:rPr>
          <w:t>3</w:t>
        </w:r>
        <w:r w:rsidR="0086035C" w:rsidRPr="00255C9E">
          <w:rPr>
            <w:noProof/>
            <w:webHidden/>
            <w:szCs w:val="24"/>
          </w:rPr>
          <w:fldChar w:fldCharType="end"/>
        </w:r>
      </w:hyperlink>
    </w:p>
    <w:p w:rsidR="0086035C" w:rsidRPr="00255C9E" w:rsidRDefault="005B254A">
      <w:pPr>
        <w:pStyle w:val="Seznamobrzk"/>
        <w:tabs>
          <w:tab w:val="right" w:leader="dot" w:pos="9062"/>
        </w:tabs>
        <w:rPr>
          <w:rFonts w:asciiTheme="minorHAnsi" w:eastAsiaTheme="minorEastAsia" w:hAnsiTheme="minorHAnsi"/>
          <w:noProof/>
          <w:szCs w:val="24"/>
          <w:lang w:eastAsia="cs-CZ"/>
        </w:rPr>
      </w:pPr>
      <w:hyperlink w:anchor="_Toc465674533" w:history="1">
        <w:r w:rsidR="0086035C" w:rsidRPr="00255C9E">
          <w:rPr>
            <w:rStyle w:val="Hypertextovodkaz"/>
            <w:noProof/>
            <w:szCs w:val="24"/>
          </w:rPr>
          <w:t>Tabulka 3: Nejčastěji poptávané skupiny zaměstnání a jejich podskupiny mezi VPM k 30. 9. 2016</w:t>
        </w:r>
        <w:r w:rsidR="0086035C" w:rsidRPr="00255C9E">
          <w:rPr>
            <w:noProof/>
            <w:webHidden/>
            <w:szCs w:val="24"/>
          </w:rPr>
          <w:tab/>
        </w:r>
        <w:r w:rsidR="0086035C" w:rsidRPr="00255C9E">
          <w:rPr>
            <w:noProof/>
            <w:webHidden/>
            <w:szCs w:val="24"/>
          </w:rPr>
          <w:fldChar w:fldCharType="begin"/>
        </w:r>
        <w:r w:rsidR="0086035C" w:rsidRPr="00255C9E">
          <w:rPr>
            <w:noProof/>
            <w:webHidden/>
            <w:szCs w:val="24"/>
          </w:rPr>
          <w:instrText xml:space="preserve"> PAGEREF _Toc465674533 \h </w:instrText>
        </w:r>
        <w:r w:rsidR="0086035C" w:rsidRPr="00255C9E">
          <w:rPr>
            <w:noProof/>
            <w:webHidden/>
            <w:szCs w:val="24"/>
          </w:rPr>
        </w:r>
        <w:r w:rsidR="0086035C" w:rsidRPr="00255C9E">
          <w:rPr>
            <w:noProof/>
            <w:webHidden/>
            <w:szCs w:val="24"/>
          </w:rPr>
          <w:fldChar w:fldCharType="separate"/>
        </w:r>
        <w:r>
          <w:rPr>
            <w:noProof/>
            <w:webHidden/>
            <w:szCs w:val="24"/>
          </w:rPr>
          <w:t>7</w:t>
        </w:r>
        <w:r w:rsidR="0086035C" w:rsidRPr="00255C9E">
          <w:rPr>
            <w:noProof/>
            <w:webHidden/>
            <w:szCs w:val="24"/>
          </w:rPr>
          <w:fldChar w:fldCharType="end"/>
        </w:r>
      </w:hyperlink>
    </w:p>
    <w:p w:rsidR="0086035C" w:rsidRPr="00255C9E" w:rsidRDefault="005B254A">
      <w:pPr>
        <w:pStyle w:val="Seznamobrzk"/>
        <w:tabs>
          <w:tab w:val="right" w:leader="dot" w:pos="9062"/>
        </w:tabs>
        <w:rPr>
          <w:rFonts w:asciiTheme="minorHAnsi" w:eastAsiaTheme="minorEastAsia" w:hAnsiTheme="minorHAnsi"/>
          <w:noProof/>
          <w:szCs w:val="24"/>
          <w:lang w:eastAsia="cs-CZ"/>
        </w:rPr>
      </w:pPr>
      <w:hyperlink w:anchor="_Toc465674534" w:history="1">
        <w:r w:rsidR="0086035C" w:rsidRPr="00255C9E">
          <w:rPr>
            <w:rStyle w:val="Hypertextovodkaz"/>
            <w:noProof/>
            <w:szCs w:val="24"/>
          </w:rPr>
          <w:t>Tabulka 4: Nejčastěji zastoupené skupiny zaměstnání a jejich podskupiny mezi UoZ k 30. 9. 2016</w:t>
        </w:r>
        <w:r w:rsidR="0086035C" w:rsidRPr="00255C9E">
          <w:rPr>
            <w:noProof/>
            <w:webHidden/>
            <w:szCs w:val="24"/>
          </w:rPr>
          <w:tab/>
        </w:r>
        <w:r w:rsidR="0086035C" w:rsidRPr="00255C9E">
          <w:rPr>
            <w:noProof/>
            <w:webHidden/>
            <w:szCs w:val="24"/>
          </w:rPr>
          <w:fldChar w:fldCharType="begin"/>
        </w:r>
        <w:r w:rsidR="0086035C" w:rsidRPr="00255C9E">
          <w:rPr>
            <w:noProof/>
            <w:webHidden/>
            <w:szCs w:val="24"/>
          </w:rPr>
          <w:instrText xml:space="preserve"> PAGEREF _Toc465674534 \h </w:instrText>
        </w:r>
        <w:r w:rsidR="0086035C" w:rsidRPr="00255C9E">
          <w:rPr>
            <w:noProof/>
            <w:webHidden/>
            <w:szCs w:val="24"/>
          </w:rPr>
        </w:r>
        <w:r w:rsidR="0086035C" w:rsidRPr="00255C9E">
          <w:rPr>
            <w:noProof/>
            <w:webHidden/>
            <w:szCs w:val="24"/>
          </w:rPr>
          <w:fldChar w:fldCharType="separate"/>
        </w:r>
        <w:r>
          <w:rPr>
            <w:noProof/>
            <w:webHidden/>
            <w:szCs w:val="24"/>
          </w:rPr>
          <w:t>8</w:t>
        </w:r>
        <w:r w:rsidR="0086035C" w:rsidRPr="00255C9E">
          <w:rPr>
            <w:noProof/>
            <w:webHidden/>
            <w:szCs w:val="24"/>
          </w:rPr>
          <w:fldChar w:fldCharType="end"/>
        </w:r>
      </w:hyperlink>
    </w:p>
    <w:p w:rsidR="0086035C" w:rsidRPr="00255C9E" w:rsidRDefault="005B254A">
      <w:pPr>
        <w:pStyle w:val="Seznamobrzk"/>
        <w:tabs>
          <w:tab w:val="right" w:leader="dot" w:pos="9062"/>
        </w:tabs>
        <w:rPr>
          <w:rFonts w:asciiTheme="minorHAnsi" w:eastAsiaTheme="minorEastAsia" w:hAnsiTheme="minorHAnsi"/>
          <w:noProof/>
          <w:szCs w:val="24"/>
          <w:lang w:eastAsia="cs-CZ"/>
        </w:rPr>
      </w:pPr>
      <w:hyperlink w:anchor="_Toc465674535" w:history="1">
        <w:r w:rsidR="0086035C" w:rsidRPr="00255C9E">
          <w:rPr>
            <w:rStyle w:val="Hypertextovodkaz"/>
            <w:noProof/>
            <w:szCs w:val="24"/>
          </w:rPr>
          <w:t>Tabulka 5: Počty a podíly znevýhodněných UoZ v ČR a krajích k 30. 9. 2016</w:t>
        </w:r>
        <w:r w:rsidR="0086035C" w:rsidRPr="00255C9E">
          <w:rPr>
            <w:noProof/>
            <w:webHidden/>
            <w:szCs w:val="24"/>
          </w:rPr>
          <w:tab/>
        </w:r>
        <w:r w:rsidR="0086035C" w:rsidRPr="00255C9E">
          <w:rPr>
            <w:noProof/>
            <w:webHidden/>
            <w:szCs w:val="24"/>
          </w:rPr>
          <w:fldChar w:fldCharType="begin"/>
        </w:r>
        <w:r w:rsidR="0086035C" w:rsidRPr="00255C9E">
          <w:rPr>
            <w:noProof/>
            <w:webHidden/>
            <w:szCs w:val="24"/>
          </w:rPr>
          <w:instrText xml:space="preserve"> PAGEREF _Toc465674535 \h </w:instrText>
        </w:r>
        <w:r w:rsidR="0086035C" w:rsidRPr="00255C9E">
          <w:rPr>
            <w:noProof/>
            <w:webHidden/>
            <w:szCs w:val="24"/>
          </w:rPr>
        </w:r>
        <w:r w:rsidR="0086035C" w:rsidRPr="00255C9E">
          <w:rPr>
            <w:noProof/>
            <w:webHidden/>
            <w:szCs w:val="24"/>
          </w:rPr>
          <w:fldChar w:fldCharType="separate"/>
        </w:r>
        <w:r>
          <w:rPr>
            <w:noProof/>
            <w:webHidden/>
            <w:szCs w:val="24"/>
          </w:rPr>
          <w:t>9</w:t>
        </w:r>
        <w:r w:rsidR="0086035C" w:rsidRPr="00255C9E">
          <w:rPr>
            <w:noProof/>
            <w:webHidden/>
            <w:szCs w:val="24"/>
          </w:rPr>
          <w:fldChar w:fldCharType="end"/>
        </w:r>
      </w:hyperlink>
    </w:p>
    <w:p w:rsidR="0086035C" w:rsidRPr="00255C9E" w:rsidRDefault="005B254A">
      <w:pPr>
        <w:pStyle w:val="Seznamobrzk"/>
        <w:tabs>
          <w:tab w:val="right" w:leader="dot" w:pos="9062"/>
        </w:tabs>
        <w:rPr>
          <w:rFonts w:asciiTheme="minorHAnsi" w:eastAsiaTheme="minorEastAsia" w:hAnsiTheme="minorHAnsi"/>
          <w:noProof/>
          <w:szCs w:val="24"/>
          <w:lang w:eastAsia="cs-CZ"/>
        </w:rPr>
      </w:pPr>
      <w:hyperlink w:anchor="_Toc465674536" w:history="1">
        <w:r w:rsidR="0086035C" w:rsidRPr="00255C9E">
          <w:rPr>
            <w:rStyle w:val="Hypertextovodkaz"/>
            <w:noProof/>
            <w:szCs w:val="24"/>
          </w:rPr>
          <w:t>Tabulka 6: Vývoj počtu UoZ vykonávajících nekolidující zaměstnání (2006 až 2014)</w:t>
        </w:r>
        <w:r w:rsidR="0086035C" w:rsidRPr="00255C9E">
          <w:rPr>
            <w:noProof/>
            <w:webHidden/>
            <w:szCs w:val="24"/>
          </w:rPr>
          <w:tab/>
        </w:r>
        <w:r w:rsidR="0086035C" w:rsidRPr="00255C9E">
          <w:rPr>
            <w:noProof/>
            <w:webHidden/>
            <w:szCs w:val="24"/>
          </w:rPr>
          <w:fldChar w:fldCharType="begin"/>
        </w:r>
        <w:r w:rsidR="0086035C" w:rsidRPr="00255C9E">
          <w:rPr>
            <w:noProof/>
            <w:webHidden/>
            <w:szCs w:val="24"/>
          </w:rPr>
          <w:instrText xml:space="preserve"> PAGEREF _Toc465674536 \h </w:instrText>
        </w:r>
        <w:r w:rsidR="0086035C" w:rsidRPr="00255C9E">
          <w:rPr>
            <w:noProof/>
            <w:webHidden/>
            <w:szCs w:val="24"/>
          </w:rPr>
        </w:r>
        <w:r w:rsidR="0086035C" w:rsidRPr="00255C9E">
          <w:rPr>
            <w:noProof/>
            <w:webHidden/>
            <w:szCs w:val="24"/>
          </w:rPr>
          <w:fldChar w:fldCharType="separate"/>
        </w:r>
        <w:r>
          <w:rPr>
            <w:noProof/>
            <w:webHidden/>
            <w:szCs w:val="24"/>
          </w:rPr>
          <w:t>12</w:t>
        </w:r>
        <w:r w:rsidR="0086035C" w:rsidRPr="00255C9E">
          <w:rPr>
            <w:noProof/>
            <w:webHidden/>
            <w:szCs w:val="24"/>
          </w:rPr>
          <w:fldChar w:fldCharType="end"/>
        </w:r>
      </w:hyperlink>
    </w:p>
    <w:p w:rsidR="0086035C" w:rsidRPr="00255C9E" w:rsidRDefault="005B254A">
      <w:pPr>
        <w:pStyle w:val="Seznamobrzk"/>
        <w:tabs>
          <w:tab w:val="right" w:leader="dot" w:pos="9062"/>
        </w:tabs>
        <w:rPr>
          <w:rFonts w:asciiTheme="minorHAnsi" w:eastAsiaTheme="minorEastAsia" w:hAnsiTheme="minorHAnsi"/>
          <w:noProof/>
          <w:szCs w:val="24"/>
          <w:lang w:eastAsia="cs-CZ"/>
        </w:rPr>
      </w:pPr>
      <w:hyperlink w:anchor="_Toc465674537" w:history="1">
        <w:r w:rsidR="0086035C" w:rsidRPr="00255C9E">
          <w:rPr>
            <w:rStyle w:val="Hypertextovodkaz"/>
            <w:noProof/>
            <w:szCs w:val="24"/>
          </w:rPr>
          <w:t>Tabulka 7: Počet a podíl UoZ vykonávajících nekolidu</w:t>
        </w:r>
        <w:r w:rsidR="00B80241">
          <w:rPr>
            <w:rStyle w:val="Hypertextovodkaz"/>
            <w:noProof/>
            <w:szCs w:val="24"/>
          </w:rPr>
          <w:t>jící zaměstnání k 30. 9. 2016 a </w:t>
        </w:r>
        <w:r w:rsidR="0086035C" w:rsidRPr="00255C9E">
          <w:rPr>
            <w:rStyle w:val="Hypertextovodkaz"/>
            <w:noProof/>
            <w:szCs w:val="24"/>
          </w:rPr>
          <w:t>31. 12. 2015</w:t>
        </w:r>
        <w:r w:rsidR="0086035C" w:rsidRPr="00255C9E">
          <w:rPr>
            <w:noProof/>
            <w:webHidden/>
            <w:szCs w:val="24"/>
          </w:rPr>
          <w:tab/>
        </w:r>
        <w:r w:rsidR="0086035C" w:rsidRPr="00255C9E">
          <w:rPr>
            <w:noProof/>
            <w:webHidden/>
            <w:szCs w:val="24"/>
          </w:rPr>
          <w:fldChar w:fldCharType="begin"/>
        </w:r>
        <w:r w:rsidR="0086035C" w:rsidRPr="00255C9E">
          <w:rPr>
            <w:noProof/>
            <w:webHidden/>
            <w:szCs w:val="24"/>
          </w:rPr>
          <w:instrText xml:space="preserve"> PAGEREF _Toc465674537 \h </w:instrText>
        </w:r>
        <w:r w:rsidR="0086035C" w:rsidRPr="00255C9E">
          <w:rPr>
            <w:noProof/>
            <w:webHidden/>
            <w:szCs w:val="24"/>
          </w:rPr>
        </w:r>
        <w:r w:rsidR="0086035C" w:rsidRPr="00255C9E">
          <w:rPr>
            <w:noProof/>
            <w:webHidden/>
            <w:szCs w:val="24"/>
          </w:rPr>
          <w:fldChar w:fldCharType="separate"/>
        </w:r>
        <w:r>
          <w:rPr>
            <w:noProof/>
            <w:webHidden/>
            <w:szCs w:val="24"/>
          </w:rPr>
          <w:t>12</w:t>
        </w:r>
        <w:r w:rsidR="0086035C" w:rsidRPr="00255C9E">
          <w:rPr>
            <w:noProof/>
            <w:webHidden/>
            <w:szCs w:val="24"/>
          </w:rPr>
          <w:fldChar w:fldCharType="end"/>
        </w:r>
      </w:hyperlink>
    </w:p>
    <w:p w:rsidR="0086035C" w:rsidRPr="00255C9E" w:rsidRDefault="005B254A">
      <w:pPr>
        <w:pStyle w:val="Seznamobrzk"/>
        <w:tabs>
          <w:tab w:val="right" w:leader="dot" w:pos="9062"/>
        </w:tabs>
        <w:rPr>
          <w:rFonts w:asciiTheme="minorHAnsi" w:eastAsiaTheme="minorEastAsia" w:hAnsiTheme="minorHAnsi"/>
          <w:noProof/>
          <w:szCs w:val="24"/>
          <w:lang w:eastAsia="cs-CZ"/>
        </w:rPr>
      </w:pPr>
      <w:hyperlink w:anchor="_Toc465674538" w:history="1">
        <w:r w:rsidR="0086035C" w:rsidRPr="00255C9E">
          <w:rPr>
            <w:rStyle w:val="Hypertextovodkaz"/>
            <w:noProof/>
            <w:szCs w:val="24"/>
          </w:rPr>
          <w:t>Tabulka 8: Odhad struktury dlouhodobě evidovan</w:t>
        </w:r>
        <w:r w:rsidR="00B80241">
          <w:rPr>
            <w:rStyle w:val="Hypertextovodkaz"/>
            <w:noProof/>
            <w:szCs w:val="24"/>
          </w:rPr>
          <w:t>ých uchazečů o zaměstnání k 31. </w:t>
        </w:r>
        <w:r w:rsidR="0086035C" w:rsidRPr="00255C9E">
          <w:rPr>
            <w:rStyle w:val="Hypertextovodkaz"/>
            <w:noProof/>
            <w:szCs w:val="24"/>
          </w:rPr>
          <w:t>8. 2016, počty a podíly</w:t>
        </w:r>
        <w:r w:rsidR="0086035C" w:rsidRPr="00255C9E">
          <w:rPr>
            <w:noProof/>
            <w:webHidden/>
            <w:szCs w:val="24"/>
          </w:rPr>
          <w:tab/>
        </w:r>
        <w:r w:rsidR="0086035C" w:rsidRPr="00255C9E">
          <w:rPr>
            <w:noProof/>
            <w:webHidden/>
            <w:szCs w:val="24"/>
          </w:rPr>
          <w:fldChar w:fldCharType="begin"/>
        </w:r>
        <w:r w:rsidR="0086035C" w:rsidRPr="00255C9E">
          <w:rPr>
            <w:noProof/>
            <w:webHidden/>
            <w:szCs w:val="24"/>
          </w:rPr>
          <w:instrText xml:space="preserve"> PAGEREF _Toc465674538 \h </w:instrText>
        </w:r>
        <w:r w:rsidR="0086035C" w:rsidRPr="00255C9E">
          <w:rPr>
            <w:noProof/>
            <w:webHidden/>
            <w:szCs w:val="24"/>
          </w:rPr>
        </w:r>
        <w:r w:rsidR="0086035C" w:rsidRPr="00255C9E">
          <w:rPr>
            <w:noProof/>
            <w:webHidden/>
            <w:szCs w:val="24"/>
          </w:rPr>
          <w:fldChar w:fldCharType="separate"/>
        </w:r>
        <w:r>
          <w:rPr>
            <w:noProof/>
            <w:webHidden/>
            <w:szCs w:val="24"/>
          </w:rPr>
          <w:t>15</w:t>
        </w:r>
        <w:r w:rsidR="0086035C" w:rsidRPr="00255C9E">
          <w:rPr>
            <w:noProof/>
            <w:webHidden/>
            <w:szCs w:val="24"/>
          </w:rPr>
          <w:fldChar w:fldCharType="end"/>
        </w:r>
      </w:hyperlink>
    </w:p>
    <w:p w:rsidR="0086035C" w:rsidRPr="00255C9E" w:rsidRDefault="005B254A">
      <w:pPr>
        <w:pStyle w:val="Seznamobrzk"/>
        <w:tabs>
          <w:tab w:val="right" w:leader="dot" w:pos="9062"/>
        </w:tabs>
        <w:rPr>
          <w:rFonts w:asciiTheme="minorHAnsi" w:eastAsiaTheme="minorEastAsia" w:hAnsiTheme="minorHAnsi"/>
          <w:noProof/>
          <w:szCs w:val="24"/>
          <w:lang w:eastAsia="cs-CZ"/>
        </w:rPr>
      </w:pPr>
      <w:hyperlink w:anchor="_Toc465674539" w:history="1">
        <w:r w:rsidR="0086035C" w:rsidRPr="00255C9E">
          <w:rPr>
            <w:rStyle w:val="Hypertextovodkaz"/>
            <w:noProof/>
            <w:szCs w:val="24"/>
          </w:rPr>
          <w:t>Tabulka 9: Počty a podíly znevýhodněných osob mezi UoZ k 31. 8. 2016</w:t>
        </w:r>
        <w:r w:rsidR="0086035C" w:rsidRPr="00255C9E">
          <w:rPr>
            <w:noProof/>
            <w:webHidden/>
            <w:szCs w:val="24"/>
          </w:rPr>
          <w:tab/>
        </w:r>
        <w:r w:rsidR="0086035C" w:rsidRPr="00255C9E">
          <w:rPr>
            <w:noProof/>
            <w:webHidden/>
            <w:szCs w:val="24"/>
          </w:rPr>
          <w:fldChar w:fldCharType="begin"/>
        </w:r>
        <w:r w:rsidR="0086035C" w:rsidRPr="00255C9E">
          <w:rPr>
            <w:noProof/>
            <w:webHidden/>
            <w:szCs w:val="24"/>
          </w:rPr>
          <w:instrText xml:space="preserve"> PAGEREF _Toc465674539 \h </w:instrText>
        </w:r>
        <w:r w:rsidR="0086035C" w:rsidRPr="00255C9E">
          <w:rPr>
            <w:noProof/>
            <w:webHidden/>
            <w:szCs w:val="24"/>
          </w:rPr>
        </w:r>
        <w:r w:rsidR="0086035C" w:rsidRPr="00255C9E">
          <w:rPr>
            <w:noProof/>
            <w:webHidden/>
            <w:szCs w:val="24"/>
          </w:rPr>
          <w:fldChar w:fldCharType="separate"/>
        </w:r>
        <w:r>
          <w:rPr>
            <w:noProof/>
            <w:webHidden/>
            <w:szCs w:val="24"/>
          </w:rPr>
          <w:t>16</w:t>
        </w:r>
        <w:r w:rsidR="0086035C" w:rsidRPr="00255C9E">
          <w:rPr>
            <w:noProof/>
            <w:webHidden/>
            <w:szCs w:val="24"/>
          </w:rPr>
          <w:fldChar w:fldCharType="end"/>
        </w:r>
      </w:hyperlink>
    </w:p>
    <w:p w:rsidR="0086035C" w:rsidRPr="0086035C" w:rsidRDefault="0086035C">
      <w:pPr>
        <w:spacing w:after="200"/>
        <w:jc w:val="left"/>
        <w:rPr>
          <w:rFonts w:eastAsiaTheme="majorEastAsia" w:cstheme="majorBidi"/>
          <w:b/>
          <w:bCs/>
          <w:szCs w:val="28"/>
        </w:rPr>
      </w:pPr>
      <w:r w:rsidRPr="00255C9E">
        <w:rPr>
          <w:rFonts w:eastAsiaTheme="majorEastAsia" w:cstheme="majorBidi"/>
          <w:b/>
          <w:bCs/>
          <w:szCs w:val="24"/>
        </w:rPr>
        <w:fldChar w:fldCharType="end"/>
      </w:r>
    </w:p>
    <w:p w:rsidR="000E0C7B" w:rsidRPr="00A834BC" w:rsidRDefault="006325F4" w:rsidP="001F4C42">
      <w:pPr>
        <w:pStyle w:val="Nadpis1"/>
        <w:numPr>
          <w:ilvl w:val="0"/>
          <w:numId w:val="7"/>
        </w:numPr>
      </w:pPr>
      <w:bookmarkStart w:id="1" w:name="_Toc465674768"/>
      <w:r w:rsidRPr="00A834BC">
        <w:t>Nabídka a poptávka na trhu práce</w:t>
      </w:r>
      <w:bookmarkEnd w:id="1"/>
    </w:p>
    <w:p w:rsidR="006325F4" w:rsidRDefault="006325F4" w:rsidP="00696DB7">
      <w:pPr>
        <w:spacing w:line="240" w:lineRule="auto"/>
        <w:rPr>
          <w:b/>
          <w:u w:val="single"/>
        </w:rPr>
      </w:pPr>
    </w:p>
    <w:p w:rsidR="006325F4" w:rsidRPr="000E3262" w:rsidRDefault="006325F4" w:rsidP="001F4C42">
      <w:pPr>
        <w:pStyle w:val="Nadpis2"/>
        <w:numPr>
          <w:ilvl w:val="1"/>
          <w:numId w:val="6"/>
        </w:numPr>
        <w:spacing w:after="120"/>
        <w:ind w:left="788" w:hanging="431"/>
      </w:pPr>
      <w:bookmarkStart w:id="2" w:name="_Toc465674769"/>
      <w:r w:rsidRPr="000E3262">
        <w:t>Situace na trhu práce</w:t>
      </w:r>
      <w:bookmarkEnd w:id="2"/>
    </w:p>
    <w:p w:rsidR="006325F4" w:rsidRPr="00C605D8" w:rsidRDefault="006325F4" w:rsidP="00696DB7">
      <w:pPr>
        <w:pStyle w:val="Seznam"/>
        <w:spacing w:after="120"/>
        <w:ind w:left="0" w:firstLine="0"/>
        <w:jc w:val="both"/>
        <w:rPr>
          <w:rFonts w:ascii="Arial" w:hAnsi="Arial" w:cs="Arial"/>
        </w:rPr>
      </w:pPr>
      <w:r>
        <w:rPr>
          <w:rFonts w:ascii="Arial" w:hAnsi="Arial" w:cs="Arial"/>
        </w:rPr>
        <w:t>K 30. 9.</w:t>
      </w:r>
      <w:r w:rsidRPr="00C605D8">
        <w:rPr>
          <w:rFonts w:ascii="Arial" w:hAnsi="Arial" w:cs="Arial"/>
        </w:rPr>
        <w:t xml:space="preserve">  201</w:t>
      </w:r>
      <w:r>
        <w:rPr>
          <w:rFonts w:ascii="Arial" w:hAnsi="Arial" w:cs="Arial"/>
        </w:rPr>
        <w:t>6</w:t>
      </w:r>
      <w:r w:rsidRPr="00C605D8">
        <w:rPr>
          <w:rFonts w:ascii="Arial" w:hAnsi="Arial" w:cs="Arial"/>
        </w:rPr>
        <w:t xml:space="preserve"> bylo na pracovištích </w:t>
      </w:r>
      <w:r>
        <w:rPr>
          <w:rFonts w:ascii="Arial" w:hAnsi="Arial" w:cs="Arial"/>
        </w:rPr>
        <w:t>Úřadu práce České republiky (</w:t>
      </w:r>
      <w:r w:rsidRPr="00C605D8">
        <w:rPr>
          <w:rFonts w:ascii="Arial" w:hAnsi="Arial" w:cs="Arial"/>
        </w:rPr>
        <w:t>ÚP ČR</w:t>
      </w:r>
      <w:r>
        <w:rPr>
          <w:rFonts w:ascii="Arial" w:hAnsi="Arial" w:cs="Arial"/>
        </w:rPr>
        <w:t>)</w:t>
      </w:r>
      <w:r w:rsidRPr="00C605D8">
        <w:rPr>
          <w:rFonts w:ascii="Arial" w:hAnsi="Arial" w:cs="Arial"/>
        </w:rPr>
        <w:t xml:space="preserve"> evidováno </w:t>
      </w:r>
      <w:r>
        <w:rPr>
          <w:rFonts w:ascii="Arial" w:hAnsi="Arial" w:cs="Arial"/>
        </w:rPr>
        <w:t>378 258</w:t>
      </w:r>
      <w:r w:rsidRPr="00C605D8">
        <w:rPr>
          <w:rFonts w:ascii="Arial" w:hAnsi="Arial" w:cs="Arial"/>
        </w:rPr>
        <w:t> uchazečů o zaměstnání (</w:t>
      </w:r>
      <w:proofErr w:type="spellStart"/>
      <w:r w:rsidRPr="00C605D8">
        <w:rPr>
          <w:rFonts w:ascii="Arial" w:hAnsi="Arial" w:cs="Arial"/>
        </w:rPr>
        <w:t>UoZ</w:t>
      </w:r>
      <w:proofErr w:type="spellEnd"/>
      <w:r w:rsidRPr="00C605D8">
        <w:rPr>
          <w:rFonts w:ascii="Arial" w:hAnsi="Arial" w:cs="Arial"/>
        </w:rPr>
        <w:t>), me</w:t>
      </w:r>
      <w:r>
        <w:rPr>
          <w:rFonts w:ascii="Arial" w:hAnsi="Arial" w:cs="Arial"/>
        </w:rPr>
        <w:t xml:space="preserve">ziročně je jejich počet nižší o 63 634. Z tohoto počtu bylo dosažitelných </w:t>
      </w:r>
      <w:proofErr w:type="spellStart"/>
      <w:r>
        <w:rPr>
          <w:rFonts w:ascii="Arial" w:hAnsi="Arial" w:cs="Arial"/>
        </w:rPr>
        <w:t>UoZ</w:t>
      </w:r>
      <w:proofErr w:type="spellEnd"/>
      <w:r>
        <w:rPr>
          <w:rFonts w:ascii="Arial" w:hAnsi="Arial" w:cs="Arial"/>
        </w:rPr>
        <w:t xml:space="preserve"> 359 294,</w:t>
      </w:r>
      <w:r w:rsidR="00345300">
        <w:rPr>
          <w:rFonts w:ascii="Arial" w:hAnsi="Arial" w:cs="Arial"/>
        </w:rPr>
        <w:t xml:space="preserve"> tj. 95 % (meziročně podíl dosažitelných poklesl o 1 p. b.).</w:t>
      </w:r>
    </w:p>
    <w:p w:rsidR="006325F4" w:rsidRPr="00C605D8" w:rsidRDefault="006325F4" w:rsidP="00696DB7">
      <w:pPr>
        <w:pStyle w:val="Seznam"/>
        <w:spacing w:after="120"/>
        <w:ind w:left="0" w:firstLine="0"/>
        <w:jc w:val="both"/>
        <w:rPr>
          <w:rFonts w:ascii="Arial" w:hAnsi="Arial" w:cs="Arial"/>
        </w:rPr>
      </w:pPr>
      <w:r w:rsidRPr="00C605D8">
        <w:rPr>
          <w:rFonts w:ascii="Arial" w:hAnsi="Arial" w:cs="Arial"/>
        </w:rPr>
        <w:t xml:space="preserve">Počty volných pracovních míst (VPM) nahlášených na ÚP ČR se plynule zvyšují, ke konci </w:t>
      </w:r>
      <w:r w:rsidR="00345300">
        <w:rPr>
          <w:rFonts w:ascii="Arial" w:hAnsi="Arial" w:cs="Arial"/>
        </w:rPr>
        <w:t xml:space="preserve">září </w:t>
      </w:r>
      <w:r w:rsidRPr="00C605D8">
        <w:rPr>
          <w:rFonts w:ascii="Arial" w:hAnsi="Arial" w:cs="Arial"/>
        </w:rPr>
        <w:t xml:space="preserve">jich evidoval ÚP ČR již </w:t>
      </w:r>
      <w:r w:rsidR="00345300">
        <w:rPr>
          <w:rFonts w:ascii="Arial" w:hAnsi="Arial" w:cs="Arial"/>
        </w:rPr>
        <w:t>140 993</w:t>
      </w:r>
      <w:r w:rsidRPr="00C605D8">
        <w:rPr>
          <w:rFonts w:ascii="Arial" w:hAnsi="Arial" w:cs="Arial"/>
        </w:rPr>
        <w:t xml:space="preserve">, tj. </w:t>
      </w:r>
      <w:r w:rsidR="00345300">
        <w:rPr>
          <w:rFonts w:ascii="Arial" w:hAnsi="Arial" w:cs="Arial"/>
        </w:rPr>
        <w:t>o 32 420 více než ke stejnému období loňského roku a téměř 2,5 krát více než v září 2014.</w:t>
      </w:r>
      <w:r w:rsidRPr="00C605D8">
        <w:rPr>
          <w:rFonts w:ascii="Arial" w:hAnsi="Arial" w:cs="Arial"/>
        </w:rPr>
        <w:t xml:space="preserve"> </w:t>
      </w:r>
    </w:p>
    <w:p w:rsidR="00EC19DB" w:rsidRDefault="006325F4" w:rsidP="00696DB7">
      <w:pPr>
        <w:spacing w:line="240" w:lineRule="auto"/>
        <w:rPr>
          <w:rFonts w:cs="Arial"/>
          <w:szCs w:val="24"/>
        </w:rPr>
      </w:pPr>
      <w:r w:rsidRPr="00C605D8">
        <w:rPr>
          <w:rFonts w:cs="Arial"/>
          <w:szCs w:val="24"/>
        </w:rPr>
        <w:t xml:space="preserve">Vzhledem k výraznému nárůstu počtu hlášených VPM a poklesu počtu uchazečů o zaměstnání se převaha nabídky pracovní síly nad poptávkou po ní výrazně snížila. Na 1 volné pracovní místo připadalo v průměru </w:t>
      </w:r>
      <w:r w:rsidR="00345300">
        <w:rPr>
          <w:rFonts w:cs="Arial"/>
          <w:szCs w:val="24"/>
        </w:rPr>
        <w:t>2,</w:t>
      </w:r>
      <w:r w:rsidR="003B339E">
        <w:rPr>
          <w:rFonts w:cs="Arial"/>
          <w:szCs w:val="24"/>
        </w:rPr>
        <w:t>7</w:t>
      </w:r>
      <w:r w:rsidRPr="00C605D8">
        <w:rPr>
          <w:rFonts w:cs="Arial"/>
          <w:szCs w:val="24"/>
        </w:rPr>
        <w:t xml:space="preserve"> uchazečů o zaměstnání, zatímco na konci </w:t>
      </w:r>
      <w:r w:rsidR="00345300">
        <w:rPr>
          <w:rFonts w:cs="Arial"/>
          <w:szCs w:val="24"/>
        </w:rPr>
        <w:t xml:space="preserve">září </w:t>
      </w:r>
      <w:r w:rsidRPr="00C605D8">
        <w:rPr>
          <w:rFonts w:cs="Arial"/>
          <w:szCs w:val="24"/>
        </w:rPr>
        <w:t>201</w:t>
      </w:r>
      <w:r w:rsidR="00345300">
        <w:rPr>
          <w:rFonts w:cs="Arial"/>
          <w:szCs w:val="24"/>
        </w:rPr>
        <w:t>5</w:t>
      </w:r>
      <w:r w:rsidRPr="00C605D8">
        <w:rPr>
          <w:rFonts w:cs="Arial"/>
          <w:szCs w:val="24"/>
        </w:rPr>
        <w:t xml:space="preserve"> to bylo </w:t>
      </w:r>
      <w:r w:rsidR="00345300">
        <w:rPr>
          <w:rFonts w:cs="Arial"/>
          <w:szCs w:val="24"/>
        </w:rPr>
        <w:t xml:space="preserve">4,07 </w:t>
      </w:r>
      <w:r w:rsidRPr="00C605D8">
        <w:rPr>
          <w:rFonts w:cs="Arial"/>
          <w:szCs w:val="24"/>
        </w:rPr>
        <w:t>uchazečů.</w:t>
      </w:r>
    </w:p>
    <w:p w:rsidR="003F52F6" w:rsidRDefault="003F52F6" w:rsidP="00696DB7">
      <w:pPr>
        <w:spacing w:line="240" w:lineRule="auto"/>
        <w:rPr>
          <w:rFonts w:cs="Arial"/>
          <w:szCs w:val="24"/>
        </w:rPr>
      </w:pPr>
    </w:p>
    <w:p w:rsidR="003F52F6" w:rsidRDefault="003F52F6" w:rsidP="003F52F6">
      <w:pPr>
        <w:pStyle w:val="Titulek"/>
        <w:keepNext/>
      </w:pPr>
      <w:bookmarkStart w:id="3" w:name="_Toc465674531"/>
      <w:r>
        <w:t xml:space="preserve">Tabulka </w:t>
      </w:r>
      <w:r w:rsidR="006C5B50">
        <w:fldChar w:fldCharType="begin"/>
      </w:r>
      <w:r w:rsidR="006C5B50">
        <w:instrText xml:space="preserve"> SEQ Tabulka \* ARABIC </w:instrText>
      </w:r>
      <w:r w:rsidR="006C5B50">
        <w:fldChar w:fldCharType="separate"/>
      </w:r>
      <w:r w:rsidR="005B254A">
        <w:rPr>
          <w:noProof/>
        </w:rPr>
        <w:t>1</w:t>
      </w:r>
      <w:r w:rsidR="006C5B50">
        <w:rPr>
          <w:noProof/>
        </w:rPr>
        <w:fldChar w:fldCharType="end"/>
      </w:r>
      <w:r>
        <w:t>: Nezaměstnanost v ČR k 30. 9. 2016</w:t>
      </w:r>
      <w:bookmarkEnd w:id="3"/>
    </w:p>
    <w:tbl>
      <w:tblPr>
        <w:tblW w:w="8742" w:type="dxa"/>
        <w:jc w:val="center"/>
        <w:tblCellMar>
          <w:left w:w="70" w:type="dxa"/>
          <w:right w:w="70" w:type="dxa"/>
        </w:tblCellMar>
        <w:tblLook w:val="04A0" w:firstRow="1" w:lastRow="0" w:firstColumn="1" w:lastColumn="0" w:noHBand="0" w:noVBand="1"/>
      </w:tblPr>
      <w:tblGrid>
        <w:gridCol w:w="2646"/>
        <w:gridCol w:w="1524"/>
        <w:gridCol w:w="1524"/>
        <w:gridCol w:w="1524"/>
        <w:gridCol w:w="1524"/>
      </w:tblGrid>
      <w:tr w:rsidR="00C360A4" w:rsidRPr="00C605D8" w:rsidTr="003922C1">
        <w:trPr>
          <w:trHeight w:val="530"/>
          <w:jc w:val="center"/>
        </w:trPr>
        <w:tc>
          <w:tcPr>
            <w:tcW w:w="2646" w:type="dxa"/>
            <w:tcBorders>
              <w:top w:val="single" w:sz="4" w:space="0" w:color="auto"/>
              <w:left w:val="single" w:sz="4" w:space="0" w:color="auto"/>
              <w:bottom w:val="single" w:sz="4" w:space="0" w:color="auto"/>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 </w:t>
            </w:r>
            <w:r w:rsidR="003B339E">
              <w:rPr>
                <w:rFonts w:cs="Arial"/>
                <w:sz w:val="20"/>
                <w:szCs w:val="20"/>
              </w:rPr>
              <w:t>K 30. 9. 2016</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60A4" w:rsidRPr="00C605D8" w:rsidRDefault="00C360A4" w:rsidP="00696DB7">
            <w:pPr>
              <w:spacing w:line="240" w:lineRule="auto"/>
              <w:jc w:val="center"/>
              <w:rPr>
                <w:rFonts w:cs="Arial"/>
                <w:sz w:val="20"/>
                <w:szCs w:val="20"/>
              </w:rPr>
            </w:pPr>
            <w:r w:rsidRPr="00C605D8">
              <w:rPr>
                <w:rFonts w:cs="Arial"/>
                <w:sz w:val="20"/>
                <w:szCs w:val="20"/>
              </w:rPr>
              <w:t xml:space="preserve">Podíl </w:t>
            </w:r>
            <w:proofErr w:type="spellStart"/>
            <w:r w:rsidRPr="00C605D8">
              <w:rPr>
                <w:rFonts w:cs="Arial"/>
                <w:sz w:val="20"/>
                <w:szCs w:val="20"/>
              </w:rPr>
              <w:t>nezam</w:t>
            </w:r>
            <w:proofErr w:type="spellEnd"/>
            <w:r w:rsidRPr="00C605D8">
              <w:rPr>
                <w:rFonts w:cs="Arial"/>
                <w:sz w:val="20"/>
                <w:szCs w:val="20"/>
              </w:rPr>
              <w:t>. osob (%)</w:t>
            </w:r>
          </w:p>
        </w:tc>
        <w:tc>
          <w:tcPr>
            <w:tcW w:w="1524" w:type="dxa"/>
            <w:tcBorders>
              <w:top w:val="single" w:sz="4" w:space="0" w:color="auto"/>
              <w:left w:val="nil"/>
              <w:bottom w:val="single" w:sz="4" w:space="0" w:color="auto"/>
              <w:right w:val="nil"/>
            </w:tcBorders>
            <w:shd w:val="clear" w:color="auto" w:fill="auto"/>
            <w:vAlign w:val="center"/>
            <w:hideMark/>
          </w:tcPr>
          <w:p w:rsidR="00C360A4" w:rsidRPr="00C605D8" w:rsidRDefault="00C360A4" w:rsidP="00696DB7">
            <w:pPr>
              <w:spacing w:line="240" w:lineRule="auto"/>
              <w:jc w:val="center"/>
              <w:rPr>
                <w:rFonts w:cs="Arial"/>
                <w:sz w:val="20"/>
                <w:szCs w:val="20"/>
              </w:rPr>
            </w:pPr>
            <w:r w:rsidRPr="00C605D8">
              <w:rPr>
                <w:rFonts w:cs="Arial"/>
                <w:sz w:val="20"/>
                <w:szCs w:val="20"/>
              </w:rPr>
              <w:t xml:space="preserve">Počet </w:t>
            </w:r>
            <w:proofErr w:type="spellStart"/>
            <w:r w:rsidRPr="00C605D8">
              <w:rPr>
                <w:rFonts w:cs="Arial"/>
                <w:sz w:val="20"/>
                <w:szCs w:val="20"/>
              </w:rPr>
              <w:t>UoZ</w:t>
            </w:r>
            <w:proofErr w:type="spellEnd"/>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60A4" w:rsidRPr="00C605D8" w:rsidRDefault="00C360A4" w:rsidP="00696DB7">
            <w:pPr>
              <w:spacing w:line="240" w:lineRule="auto"/>
              <w:jc w:val="center"/>
              <w:rPr>
                <w:rFonts w:cs="Arial"/>
                <w:sz w:val="20"/>
                <w:szCs w:val="20"/>
              </w:rPr>
            </w:pPr>
            <w:r w:rsidRPr="00C605D8">
              <w:rPr>
                <w:rFonts w:cs="Arial"/>
                <w:sz w:val="20"/>
                <w:szCs w:val="20"/>
              </w:rPr>
              <w:t>Počet VPM</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C360A4" w:rsidRPr="00C605D8" w:rsidRDefault="00C360A4" w:rsidP="00696DB7">
            <w:pPr>
              <w:spacing w:line="240" w:lineRule="auto"/>
              <w:jc w:val="center"/>
              <w:rPr>
                <w:rFonts w:cs="Arial"/>
                <w:sz w:val="20"/>
                <w:szCs w:val="20"/>
              </w:rPr>
            </w:pPr>
            <w:r w:rsidRPr="00C605D8">
              <w:rPr>
                <w:rFonts w:cs="Arial"/>
                <w:sz w:val="20"/>
                <w:szCs w:val="20"/>
              </w:rPr>
              <w:t xml:space="preserve">Počet </w:t>
            </w:r>
            <w:proofErr w:type="spellStart"/>
            <w:r w:rsidRPr="00C605D8">
              <w:rPr>
                <w:rFonts w:cs="Arial"/>
                <w:sz w:val="20"/>
                <w:szCs w:val="20"/>
              </w:rPr>
              <w:t>UoZ</w:t>
            </w:r>
            <w:proofErr w:type="spellEnd"/>
            <w:r w:rsidRPr="00C605D8">
              <w:rPr>
                <w:rFonts w:cs="Arial"/>
                <w:sz w:val="20"/>
                <w:szCs w:val="20"/>
              </w:rPr>
              <w:t xml:space="preserve"> na </w:t>
            </w:r>
            <w:r w:rsidRPr="00C605D8">
              <w:rPr>
                <w:rFonts w:cs="Arial"/>
                <w:sz w:val="20"/>
                <w:szCs w:val="20"/>
              </w:rPr>
              <w:br/>
              <w:t>1 VPM</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Hl. m. Praha</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853994" w:rsidP="00696DB7">
            <w:pPr>
              <w:spacing w:line="240" w:lineRule="auto"/>
              <w:jc w:val="center"/>
              <w:rPr>
                <w:rFonts w:cs="Arial"/>
                <w:sz w:val="20"/>
                <w:szCs w:val="20"/>
              </w:rPr>
            </w:pPr>
            <w:r>
              <w:rPr>
                <w:rFonts w:cs="Arial"/>
                <w:sz w:val="20"/>
                <w:szCs w:val="20"/>
              </w:rPr>
              <w:t>3,7</w:t>
            </w:r>
          </w:p>
        </w:tc>
        <w:tc>
          <w:tcPr>
            <w:tcW w:w="1524" w:type="dxa"/>
            <w:tcBorders>
              <w:top w:val="nil"/>
              <w:left w:val="nil"/>
              <w:bottom w:val="nil"/>
              <w:right w:val="nil"/>
            </w:tcBorders>
            <w:shd w:val="clear" w:color="auto" w:fill="auto"/>
            <w:noWrap/>
            <w:vAlign w:val="center"/>
          </w:tcPr>
          <w:p w:rsidR="00C360A4" w:rsidRPr="00C605D8" w:rsidRDefault="00853994" w:rsidP="00696DB7">
            <w:pPr>
              <w:spacing w:line="240" w:lineRule="auto"/>
              <w:jc w:val="center"/>
              <w:rPr>
                <w:rFonts w:cs="Arial"/>
                <w:sz w:val="20"/>
                <w:szCs w:val="20"/>
              </w:rPr>
            </w:pPr>
            <w:r>
              <w:rPr>
                <w:rFonts w:cs="Arial"/>
                <w:sz w:val="20"/>
                <w:szCs w:val="20"/>
              </w:rPr>
              <w:t>33 069</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853994" w:rsidP="00696DB7">
            <w:pPr>
              <w:spacing w:line="240" w:lineRule="auto"/>
              <w:jc w:val="center"/>
              <w:rPr>
                <w:rFonts w:cs="Arial"/>
                <w:bCs/>
                <w:sz w:val="20"/>
                <w:szCs w:val="20"/>
              </w:rPr>
            </w:pPr>
            <w:r>
              <w:rPr>
                <w:rFonts w:cs="Arial"/>
                <w:bCs/>
                <w:sz w:val="20"/>
                <w:szCs w:val="20"/>
              </w:rPr>
              <w:t>20 583</w:t>
            </w:r>
          </w:p>
        </w:tc>
        <w:tc>
          <w:tcPr>
            <w:tcW w:w="1524" w:type="dxa"/>
            <w:tcBorders>
              <w:top w:val="nil"/>
              <w:left w:val="nil"/>
              <w:bottom w:val="nil"/>
              <w:right w:val="single" w:sz="4" w:space="0" w:color="auto"/>
            </w:tcBorders>
            <w:shd w:val="clear" w:color="auto" w:fill="auto"/>
            <w:noWrap/>
            <w:vAlign w:val="bottom"/>
          </w:tcPr>
          <w:p w:rsidR="00C360A4" w:rsidRPr="00C605D8" w:rsidRDefault="00853994" w:rsidP="00696DB7">
            <w:pPr>
              <w:spacing w:line="240" w:lineRule="auto"/>
              <w:jc w:val="center"/>
              <w:rPr>
                <w:rFonts w:cs="Arial"/>
                <w:sz w:val="20"/>
                <w:szCs w:val="20"/>
              </w:rPr>
            </w:pPr>
            <w:r>
              <w:rPr>
                <w:rFonts w:cs="Arial"/>
                <w:sz w:val="20"/>
                <w:szCs w:val="20"/>
              </w:rPr>
              <w:t>1,6</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Středočeský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853994" w:rsidP="00696DB7">
            <w:pPr>
              <w:spacing w:line="240" w:lineRule="auto"/>
              <w:jc w:val="center"/>
              <w:rPr>
                <w:rFonts w:cs="Arial"/>
                <w:sz w:val="20"/>
                <w:szCs w:val="20"/>
              </w:rPr>
            </w:pPr>
            <w:r>
              <w:rPr>
                <w:rFonts w:cs="Arial"/>
                <w:sz w:val="20"/>
                <w:szCs w:val="20"/>
              </w:rPr>
              <w:t>4,4</w:t>
            </w:r>
          </w:p>
        </w:tc>
        <w:tc>
          <w:tcPr>
            <w:tcW w:w="1524" w:type="dxa"/>
            <w:tcBorders>
              <w:top w:val="nil"/>
              <w:left w:val="nil"/>
              <w:bottom w:val="nil"/>
              <w:right w:val="nil"/>
            </w:tcBorders>
            <w:shd w:val="clear" w:color="auto" w:fill="auto"/>
            <w:noWrap/>
            <w:vAlign w:val="center"/>
          </w:tcPr>
          <w:p w:rsidR="00C360A4" w:rsidRPr="00C605D8" w:rsidRDefault="00853994" w:rsidP="00696DB7">
            <w:pPr>
              <w:spacing w:line="240" w:lineRule="auto"/>
              <w:jc w:val="center"/>
              <w:rPr>
                <w:rFonts w:cs="Arial"/>
                <w:sz w:val="20"/>
                <w:szCs w:val="20"/>
              </w:rPr>
            </w:pPr>
            <w:r>
              <w:rPr>
                <w:rFonts w:cs="Arial"/>
                <w:sz w:val="20"/>
                <w:szCs w:val="20"/>
              </w:rPr>
              <w:t>39 811</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853994" w:rsidP="00696DB7">
            <w:pPr>
              <w:spacing w:line="240" w:lineRule="auto"/>
              <w:jc w:val="center"/>
              <w:rPr>
                <w:rFonts w:cs="Arial"/>
                <w:bCs/>
                <w:sz w:val="20"/>
                <w:szCs w:val="20"/>
              </w:rPr>
            </w:pPr>
            <w:r>
              <w:rPr>
                <w:rFonts w:cs="Arial"/>
                <w:bCs/>
                <w:sz w:val="20"/>
                <w:szCs w:val="20"/>
              </w:rPr>
              <w:t>18 264</w:t>
            </w:r>
          </w:p>
        </w:tc>
        <w:tc>
          <w:tcPr>
            <w:tcW w:w="1524" w:type="dxa"/>
            <w:tcBorders>
              <w:top w:val="nil"/>
              <w:left w:val="nil"/>
              <w:bottom w:val="nil"/>
              <w:right w:val="single" w:sz="4" w:space="0" w:color="auto"/>
            </w:tcBorders>
            <w:shd w:val="clear" w:color="auto" w:fill="auto"/>
            <w:noWrap/>
            <w:vAlign w:val="bottom"/>
          </w:tcPr>
          <w:p w:rsidR="00C360A4" w:rsidRPr="00C605D8" w:rsidRDefault="00853994" w:rsidP="00696DB7">
            <w:pPr>
              <w:spacing w:line="240" w:lineRule="auto"/>
              <w:jc w:val="center"/>
              <w:rPr>
                <w:rFonts w:cs="Arial"/>
                <w:sz w:val="20"/>
                <w:szCs w:val="20"/>
              </w:rPr>
            </w:pPr>
            <w:r>
              <w:rPr>
                <w:rFonts w:cs="Arial"/>
                <w:sz w:val="20"/>
                <w:szCs w:val="20"/>
              </w:rPr>
              <w:t>2,2</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Jihočeský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853994" w:rsidP="00696DB7">
            <w:pPr>
              <w:spacing w:line="240" w:lineRule="auto"/>
              <w:jc w:val="center"/>
              <w:rPr>
                <w:rFonts w:cs="Arial"/>
                <w:sz w:val="20"/>
                <w:szCs w:val="20"/>
              </w:rPr>
            </w:pPr>
            <w:r>
              <w:rPr>
                <w:rFonts w:cs="Arial"/>
                <w:sz w:val="20"/>
                <w:szCs w:val="20"/>
              </w:rPr>
              <w:t>3,8</w:t>
            </w:r>
          </w:p>
        </w:tc>
        <w:tc>
          <w:tcPr>
            <w:tcW w:w="1524" w:type="dxa"/>
            <w:tcBorders>
              <w:top w:val="nil"/>
              <w:left w:val="nil"/>
              <w:bottom w:val="nil"/>
              <w:right w:val="nil"/>
            </w:tcBorders>
            <w:shd w:val="clear" w:color="auto" w:fill="auto"/>
            <w:noWrap/>
            <w:vAlign w:val="center"/>
          </w:tcPr>
          <w:p w:rsidR="00C360A4" w:rsidRPr="00C605D8" w:rsidRDefault="00853994" w:rsidP="00696DB7">
            <w:pPr>
              <w:spacing w:line="240" w:lineRule="auto"/>
              <w:jc w:val="center"/>
              <w:rPr>
                <w:rFonts w:cs="Arial"/>
                <w:sz w:val="20"/>
                <w:szCs w:val="20"/>
              </w:rPr>
            </w:pPr>
            <w:r>
              <w:rPr>
                <w:rFonts w:cs="Arial"/>
                <w:sz w:val="20"/>
                <w:szCs w:val="20"/>
              </w:rPr>
              <w:t>17 265</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853994" w:rsidP="00696DB7">
            <w:pPr>
              <w:spacing w:line="240" w:lineRule="auto"/>
              <w:jc w:val="center"/>
              <w:rPr>
                <w:rFonts w:cs="Arial"/>
                <w:bCs/>
                <w:sz w:val="20"/>
                <w:szCs w:val="20"/>
              </w:rPr>
            </w:pPr>
            <w:r>
              <w:rPr>
                <w:rFonts w:cs="Arial"/>
                <w:bCs/>
                <w:sz w:val="20"/>
                <w:szCs w:val="20"/>
              </w:rPr>
              <w:t>10 152</w:t>
            </w:r>
          </w:p>
        </w:tc>
        <w:tc>
          <w:tcPr>
            <w:tcW w:w="1524" w:type="dxa"/>
            <w:tcBorders>
              <w:top w:val="nil"/>
              <w:left w:val="nil"/>
              <w:bottom w:val="nil"/>
              <w:right w:val="single" w:sz="4" w:space="0" w:color="auto"/>
            </w:tcBorders>
            <w:shd w:val="clear" w:color="auto" w:fill="auto"/>
            <w:noWrap/>
            <w:vAlign w:val="bottom"/>
          </w:tcPr>
          <w:p w:rsidR="00C360A4" w:rsidRPr="00C605D8" w:rsidRDefault="00853994" w:rsidP="00696DB7">
            <w:pPr>
              <w:spacing w:line="240" w:lineRule="auto"/>
              <w:jc w:val="center"/>
              <w:rPr>
                <w:rFonts w:cs="Arial"/>
                <w:sz w:val="20"/>
                <w:szCs w:val="20"/>
              </w:rPr>
            </w:pPr>
            <w:r>
              <w:rPr>
                <w:rFonts w:cs="Arial"/>
                <w:sz w:val="20"/>
                <w:szCs w:val="20"/>
              </w:rPr>
              <w:t>1,7</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Plzeňský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853994" w:rsidP="00696DB7">
            <w:pPr>
              <w:spacing w:line="240" w:lineRule="auto"/>
              <w:jc w:val="center"/>
              <w:rPr>
                <w:rFonts w:cs="Arial"/>
                <w:sz w:val="20"/>
                <w:szCs w:val="20"/>
              </w:rPr>
            </w:pPr>
            <w:r>
              <w:rPr>
                <w:rFonts w:cs="Arial"/>
                <w:sz w:val="20"/>
                <w:szCs w:val="20"/>
              </w:rPr>
              <w:t>3,6</w:t>
            </w:r>
          </w:p>
        </w:tc>
        <w:tc>
          <w:tcPr>
            <w:tcW w:w="1524" w:type="dxa"/>
            <w:tcBorders>
              <w:top w:val="nil"/>
              <w:left w:val="nil"/>
              <w:bottom w:val="nil"/>
              <w:right w:val="nil"/>
            </w:tcBorders>
            <w:shd w:val="clear" w:color="auto" w:fill="auto"/>
            <w:noWrap/>
            <w:vAlign w:val="center"/>
          </w:tcPr>
          <w:p w:rsidR="00C360A4" w:rsidRPr="00C605D8" w:rsidRDefault="00853994" w:rsidP="00696DB7">
            <w:pPr>
              <w:spacing w:line="240" w:lineRule="auto"/>
              <w:jc w:val="center"/>
              <w:rPr>
                <w:rFonts w:cs="Arial"/>
                <w:sz w:val="20"/>
                <w:szCs w:val="20"/>
              </w:rPr>
            </w:pPr>
            <w:r>
              <w:rPr>
                <w:rFonts w:cs="Arial"/>
                <w:sz w:val="20"/>
                <w:szCs w:val="20"/>
              </w:rPr>
              <w:t>14 723</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853994" w:rsidP="00696DB7">
            <w:pPr>
              <w:spacing w:line="240" w:lineRule="auto"/>
              <w:jc w:val="center"/>
              <w:rPr>
                <w:rFonts w:cs="Arial"/>
                <w:bCs/>
                <w:sz w:val="20"/>
                <w:szCs w:val="20"/>
              </w:rPr>
            </w:pPr>
            <w:r>
              <w:rPr>
                <w:rFonts w:cs="Arial"/>
                <w:bCs/>
                <w:sz w:val="20"/>
                <w:szCs w:val="20"/>
              </w:rPr>
              <w:t>11 640</w:t>
            </w:r>
          </w:p>
        </w:tc>
        <w:tc>
          <w:tcPr>
            <w:tcW w:w="1524" w:type="dxa"/>
            <w:tcBorders>
              <w:top w:val="nil"/>
              <w:left w:val="nil"/>
              <w:bottom w:val="nil"/>
              <w:right w:val="single" w:sz="4" w:space="0" w:color="auto"/>
            </w:tcBorders>
            <w:shd w:val="clear" w:color="auto" w:fill="auto"/>
            <w:noWrap/>
            <w:vAlign w:val="bottom"/>
          </w:tcPr>
          <w:p w:rsidR="00C360A4" w:rsidRPr="00C605D8" w:rsidRDefault="00853994" w:rsidP="00696DB7">
            <w:pPr>
              <w:spacing w:line="240" w:lineRule="auto"/>
              <w:jc w:val="center"/>
              <w:rPr>
                <w:rFonts w:cs="Arial"/>
                <w:sz w:val="20"/>
                <w:szCs w:val="20"/>
              </w:rPr>
            </w:pPr>
            <w:r>
              <w:rPr>
                <w:rFonts w:cs="Arial"/>
                <w:sz w:val="20"/>
                <w:szCs w:val="20"/>
              </w:rPr>
              <w:t>1,3</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Karlovarský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853994" w:rsidP="00696DB7">
            <w:pPr>
              <w:spacing w:line="240" w:lineRule="auto"/>
              <w:jc w:val="center"/>
              <w:rPr>
                <w:rFonts w:cs="Arial"/>
                <w:sz w:val="20"/>
                <w:szCs w:val="20"/>
              </w:rPr>
            </w:pPr>
            <w:r>
              <w:rPr>
                <w:rFonts w:cs="Arial"/>
                <w:sz w:val="20"/>
                <w:szCs w:val="20"/>
              </w:rPr>
              <w:t>5,5</w:t>
            </w:r>
          </w:p>
        </w:tc>
        <w:tc>
          <w:tcPr>
            <w:tcW w:w="1524" w:type="dxa"/>
            <w:tcBorders>
              <w:top w:val="nil"/>
              <w:left w:val="nil"/>
              <w:bottom w:val="nil"/>
              <w:right w:val="nil"/>
            </w:tcBorders>
            <w:shd w:val="clear" w:color="auto" w:fill="auto"/>
            <w:noWrap/>
            <w:vAlign w:val="center"/>
          </w:tcPr>
          <w:p w:rsidR="00C360A4" w:rsidRPr="00C605D8" w:rsidRDefault="00853994" w:rsidP="00696DB7">
            <w:pPr>
              <w:spacing w:line="240" w:lineRule="auto"/>
              <w:jc w:val="center"/>
              <w:rPr>
                <w:rFonts w:cs="Arial"/>
                <w:sz w:val="20"/>
                <w:szCs w:val="20"/>
              </w:rPr>
            </w:pPr>
            <w:r>
              <w:rPr>
                <w:rFonts w:cs="Arial"/>
                <w:sz w:val="20"/>
                <w:szCs w:val="20"/>
              </w:rPr>
              <w:t>11 783</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853994" w:rsidP="00696DB7">
            <w:pPr>
              <w:spacing w:line="240" w:lineRule="auto"/>
              <w:jc w:val="center"/>
              <w:rPr>
                <w:rFonts w:cs="Arial"/>
                <w:bCs/>
                <w:sz w:val="20"/>
                <w:szCs w:val="20"/>
              </w:rPr>
            </w:pPr>
            <w:r>
              <w:rPr>
                <w:rFonts w:cs="Arial"/>
                <w:bCs/>
                <w:sz w:val="20"/>
                <w:szCs w:val="20"/>
              </w:rPr>
              <w:t>4 101</w:t>
            </w:r>
          </w:p>
        </w:tc>
        <w:tc>
          <w:tcPr>
            <w:tcW w:w="1524" w:type="dxa"/>
            <w:tcBorders>
              <w:top w:val="nil"/>
              <w:left w:val="nil"/>
              <w:bottom w:val="nil"/>
              <w:right w:val="single" w:sz="4" w:space="0" w:color="auto"/>
            </w:tcBorders>
            <w:shd w:val="clear" w:color="auto" w:fill="auto"/>
            <w:noWrap/>
            <w:vAlign w:val="bottom"/>
          </w:tcPr>
          <w:p w:rsidR="00C360A4" w:rsidRPr="00C605D8" w:rsidRDefault="00853994" w:rsidP="00696DB7">
            <w:pPr>
              <w:spacing w:line="240" w:lineRule="auto"/>
              <w:jc w:val="center"/>
              <w:rPr>
                <w:rFonts w:cs="Arial"/>
                <w:sz w:val="20"/>
                <w:szCs w:val="20"/>
              </w:rPr>
            </w:pPr>
            <w:r>
              <w:rPr>
                <w:rFonts w:cs="Arial"/>
                <w:sz w:val="20"/>
                <w:szCs w:val="20"/>
              </w:rPr>
              <w:t>2,9</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Ústecký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853994" w:rsidP="00696DB7">
            <w:pPr>
              <w:spacing w:line="240" w:lineRule="auto"/>
              <w:jc w:val="center"/>
              <w:rPr>
                <w:rFonts w:cs="Arial"/>
                <w:sz w:val="20"/>
                <w:szCs w:val="20"/>
              </w:rPr>
            </w:pPr>
            <w:r>
              <w:rPr>
                <w:rFonts w:cs="Arial"/>
                <w:sz w:val="20"/>
                <w:szCs w:val="20"/>
              </w:rPr>
              <w:t>8,1</w:t>
            </w:r>
          </w:p>
        </w:tc>
        <w:tc>
          <w:tcPr>
            <w:tcW w:w="1524" w:type="dxa"/>
            <w:tcBorders>
              <w:top w:val="nil"/>
              <w:left w:val="nil"/>
              <w:bottom w:val="nil"/>
              <w:right w:val="nil"/>
            </w:tcBorders>
            <w:shd w:val="clear" w:color="auto" w:fill="auto"/>
            <w:noWrap/>
            <w:vAlign w:val="center"/>
          </w:tcPr>
          <w:p w:rsidR="00C360A4" w:rsidRPr="00C605D8" w:rsidRDefault="00853994" w:rsidP="00696DB7">
            <w:pPr>
              <w:spacing w:line="240" w:lineRule="auto"/>
              <w:jc w:val="center"/>
              <w:rPr>
                <w:rFonts w:cs="Arial"/>
                <w:sz w:val="20"/>
                <w:szCs w:val="20"/>
              </w:rPr>
            </w:pPr>
            <w:r>
              <w:rPr>
                <w:rFonts w:cs="Arial"/>
                <w:sz w:val="20"/>
                <w:szCs w:val="20"/>
              </w:rPr>
              <w:t>46 086</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853994" w:rsidP="00696DB7">
            <w:pPr>
              <w:spacing w:line="240" w:lineRule="auto"/>
              <w:jc w:val="center"/>
              <w:rPr>
                <w:rFonts w:cs="Arial"/>
                <w:bCs/>
                <w:sz w:val="20"/>
                <w:szCs w:val="20"/>
              </w:rPr>
            </w:pPr>
            <w:r>
              <w:rPr>
                <w:rFonts w:cs="Arial"/>
                <w:bCs/>
                <w:sz w:val="20"/>
                <w:szCs w:val="20"/>
              </w:rPr>
              <w:t>7 895</w:t>
            </w:r>
          </w:p>
        </w:tc>
        <w:tc>
          <w:tcPr>
            <w:tcW w:w="1524" w:type="dxa"/>
            <w:tcBorders>
              <w:top w:val="nil"/>
              <w:left w:val="nil"/>
              <w:bottom w:val="nil"/>
              <w:right w:val="single" w:sz="4" w:space="0" w:color="auto"/>
            </w:tcBorders>
            <w:shd w:val="clear" w:color="auto" w:fill="auto"/>
            <w:noWrap/>
            <w:vAlign w:val="bottom"/>
          </w:tcPr>
          <w:p w:rsidR="00C360A4" w:rsidRPr="00C605D8" w:rsidRDefault="00853994" w:rsidP="00696DB7">
            <w:pPr>
              <w:spacing w:line="240" w:lineRule="auto"/>
              <w:jc w:val="center"/>
              <w:rPr>
                <w:rFonts w:cs="Arial"/>
                <w:sz w:val="20"/>
                <w:szCs w:val="20"/>
              </w:rPr>
            </w:pPr>
            <w:r>
              <w:rPr>
                <w:rFonts w:cs="Arial"/>
                <w:sz w:val="20"/>
                <w:szCs w:val="20"/>
              </w:rPr>
              <w:t>5,8</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Liberecký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853994" w:rsidP="00696DB7">
            <w:pPr>
              <w:spacing w:line="240" w:lineRule="auto"/>
              <w:jc w:val="center"/>
              <w:rPr>
                <w:rFonts w:cs="Arial"/>
                <w:sz w:val="20"/>
                <w:szCs w:val="20"/>
              </w:rPr>
            </w:pPr>
            <w:r>
              <w:rPr>
                <w:rFonts w:cs="Arial"/>
                <w:sz w:val="20"/>
                <w:szCs w:val="20"/>
              </w:rPr>
              <w:t>5,2</w:t>
            </w:r>
          </w:p>
        </w:tc>
        <w:tc>
          <w:tcPr>
            <w:tcW w:w="1524" w:type="dxa"/>
            <w:tcBorders>
              <w:top w:val="nil"/>
              <w:left w:val="nil"/>
              <w:bottom w:val="nil"/>
              <w:right w:val="nil"/>
            </w:tcBorders>
            <w:shd w:val="clear" w:color="auto" w:fill="auto"/>
            <w:noWrap/>
            <w:vAlign w:val="center"/>
          </w:tcPr>
          <w:p w:rsidR="00C360A4" w:rsidRPr="00C605D8" w:rsidRDefault="00853994" w:rsidP="00696DB7">
            <w:pPr>
              <w:spacing w:line="240" w:lineRule="auto"/>
              <w:jc w:val="center"/>
              <w:rPr>
                <w:rFonts w:cs="Arial"/>
                <w:sz w:val="20"/>
                <w:szCs w:val="20"/>
              </w:rPr>
            </w:pPr>
            <w:r>
              <w:rPr>
                <w:rFonts w:cs="Arial"/>
                <w:sz w:val="20"/>
                <w:szCs w:val="20"/>
              </w:rPr>
              <w:t>16 225</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853994" w:rsidP="00696DB7">
            <w:pPr>
              <w:spacing w:line="240" w:lineRule="auto"/>
              <w:jc w:val="center"/>
              <w:rPr>
                <w:rFonts w:cs="Arial"/>
                <w:bCs/>
                <w:sz w:val="20"/>
                <w:szCs w:val="20"/>
              </w:rPr>
            </w:pPr>
            <w:r>
              <w:rPr>
                <w:rFonts w:cs="Arial"/>
                <w:bCs/>
                <w:sz w:val="20"/>
                <w:szCs w:val="20"/>
              </w:rPr>
              <w:t>6 123</w:t>
            </w:r>
          </w:p>
        </w:tc>
        <w:tc>
          <w:tcPr>
            <w:tcW w:w="1524" w:type="dxa"/>
            <w:tcBorders>
              <w:top w:val="nil"/>
              <w:left w:val="nil"/>
              <w:bottom w:val="nil"/>
              <w:right w:val="single" w:sz="4" w:space="0" w:color="auto"/>
            </w:tcBorders>
            <w:shd w:val="clear" w:color="auto" w:fill="auto"/>
            <w:noWrap/>
            <w:vAlign w:val="bottom"/>
          </w:tcPr>
          <w:p w:rsidR="00C360A4" w:rsidRPr="00C605D8" w:rsidRDefault="00853994" w:rsidP="00696DB7">
            <w:pPr>
              <w:spacing w:line="240" w:lineRule="auto"/>
              <w:jc w:val="center"/>
              <w:rPr>
                <w:rFonts w:cs="Arial"/>
                <w:sz w:val="20"/>
                <w:szCs w:val="20"/>
              </w:rPr>
            </w:pPr>
            <w:r>
              <w:rPr>
                <w:rFonts w:cs="Arial"/>
                <w:sz w:val="20"/>
                <w:szCs w:val="20"/>
              </w:rPr>
              <w:t>2,6</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Královéhradecký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853994" w:rsidP="00696DB7">
            <w:pPr>
              <w:spacing w:line="240" w:lineRule="auto"/>
              <w:jc w:val="center"/>
              <w:rPr>
                <w:rFonts w:cs="Arial"/>
                <w:sz w:val="20"/>
                <w:szCs w:val="20"/>
              </w:rPr>
            </w:pPr>
            <w:r>
              <w:rPr>
                <w:rFonts w:cs="Arial"/>
                <w:sz w:val="20"/>
                <w:szCs w:val="20"/>
              </w:rPr>
              <w:t>3,7</w:t>
            </w:r>
          </w:p>
        </w:tc>
        <w:tc>
          <w:tcPr>
            <w:tcW w:w="1524" w:type="dxa"/>
            <w:tcBorders>
              <w:top w:val="nil"/>
              <w:left w:val="nil"/>
              <w:bottom w:val="nil"/>
              <w:right w:val="nil"/>
            </w:tcBorders>
            <w:shd w:val="clear" w:color="auto" w:fill="auto"/>
            <w:noWrap/>
            <w:vAlign w:val="center"/>
          </w:tcPr>
          <w:p w:rsidR="00C360A4" w:rsidRPr="00C605D8" w:rsidRDefault="00853994" w:rsidP="00696DB7">
            <w:pPr>
              <w:spacing w:line="240" w:lineRule="auto"/>
              <w:jc w:val="center"/>
              <w:rPr>
                <w:rFonts w:cs="Arial"/>
                <w:sz w:val="20"/>
                <w:szCs w:val="20"/>
              </w:rPr>
            </w:pPr>
            <w:r>
              <w:rPr>
                <w:rFonts w:cs="Arial"/>
                <w:sz w:val="20"/>
                <w:szCs w:val="20"/>
              </w:rPr>
              <w:t>14 079</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853994" w:rsidP="00696DB7">
            <w:pPr>
              <w:spacing w:line="240" w:lineRule="auto"/>
              <w:jc w:val="center"/>
              <w:rPr>
                <w:rFonts w:cs="Arial"/>
                <w:bCs/>
                <w:sz w:val="20"/>
                <w:szCs w:val="20"/>
              </w:rPr>
            </w:pPr>
            <w:r>
              <w:rPr>
                <w:rFonts w:cs="Arial"/>
                <w:bCs/>
                <w:sz w:val="20"/>
                <w:szCs w:val="20"/>
              </w:rPr>
              <w:t>6 936</w:t>
            </w:r>
          </w:p>
        </w:tc>
        <w:tc>
          <w:tcPr>
            <w:tcW w:w="1524" w:type="dxa"/>
            <w:tcBorders>
              <w:top w:val="nil"/>
              <w:left w:val="nil"/>
              <w:bottom w:val="nil"/>
              <w:right w:val="single" w:sz="4" w:space="0" w:color="auto"/>
            </w:tcBorders>
            <w:shd w:val="clear" w:color="auto" w:fill="auto"/>
            <w:noWrap/>
            <w:vAlign w:val="bottom"/>
          </w:tcPr>
          <w:p w:rsidR="00C360A4" w:rsidRPr="00C605D8" w:rsidRDefault="00853994" w:rsidP="00696DB7">
            <w:pPr>
              <w:spacing w:line="240" w:lineRule="auto"/>
              <w:jc w:val="center"/>
              <w:rPr>
                <w:rFonts w:cs="Arial"/>
                <w:sz w:val="20"/>
                <w:szCs w:val="20"/>
              </w:rPr>
            </w:pPr>
            <w:r>
              <w:rPr>
                <w:rFonts w:cs="Arial"/>
                <w:sz w:val="20"/>
                <w:szCs w:val="20"/>
              </w:rPr>
              <w:t>2,0</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Pardubický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853994" w:rsidP="00696DB7">
            <w:pPr>
              <w:spacing w:line="240" w:lineRule="auto"/>
              <w:jc w:val="center"/>
              <w:rPr>
                <w:rFonts w:cs="Arial"/>
                <w:sz w:val="20"/>
                <w:szCs w:val="20"/>
              </w:rPr>
            </w:pPr>
            <w:r>
              <w:rPr>
                <w:rFonts w:cs="Arial"/>
                <w:sz w:val="20"/>
                <w:szCs w:val="20"/>
              </w:rPr>
              <w:t>3,8</w:t>
            </w:r>
          </w:p>
        </w:tc>
        <w:tc>
          <w:tcPr>
            <w:tcW w:w="1524" w:type="dxa"/>
            <w:tcBorders>
              <w:top w:val="nil"/>
              <w:left w:val="nil"/>
              <w:bottom w:val="nil"/>
              <w:right w:val="nil"/>
            </w:tcBorders>
            <w:shd w:val="clear" w:color="auto" w:fill="auto"/>
            <w:noWrap/>
            <w:vAlign w:val="center"/>
          </w:tcPr>
          <w:p w:rsidR="00C360A4" w:rsidRPr="00C605D8" w:rsidRDefault="00853994" w:rsidP="00696DB7">
            <w:pPr>
              <w:spacing w:line="240" w:lineRule="auto"/>
              <w:jc w:val="center"/>
              <w:rPr>
                <w:rFonts w:cs="Arial"/>
                <w:sz w:val="20"/>
                <w:szCs w:val="20"/>
              </w:rPr>
            </w:pPr>
            <w:r>
              <w:rPr>
                <w:rFonts w:cs="Arial"/>
                <w:sz w:val="20"/>
                <w:szCs w:val="20"/>
              </w:rPr>
              <w:t>13 434</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853994" w:rsidP="00696DB7">
            <w:pPr>
              <w:spacing w:line="240" w:lineRule="auto"/>
              <w:jc w:val="center"/>
              <w:rPr>
                <w:rFonts w:cs="Arial"/>
                <w:bCs/>
                <w:sz w:val="20"/>
                <w:szCs w:val="20"/>
              </w:rPr>
            </w:pPr>
            <w:r>
              <w:rPr>
                <w:rFonts w:cs="Arial"/>
                <w:bCs/>
                <w:sz w:val="20"/>
                <w:szCs w:val="20"/>
              </w:rPr>
              <w:t>10 099</w:t>
            </w:r>
          </w:p>
        </w:tc>
        <w:tc>
          <w:tcPr>
            <w:tcW w:w="1524" w:type="dxa"/>
            <w:tcBorders>
              <w:top w:val="nil"/>
              <w:left w:val="nil"/>
              <w:bottom w:val="nil"/>
              <w:right w:val="single" w:sz="4" w:space="0" w:color="auto"/>
            </w:tcBorders>
            <w:shd w:val="clear" w:color="auto" w:fill="auto"/>
            <w:noWrap/>
            <w:vAlign w:val="bottom"/>
          </w:tcPr>
          <w:p w:rsidR="00C360A4" w:rsidRPr="00C605D8" w:rsidRDefault="00853994" w:rsidP="00696DB7">
            <w:pPr>
              <w:spacing w:line="240" w:lineRule="auto"/>
              <w:jc w:val="center"/>
              <w:rPr>
                <w:rFonts w:cs="Arial"/>
                <w:sz w:val="20"/>
                <w:szCs w:val="20"/>
              </w:rPr>
            </w:pPr>
            <w:r>
              <w:rPr>
                <w:rFonts w:cs="Arial"/>
                <w:sz w:val="20"/>
                <w:szCs w:val="20"/>
              </w:rPr>
              <w:t>1,3</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Kraj Vysočina</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3B339E" w:rsidP="00696DB7">
            <w:pPr>
              <w:spacing w:line="240" w:lineRule="auto"/>
              <w:jc w:val="center"/>
              <w:rPr>
                <w:rFonts w:cs="Arial"/>
                <w:sz w:val="20"/>
                <w:szCs w:val="20"/>
              </w:rPr>
            </w:pPr>
            <w:r>
              <w:rPr>
                <w:rFonts w:cs="Arial"/>
                <w:sz w:val="20"/>
                <w:szCs w:val="20"/>
              </w:rPr>
              <w:t>4,8</w:t>
            </w:r>
          </w:p>
        </w:tc>
        <w:tc>
          <w:tcPr>
            <w:tcW w:w="1524" w:type="dxa"/>
            <w:tcBorders>
              <w:top w:val="nil"/>
              <w:left w:val="nil"/>
              <w:bottom w:val="nil"/>
              <w:right w:val="nil"/>
            </w:tcBorders>
            <w:shd w:val="clear" w:color="auto" w:fill="auto"/>
            <w:noWrap/>
            <w:vAlign w:val="center"/>
          </w:tcPr>
          <w:p w:rsidR="00C360A4" w:rsidRPr="00C605D8" w:rsidRDefault="003B339E" w:rsidP="00696DB7">
            <w:pPr>
              <w:spacing w:line="240" w:lineRule="auto"/>
              <w:jc w:val="center"/>
              <w:rPr>
                <w:rFonts w:cs="Arial"/>
                <w:sz w:val="20"/>
                <w:szCs w:val="20"/>
              </w:rPr>
            </w:pPr>
            <w:r>
              <w:rPr>
                <w:rFonts w:cs="Arial"/>
                <w:sz w:val="20"/>
                <w:szCs w:val="20"/>
              </w:rPr>
              <w:t>16 358</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3B339E" w:rsidP="00696DB7">
            <w:pPr>
              <w:spacing w:line="240" w:lineRule="auto"/>
              <w:jc w:val="center"/>
              <w:rPr>
                <w:rFonts w:cs="Arial"/>
                <w:bCs/>
                <w:sz w:val="20"/>
                <w:szCs w:val="20"/>
              </w:rPr>
            </w:pPr>
            <w:r>
              <w:rPr>
                <w:rFonts w:cs="Arial"/>
                <w:bCs/>
                <w:sz w:val="20"/>
                <w:szCs w:val="20"/>
              </w:rPr>
              <w:t>6 175</w:t>
            </w:r>
          </w:p>
        </w:tc>
        <w:tc>
          <w:tcPr>
            <w:tcW w:w="1524" w:type="dxa"/>
            <w:tcBorders>
              <w:top w:val="nil"/>
              <w:left w:val="nil"/>
              <w:bottom w:val="nil"/>
              <w:right w:val="single" w:sz="4" w:space="0" w:color="auto"/>
            </w:tcBorders>
            <w:shd w:val="clear" w:color="auto" w:fill="auto"/>
            <w:noWrap/>
            <w:vAlign w:val="bottom"/>
          </w:tcPr>
          <w:p w:rsidR="00C360A4" w:rsidRPr="00C605D8" w:rsidRDefault="003B339E" w:rsidP="00696DB7">
            <w:pPr>
              <w:spacing w:line="240" w:lineRule="auto"/>
              <w:jc w:val="center"/>
              <w:rPr>
                <w:rFonts w:cs="Arial"/>
                <w:sz w:val="20"/>
                <w:szCs w:val="20"/>
              </w:rPr>
            </w:pPr>
            <w:r>
              <w:rPr>
                <w:rFonts w:cs="Arial"/>
                <w:sz w:val="20"/>
                <w:szCs w:val="20"/>
              </w:rPr>
              <w:t>2,6</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Jihomoravský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3B339E" w:rsidP="00696DB7">
            <w:pPr>
              <w:spacing w:line="240" w:lineRule="auto"/>
              <w:jc w:val="center"/>
              <w:rPr>
                <w:rFonts w:cs="Arial"/>
                <w:sz w:val="20"/>
                <w:szCs w:val="20"/>
              </w:rPr>
            </w:pPr>
            <w:r>
              <w:rPr>
                <w:rFonts w:cs="Arial"/>
                <w:sz w:val="20"/>
                <w:szCs w:val="20"/>
              </w:rPr>
              <w:t>5,9</w:t>
            </w:r>
          </w:p>
        </w:tc>
        <w:tc>
          <w:tcPr>
            <w:tcW w:w="1524" w:type="dxa"/>
            <w:tcBorders>
              <w:top w:val="nil"/>
              <w:left w:val="nil"/>
              <w:bottom w:val="nil"/>
              <w:right w:val="nil"/>
            </w:tcBorders>
            <w:shd w:val="clear" w:color="auto" w:fill="auto"/>
            <w:noWrap/>
            <w:vAlign w:val="center"/>
          </w:tcPr>
          <w:p w:rsidR="00C360A4" w:rsidRPr="00C605D8" w:rsidRDefault="003B339E" w:rsidP="00696DB7">
            <w:pPr>
              <w:spacing w:line="240" w:lineRule="auto"/>
              <w:jc w:val="center"/>
              <w:rPr>
                <w:rFonts w:cs="Arial"/>
                <w:sz w:val="20"/>
                <w:szCs w:val="20"/>
              </w:rPr>
            </w:pPr>
            <w:r>
              <w:rPr>
                <w:rFonts w:cs="Arial"/>
                <w:sz w:val="20"/>
                <w:szCs w:val="20"/>
              </w:rPr>
              <w:t>47 249</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3B339E" w:rsidP="00696DB7">
            <w:pPr>
              <w:spacing w:line="240" w:lineRule="auto"/>
              <w:jc w:val="center"/>
              <w:rPr>
                <w:rFonts w:cs="Arial"/>
                <w:bCs/>
                <w:sz w:val="20"/>
                <w:szCs w:val="20"/>
              </w:rPr>
            </w:pPr>
            <w:r>
              <w:rPr>
                <w:rFonts w:cs="Arial"/>
                <w:bCs/>
                <w:sz w:val="20"/>
                <w:szCs w:val="20"/>
              </w:rPr>
              <w:t>12 042</w:t>
            </w:r>
          </w:p>
        </w:tc>
        <w:tc>
          <w:tcPr>
            <w:tcW w:w="1524" w:type="dxa"/>
            <w:tcBorders>
              <w:top w:val="nil"/>
              <w:left w:val="nil"/>
              <w:bottom w:val="nil"/>
              <w:right w:val="single" w:sz="4" w:space="0" w:color="auto"/>
            </w:tcBorders>
            <w:shd w:val="clear" w:color="auto" w:fill="auto"/>
            <w:noWrap/>
            <w:vAlign w:val="bottom"/>
          </w:tcPr>
          <w:p w:rsidR="00C360A4" w:rsidRPr="00C605D8" w:rsidRDefault="003B339E" w:rsidP="00696DB7">
            <w:pPr>
              <w:spacing w:line="240" w:lineRule="auto"/>
              <w:jc w:val="center"/>
              <w:rPr>
                <w:rFonts w:cs="Arial"/>
                <w:sz w:val="20"/>
                <w:szCs w:val="20"/>
              </w:rPr>
            </w:pPr>
            <w:r>
              <w:rPr>
                <w:rFonts w:cs="Arial"/>
                <w:sz w:val="20"/>
                <w:szCs w:val="20"/>
              </w:rPr>
              <w:t>3,9</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Olomoucký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3B339E" w:rsidP="00696DB7">
            <w:pPr>
              <w:spacing w:line="240" w:lineRule="auto"/>
              <w:jc w:val="center"/>
              <w:rPr>
                <w:rFonts w:cs="Arial"/>
                <w:sz w:val="20"/>
                <w:szCs w:val="20"/>
              </w:rPr>
            </w:pPr>
            <w:r>
              <w:rPr>
                <w:rFonts w:cs="Arial"/>
                <w:sz w:val="20"/>
                <w:szCs w:val="20"/>
              </w:rPr>
              <w:t>5,6</w:t>
            </w:r>
          </w:p>
        </w:tc>
        <w:tc>
          <w:tcPr>
            <w:tcW w:w="1524" w:type="dxa"/>
            <w:tcBorders>
              <w:top w:val="nil"/>
              <w:left w:val="nil"/>
              <w:bottom w:val="nil"/>
              <w:right w:val="nil"/>
            </w:tcBorders>
            <w:shd w:val="clear" w:color="auto" w:fill="auto"/>
            <w:noWrap/>
            <w:vAlign w:val="center"/>
          </w:tcPr>
          <w:p w:rsidR="00C360A4" w:rsidRPr="00C605D8" w:rsidRDefault="003B339E" w:rsidP="00696DB7">
            <w:pPr>
              <w:spacing w:line="240" w:lineRule="auto"/>
              <w:jc w:val="center"/>
              <w:rPr>
                <w:rFonts w:cs="Arial"/>
                <w:sz w:val="20"/>
                <w:szCs w:val="20"/>
              </w:rPr>
            </w:pPr>
            <w:r>
              <w:rPr>
                <w:rFonts w:cs="Arial"/>
                <w:sz w:val="20"/>
                <w:szCs w:val="20"/>
              </w:rPr>
              <w:t>24 974</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3B339E" w:rsidP="00696DB7">
            <w:pPr>
              <w:spacing w:line="240" w:lineRule="auto"/>
              <w:jc w:val="center"/>
              <w:rPr>
                <w:rFonts w:cs="Arial"/>
                <w:bCs/>
                <w:sz w:val="20"/>
                <w:szCs w:val="20"/>
              </w:rPr>
            </w:pPr>
            <w:r>
              <w:rPr>
                <w:rFonts w:cs="Arial"/>
                <w:bCs/>
                <w:sz w:val="20"/>
                <w:szCs w:val="20"/>
              </w:rPr>
              <w:t>6 800</w:t>
            </w:r>
          </w:p>
        </w:tc>
        <w:tc>
          <w:tcPr>
            <w:tcW w:w="1524" w:type="dxa"/>
            <w:tcBorders>
              <w:top w:val="nil"/>
              <w:left w:val="nil"/>
              <w:bottom w:val="nil"/>
              <w:right w:val="single" w:sz="4" w:space="0" w:color="auto"/>
            </w:tcBorders>
            <w:shd w:val="clear" w:color="auto" w:fill="auto"/>
            <w:noWrap/>
            <w:vAlign w:val="bottom"/>
          </w:tcPr>
          <w:p w:rsidR="00C360A4" w:rsidRPr="00C605D8" w:rsidRDefault="003B339E" w:rsidP="00696DB7">
            <w:pPr>
              <w:spacing w:line="240" w:lineRule="auto"/>
              <w:jc w:val="center"/>
              <w:rPr>
                <w:rFonts w:cs="Arial"/>
                <w:sz w:val="20"/>
                <w:szCs w:val="20"/>
              </w:rPr>
            </w:pPr>
            <w:r>
              <w:rPr>
                <w:rFonts w:cs="Arial"/>
                <w:sz w:val="20"/>
                <w:szCs w:val="20"/>
              </w:rPr>
              <w:t>3,7</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Zlínský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3B339E" w:rsidP="00696DB7">
            <w:pPr>
              <w:spacing w:line="240" w:lineRule="auto"/>
              <w:jc w:val="center"/>
              <w:rPr>
                <w:rFonts w:cs="Arial"/>
                <w:sz w:val="20"/>
                <w:szCs w:val="20"/>
              </w:rPr>
            </w:pPr>
            <w:r>
              <w:rPr>
                <w:rFonts w:cs="Arial"/>
                <w:sz w:val="20"/>
                <w:szCs w:val="20"/>
              </w:rPr>
              <w:t>4,7</w:t>
            </w:r>
          </w:p>
        </w:tc>
        <w:tc>
          <w:tcPr>
            <w:tcW w:w="1524" w:type="dxa"/>
            <w:tcBorders>
              <w:top w:val="nil"/>
              <w:left w:val="nil"/>
              <w:bottom w:val="nil"/>
              <w:right w:val="nil"/>
            </w:tcBorders>
            <w:shd w:val="clear" w:color="auto" w:fill="auto"/>
            <w:noWrap/>
            <w:vAlign w:val="center"/>
          </w:tcPr>
          <w:p w:rsidR="00C360A4" w:rsidRPr="00C605D8" w:rsidRDefault="003B339E" w:rsidP="00696DB7">
            <w:pPr>
              <w:spacing w:line="240" w:lineRule="auto"/>
              <w:jc w:val="center"/>
              <w:rPr>
                <w:rFonts w:cs="Arial"/>
                <w:sz w:val="20"/>
                <w:szCs w:val="20"/>
              </w:rPr>
            </w:pPr>
            <w:r>
              <w:rPr>
                <w:rFonts w:cs="Arial"/>
                <w:sz w:val="20"/>
                <w:szCs w:val="20"/>
              </w:rPr>
              <w:t>18 905</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3B339E" w:rsidP="00696DB7">
            <w:pPr>
              <w:spacing w:line="240" w:lineRule="auto"/>
              <w:jc w:val="center"/>
              <w:rPr>
                <w:rFonts w:cs="Arial"/>
                <w:bCs/>
                <w:sz w:val="20"/>
                <w:szCs w:val="20"/>
              </w:rPr>
            </w:pPr>
            <w:r>
              <w:rPr>
                <w:rFonts w:cs="Arial"/>
                <w:bCs/>
                <w:sz w:val="20"/>
                <w:szCs w:val="20"/>
              </w:rPr>
              <w:t>7 618</w:t>
            </w:r>
          </w:p>
        </w:tc>
        <w:tc>
          <w:tcPr>
            <w:tcW w:w="1524" w:type="dxa"/>
            <w:tcBorders>
              <w:top w:val="nil"/>
              <w:left w:val="nil"/>
              <w:bottom w:val="nil"/>
              <w:right w:val="single" w:sz="4" w:space="0" w:color="auto"/>
            </w:tcBorders>
            <w:shd w:val="clear" w:color="auto" w:fill="auto"/>
            <w:noWrap/>
            <w:vAlign w:val="bottom"/>
          </w:tcPr>
          <w:p w:rsidR="00C360A4" w:rsidRPr="00C605D8" w:rsidRDefault="003B339E" w:rsidP="00696DB7">
            <w:pPr>
              <w:spacing w:line="240" w:lineRule="auto"/>
              <w:jc w:val="center"/>
              <w:rPr>
                <w:rFonts w:cs="Arial"/>
                <w:sz w:val="20"/>
                <w:szCs w:val="20"/>
              </w:rPr>
            </w:pPr>
            <w:r>
              <w:rPr>
                <w:rFonts w:cs="Arial"/>
                <w:sz w:val="20"/>
                <w:szCs w:val="20"/>
              </w:rPr>
              <w:t>2,5</w:t>
            </w:r>
          </w:p>
        </w:tc>
      </w:tr>
      <w:tr w:rsidR="00C360A4" w:rsidRPr="00C605D8" w:rsidTr="003922C1">
        <w:trPr>
          <w:trHeight w:val="312"/>
          <w:jc w:val="center"/>
        </w:trPr>
        <w:tc>
          <w:tcPr>
            <w:tcW w:w="2646" w:type="dxa"/>
            <w:tcBorders>
              <w:top w:val="nil"/>
              <w:left w:val="single" w:sz="4" w:space="0" w:color="auto"/>
              <w:bottom w:val="nil"/>
              <w:right w:val="nil"/>
            </w:tcBorders>
            <w:shd w:val="clear" w:color="auto" w:fill="auto"/>
            <w:noWrap/>
            <w:vAlign w:val="center"/>
            <w:hideMark/>
          </w:tcPr>
          <w:p w:rsidR="00C360A4" w:rsidRPr="00C605D8" w:rsidRDefault="00C360A4" w:rsidP="00696DB7">
            <w:pPr>
              <w:spacing w:line="240" w:lineRule="auto"/>
              <w:rPr>
                <w:rFonts w:cs="Arial"/>
                <w:sz w:val="20"/>
                <w:szCs w:val="20"/>
              </w:rPr>
            </w:pPr>
            <w:r w:rsidRPr="00C605D8">
              <w:rPr>
                <w:rFonts w:cs="Arial"/>
                <w:sz w:val="20"/>
                <w:szCs w:val="20"/>
              </w:rPr>
              <w:t>Moravskoslezský kraj</w:t>
            </w:r>
          </w:p>
        </w:tc>
        <w:tc>
          <w:tcPr>
            <w:tcW w:w="1524" w:type="dxa"/>
            <w:tcBorders>
              <w:top w:val="nil"/>
              <w:left w:val="single" w:sz="4" w:space="0" w:color="auto"/>
              <w:bottom w:val="nil"/>
              <w:right w:val="single" w:sz="4" w:space="0" w:color="auto"/>
            </w:tcBorders>
            <w:shd w:val="clear" w:color="auto" w:fill="auto"/>
            <w:noWrap/>
            <w:tcMar>
              <w:right w:w="113" w:type="dxa"/>
            </w:tcMar>
            <w:vAlign w:val="center"/>
          </w:tcPr>
          <w:p w:rsidR="00C360A4" w:rsidRPr="00C605D8" w:rsidRDefault="003B339E" w:rsidP="00696DB7">
            <w:pPr>
              <w:spacing w:line="240" w:lineRule="auto"/>
              <w:jc w:val="center"/>
              <w:rPr>
                <w:rFonts w:cs="Arial"/>
                <w:sz w:val="20"/>
                <w:szCs w:val="20"/>
              </w:rPr>
            </w:pPr>
            <w:r>
              <w:rPr>
                <w:rFonts w:cs="Arial"/>
                <w:sz w:val="20"/>
                <w:szCs w:val="20"/>
              </w:rPr>
              <w:t>7,6</w:t>
            </w:r>
          </w:p>
        </w:tc>
        <w:tc>
          <w:tcPr>
            <w:tcW w:w="1524" w:type="dxa"/>
            <w:tcBorders>
              <w:top w:val="nil"/>
              <w:left w:val="nil"/>
              <w:bottom w:val="nil"/>
              <w:right w:val="nil"/>
            </w:tcBorders>
            <w:shd w:val="clear" w:color="auto" w:fill="auto"/>
            <w:noWrap/>
            <w:vAlign w:val="center"/>
          </w:tcPr>
          <w:p w:rsidR="00C360A4" w:rsidRPr="00C605D8" w:rsidRDefault="003B339E" w:rsidP="00696DB7">
            <w:pPr>
              <w:spacing w:line="240" w:lineRule="auto"/>
              <w:jc w:val="center"/>
              <w:rPr>
                <w:rFonts w:cs="Arial"/>
                <w:sz w:val="20"/>
                <w:szCs w:val="20"/>
              </w:rPr>
            </w:pPr>
            <w:r>
              <w:rPr>
                <w:rFonts w:cs="Arial"/>
                <w:sz w:val="20"/>
                <w:szCs w:val="20"/>
              </w:rPr>
              <w:t>64 297</w:t>
            </w:r>
          </w:p>
        </w:tc>
        <w:tc>
          <w:tcPr>
            <w:tcW w:w="1524" w:type="dxa"/>
            <w:tcBorders>
              <w:top w:val="nil"/>
              <w:left w:val="single" w:sz="4" w:space="0" w:color="auto"/>
              <w:bottom w:val="nil"/>
              <w:right w:val="single" w:sz="4" w:space="0" w:color="auto"/>
            </w:tcBorders>
            <w:shd w:val="clear" w:color="auto" w:fill="auto"/>
            <w:noWrap/>
            <w:vAlign w:val="center"/>
          </w:tcPr>
          <w:p w:rsidR="00C360A4" w:rsidRPr="00C605D8" w:rsidRDefault="003B339E" w:rsidP="00696DB7">
            <w:pPr>
              <w:spacing w:line="240" w:lineRule="auto"/>
              <w:jc w:val="center"/>
              <w:rPr>
                <w:rFonts w:cs="Arial"/>
                <w:bCs/>
                <w:sz w:val="20"/>
                <w:szCs w:val="20"/>
              </w:rPr>
            </w:pPr>
            <w:r>
              <w:rPr>
                <w:rFonts w:cs="Arial"/>
                <w:bCs/>
                <w:sz w:val="20"/>
                <w:szCs w:val="20"/>
              </w:rPr>
              <w:t>12 565</w:t>
            </w:r>
          </w:p>
        </w:tc>
        <w:tc>
          <w:tcPr>
            <w:tcW w:w="1524" w:type="dxa"/>
            <w:tcBorders>
              <w:top w:val="nil"/>
              <w:left w:val="nil"/>
              <w:bottom w:val="nil"/>
              <w:right w:val="single" w:sz="4" w:space="0" w:color="auto"/>
            </w:tcBorders>
            <w:shd w:val="clear" w:color="auto" w:fill="auto"/>
            <w:noWrap/>
            <w:vAlign w:val="bottom"/>
          </w:tcPr>
          <w:p w:rsidR="00C360A4" w:rsidRPr="00C605D8" w:rsidRDefault="003B339E" w:rsidP="00696DB7">
            <w:pPr>
              <w:spacing w:line="240" w:lineRule="auto"/>
              <w:jc w:val="center"/>
              <w:rPr>
                <w:rFonts w:cs="Arial"/>
                <w:sz w:val="20"/>
                <w:szCs w:val="20"/>
              </w:rPr>
            </w:pPr>
            <w:r>
              <w:rPr>
                <w:rFonts w:cs="Arial"/>
                <w:sz w:val="20"/>
                <w:szCs w:val="20"/>
              </w:rPr>
              <w:t>5,1</w:t>
            </w:r>
          </w:p>
        </w:tc>
      </w:tr>
      <w:tr w:rsidR="00C360A4" w:rsidRPr="00C605D8" w:rsidTr="003922C1">
        <w:trPr>
          <w:trHeight w:val="312"/>
          <w:jc w:val="center"/>
        </w:trPr>
        <w:tc>
          <w:tcPr>
            <w:tcW w:w="2646" w:type="dxa"/>
            <w:tcBorders>
              <w:top w:val="single" w:sz="4" w:space="0" w:color="auto"/>
              <w:left w:val="single" w:sz="4" w:space="0" w:color="auto"/>
              <w:bottom w:val="single" w:sz="4" w:space="0" w:color="auto"/>
              <w:right w:val="nil"/>
            </w:tcBorders>
            <w:shd w:val="clear" w:color="auto" w:fill="auto"/>
            <w:noWrap/>
            <w:vAlign w:val="center"/>
            <w:hideMark/>
          </w:tcPr>
          <w:p w:rsidR="00C360A4" w:rsidRPr="003B339E" w:rsidRDefault="00C360A4" w:rsidP="00696DB7">
            <w:pPr>
              <w:spacing w:line="240" w:lineRule="auto"/>
              <w:rPr>
                <w:rFonts w:cs="Arial"/>
                <w:b/>
                <w:sz w:val="20"/>
                <w:szCs w:val="20"/>
              </w:rPr>
            </w:pPr>
            <w:r w:rsidRPr="003B339E">
              <w:rPr>
                <w:rFonts w:cs="Arial"/>
                <w:b/>
                <w:sz w:val="20"/>
                <w:szCs w:val="20"/>
              </w:rPr>
              <w:t>ČR celkem</w:t>
            </w:r>
          </w:p>
        </w:tc>
        <w:tc>
          <w:tcPr>
            <w:tcW w:w="1524" w:type="dxa"/>
            <w:tcBorders>
              <w:top w:val="single" w:sz="4" w:space="0" w:color="auto"/>
              <w:left w:val="single" w:sz="4" w:space="0" w:color="auto"/>
              <w:bottom w:val="single" w:sz="4" w:space="0" w:color="auto"/>
              <w:right w:val="single" w:sz="4" w:space="0" w:color="auto"/>
            </w:tcBorders>
            <w:shd w:val="clear" w:color="auto" w:fill="auto"/>
            <w:noWrap/>
            <w:tcMar>
              <w:right w:w="113" w:type="dxa"/>
            </w:tcMar>
            <w:vAlign w:val="center"/>
          </w:tcPr>
          <w:p w:rsidR="00C360A4" w:rsidRPr="003B339E" w:rsidRDefault="003B339E" w:rsidP="00696DB7">
            <w:pPr>
              <w:spacing w:line="240" w:lineRule="auto"/>
              <w:jc w:val="center"/>
              <w:rPr>
                <w:rFonts w:cs="Arial"/>
                <w:b/>
                <w:sz w:val="20"/>
                <w:szCs w:val="20"/>
              </w:rPr>
            </w:pPr>
            <w:r w:rsidRPr="003B339E">
              <w:rPr>
                <w:rFonts w:cs="Arial"/>
                <w:b/>
                <w:sz w:val="20"/>
                <w:szCs w:val="20"/>
              </w:rPr>
              <w:t>5,2</w:t>
            </w:r>
          </w:p>
        </w:tc>
        <w:tc>
          <w:tcPr>
            <w:tcW w:w="1524" w:type="dxa"/>
            <w:tcBorders>
              <w:top w:val="single" w:sz="4" w:space="0" w:color="auto"/>
              <w:left w:val="nil"/>
              <w:bottom w:val="single" w:sz="4" w:space="0" w:color="auto"/>
              <w:right w:val="nil"/>
            </w:tcBorders>
            <w:shd w:val="clear" w:color="auto" w:fill="auto"/>
            <w:noWrap/>
            <w:vAlign w:val="center"/>
          </w:tcPr>
          <w:p w:rsidR="00C360A4" w:rsidRPr="003B339E" w:rsidRDefault="003B339E" w:rsidP="00696DB7">
            <w:pPr>
              <w:spacing w:line="240" w:lineRule="auto"/>
              <w:ind w:firstLineChars="100" w:firstLine="201"/>
              <w:jc w:val="center"/>
              <w:rPr>
                <w:rFonts w:cs="Arial"/>
                <w:b/>
                <w:sz w:val="20"/>
                <w:szCs w:val="20"/>
              </w:rPr>
            </w:pPr>
            <w:r w:rsidRPr="003B339E">
              <w:rPr>
                <w:rFonts w:cs="Arial"/>
                <w:b/>
                <w:sz w:val="20"/>
                <w:szCs w:val="20"/>
              </w:rPr>
              <w:t>378 258</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60A4" w:rsidRPr="003B339E" w:rsidRDefault="003B339E" w:rsidP="00696DB7">
            <w:pPr>
              <w:spacing w:line="240" w:lineRule="auto"/>
              <w:ind w:firstLineChars="100" w:firstLine="201"/>
              <w:jc w:val="center"/>
              <w:rPr>
                <w:rFonts w:cs="Arial"/>
                <w:b/>
                <w:sz w:val="20"/>
                <w:szCs w:val="20"/>
              </w:rPr>
            </w:pPr>
            <w:r w:rsidRPr="003B339E">
              <w:rPr>
                <w:rFonts w:cs="Arial"/>
                <w:b/>
                <w:sz w:val="20"/>
                <w:szCs w:val="20"/>
              </w:rPr>
              <w:t>140 993</w:t>
            </w:r>
          </w:p>
        </w:tc>
        <w:tc>
          <w:tcPr>
            <w:tcW w:w="1524" w:type="dxa"/>
            <w:tcBorders>
              <w:top w:val="single" w:sz="4" w:space="0" w:color="auto"/>
              <w:left w:val="nil"/>
              <w:bottom w:val="single" w:sz="4" w:space="0" w:color="auto"/>
              <w:right w:val="single" w:sz="4" w:space="0" w:color="auto"/>
            </w:tcBorders>
            <w:shd w:val="clear" w:color="auto" w:fill="auto"/>
            <w:noWrap/>
            <w:vAlign w:val="bottom"/>
          </w:tcPr>
          <w:p w:rsidR="00C360A4" w:rsidRPr="003B339E" w:rsidRDefault="003B339E" w:rsidP="00696DB7">
            <w:pPr>
              <w:spacing w:line="240" w:lineRule="auto"/>
              <w:jc w:val="center"/>
              <w:rPr>
                <w:rFonts w:cs="Arial"/>
                <w:b/>
                <w:sz w:val="20"/>
                <w:szCs w:val="20"/>
              </w:rPr>
            </w:pPr>
            <w:r w:rsidRPr="003B339E">
              <w:rPr>
                <w:rFonts w:cs="Arial"/>
                <w:b/>
                <w:sz w:val="20"/>
                <w:szCs w:val="20"/>
              </w:rPr>
              <w:t>2,7</w:t>
            </w:r>
          </w:p>
        </w:tc>
      </w:tr>
    </w:tbl>
    <w:p w:rsidR="00EC19DB" w:rsidRDefault="00EC19DB" w:rsidP="00696DB7">
      <w:pPr>
        <w:spacing w:before="120" w:line="240" w:lineRule="auto"/>
        <w:rPr>
          <w:rFonts w:cs="Arial"/>
          <w:szCs w:val="24"/>
        </w:rPr>
      </w:pPr>
    </w:p>
    <w:p w:rsidR="007B42A5" w:rsidRDefault="009C102E" w:rsidP="00696DB7">
      <w:pPr>
        <w:spacing w:before="120" w:line="240" w:lineRule="auto"/>
        <w:rPr>
          <w:rFonts w:cs="Arial"/>
          <w:szCs w:val="24"/>
        </w:rPr>
      </w:pPr>
      <w:r>
        <w:rPr>
          <w:rFonts w:cs="Arial"/>
          <w:szCs w:val="24"/>
        </w:rPr>
        <w:t xml:space="preserve">Situace na trhu práce se tak začíná přibližovat situaci v roce 2008, kdy v září tohoto roku evidovaly úřady práce celkem 314 558 </w:t>
      </w:r>
      <w:proofErr w:type="spellStart"/>
      <w:r>
        <w:rPr>
          <w:rFonts w:cs="Arial"/>
          <w:szCs w:val="24"/>
        </w:rPr>
        <w:t>UoZ</w:t>
      </w:r>
      <w:proofErr w:type="spellEnd"/>
      <w:r>
        <w:rPr>
          <w:rFonts w:cs="Arial"/>
          <w:szCs w:val="24"/>
        </w:rPr>
        <w:t xml:space="preserve"> (94,5 % dosažitelných) při 139 557 hláše</w:t>
      </w:r>
      <w:r w:rsidR="00FA764C">
        <w:rPr>
          <w:rFonts w:cs="Arial"/>
          <w:szCs w:val="24"/>
        </w:rPr>
        <w:t>ných volných pracovních místech, tj. cca 2,6 uchazeče na jedno pracovní místo.</w:t>
      </w:r>
      <w:r>
        <w:rPr>
          <w:rFonts w:cs="Arial"/>
          <w:szCs w:val="24"/>
        </w:rPr>
        <w:t xml:space="preserve"> V září 2008 se však již částečně začaly projevovat dopady počínající hospodářské recese, v červnu téhož roku totiž evidovaly úřady práce 297 880 </w:t>
      </w:r>
      <w:proofErr w:type="spellStart"/>
      <w:r>
        <w:rPr>
          <w:rFonts w:cs="Arial"/>
          <w:szCs w:val="24"/>
        </w:rPr>
        <w:t>UoZ</w:t>
      </w:r>
      <w:proofErr w:type="spellEnd"/>
      <w:r>
        <w:rPr>
          <w:rFonts w:cs="Arial"/>
          <w:szCs w:val="24"/>
        </w:rPr>
        <w:t xml:space="preserve"> (93,8 % dosažitelných) při 151 881 volných pracovních místech, tj. na jedno volné pracovní místo připadalo 1,96 </w:t>
      </w:r>
      <w:proofErr w:type="spellStart"/>
      <w:r>
        <w:rPr>
          <w:rFonts w:cs="Arial"/>
          <w:szCs w:val="24"/>
        </w:rPr>
        <w:t>UoZ</w:t>
      </w:r>
      <w:proofErr w:type="spellEnd"/>
      <w:r>
        <w:rPr>
          <w:rFonts w:cs="Arial"/>
          <w:szCs w:val="24"/>
        </w:rPr>
        <w:t xml:space="preserve">. Míra ekonomické aktivity v rozpětí </w:t>
      </w:r>
      <w:r w:rsidR="00FA764C">
        <w:rPr>
          <w:rFonts w:cs="Arial"/>
          <w:szCs w:val="24"/>
        </w:rPr>
        <w:t>2. čtvrtletí 2008 až 2. </w:t>
      </w:r>
      <w:r>
        <w:rPr>
          <w:rFonts w:cs="Arial"/>
          <w:szCs w:val="24"/>
        </w:rPr>
        <w:t>čtvrtletí 2016 narostla o 7. p. b.</w:t>
      </w:r>
    </w:p>
    <w:p w:rsidR="007B42A5" w:rsidRDefault="007B42A5" w:rsidP="00696DB7">
      <w:pPr>
        <w:spacing w:before="120" w:line="240" w:lineRule="auto"/>
        <w:rPr>
          <w:rFonts w:cs="Arial"/>
          <w:szCs w:val="24"/>
        </w:rPr>
      </w:pPr>
    </w:p>
    <w:p w:rsidR="007B42A5" w:rsidRPr="000E3262" w:rsidRDefault="004D7850" w:rsidP="001F4C42">
      <w:pPr>
        <w:pStyle w:val="Nadpis2"/>
        <w:numPr>
          <w:ilvl w:val="1"/>
          <w:numId w:val="6"/>
        </w:numPr>
      </w:pPr>
      <w:bookmarkStart w:id="4" w:name="_Toc465674770"/>
      <w:r w:rsidRPr="000E3262">
        <w:t>Volná pracovní místa a jejich neobsazenost</w:t>
      </w:r>
      <w:bookmarkEnd w:id="4"/>
    </w:p>
    <w:p w:rsidR="00A13614" w:rsidRDefault="00A13614" w:rsidP="00696DB7">
      <w:pPr>
        <w:spacing w:before="120" w:line="240" w:lineRule="auto"/>
        <w:rPr>
          <w:rFonts w:cs="Arial"/>
        </w:rPr>
      </w:pPr>
      <w:r>
        <w:rPr>
          <w:rFonts w:cs="Arial"/>
          <w:szCs w:val="24"/>
        </w:rPr>
        <w:t>Následující tabulka popisuje vývoj ve struktuře a objevu volných pracovních míst podle doby jejich neobsazení.</w:t>
      </w:r>
      <w:r w:rsidRPr="00A13614">
        <w:rPr>
          <w:rFonts w:cs="Arial"/>
        </w:rPr>
        <w:t xml:space="preserve"> </w:t>
      </w:r>
      <w:r w:rsidRPr="00C605D8">
        <w:rPr>
          <w:rFonts w:cs="Arial"/>
        </w:rPr>
        <w:t>Výrazně rostoucí počet neobsazených a nabízených volných míst tudíž začíná signalizovat, že další snižování nezaměstnanosti ovlivňují strukturální faktory (např. specifická kvalifikace pracovní síly v určitých regionech, nabídka volných míst v oblastech s nízkou nezaměstnanosti).</w:t>
      </w:r>
      <w:r>
        <w:rPr>
          <w:rFonts w:cs="Arial"/>
        </w:rPr>
        <w:t xml:space="preserve"> Z tabulky je zřejmé, že se zpomaluje jak dynamika růstu počtu pracovních míst, tak zvyšující se podíl déle neobsazených pracovních míst a struktura volných pracovních míst podle doby jejich nabízení je prakticky shodná se stavem v září 2008.</w:t>
      </w:r>
    </w:p>
    <w:p w:rsidR="00C360A4" w:rsidRDefault="00C360A4" w:rsidP="00696DB7">
      <w:pPr>
        <w:spacing w:before="120" w:line="240" w:lineRule="auto"/>
        <w:rPr>
          <w:rFonts w:cs="Arial"/>
          <w:szCs w:val="24"/>
        </w:rPr>
      </w:pPr>
    </w:p>
    <w:p w:rsidR="003F52F6" w:rsidRDefault="003F52F6" w:rsidP="003F52F6">
      <w:pPr>
        <w:pStyle w:val="Titulek"/>
        <w:keepNext/>
      </w:pPr>
      <w:bookmarkStart w:id="5" w:name="_Toc465674532"/>
      <w:r>
        <w:t xml:space="preserve">Tabulka </w:t>
      </w:r>
      <w:r w:rsidR="006C5B50">
        <w:fldChar w:fldCharType="begin"/>
      </w:r>
      <w:r w:rsidR="006C5B50">
        <w:instrText xml:space="preserve"> SEQ Tabulka \* ARABIC </w:instrText>
      </w:r>
      <w:r w:rsidR="006C5B50">
        <w:fldChar w:fldCharType="separate"/>
      </w:r>
      <w:r w:rsidR="005B254A">
        <w:rPr>
          <w:noProof/>
        </w:rPr>
        <w:t>2</w:t>
      </w:r>
      <w:r w:rsidR="006C5B50">
        <w:rPr>
          <w:noProof/>
        </w:rPr>
        <w:fldChar w:fldCharType="end"/>
      </w:r>
      <w:r>
        <w:t>: Neobsazenost hlášených volných pracovních míst</w:t>
      </w:r>
      <w:bookmarkEnd w:id="5"/>
    </w:p>
    <w:tbl>
      <w:tblPr>
        <w:tblStyle w:val="Mkatabulky"/>
        <w:tblpPr w:leftFromText="141" w:rightFromText="141" w:vertAnchor="text" w:tblpY="1"/>
        <w:tblOverlap w:val="never"/>
        <w:tblW w:w="0" w:type="auto"/>
        <w:tblLook w:val="04A0" w:firstRow="1" w:lastRow="0" w:firstColumn="1" w:lastColumn="0" w:noHBand="0" w:noVBand="1"/>
      </w:tblPr>
      <w:tblGrid>
        <w:gridCol w:w="1709"/>
        <w:gridCol w:w="1561"/>
        <w:gridCol w:w="1367"/>
        <w:gridCol w:w="1365"/>
        <w:gridCol w:w="1561"/>
        <w:gridCol w:w="1561"/>
      </w:tblGrid>
      <w:tr w:rsidR="007B42A5" w:rsidTr="00EC19DB">
        <w:trPr>
          <w:trHeight w:val="230"/>
        </w:trPr>
        <w:tc>
          <w:tcPr>
            <w:tcW w:w="9124" w:type="dxa"/>
            <w:gridSpan w:val="6"/>
            <w:vAlign w:val="center"/>
          </w:tcPr>
          <w:p w:rsidR="007B42A5" w:rsidRPr="007B42A5" w:rsidRDefault="007B42A5" w:rsidP="00696DB7">
            <w:pPr>
              <w:spacing w:before="120"/>
              <w:jc w:val="center"/>
              <w:rPr>
                <w:rFonts w:cs="Arial"/>
                <w:b/>
                <w:sz w:val="20"/>
                <w:szCs w:val="20"/>
              </w:rPr>
            </w:pPr>
            <w:r>
              <w:rPr>
                <w:rFonts w:cs="Arial"/>
                <w:b/>
                <w:sz w:val="20"/>
                <w:szCs w:val="20"/>
              </w:rPr>
              <w:t>Neobsazenost volných pracovních míst k 30. 9. 2016</w:t>
            </w:r>
          </w:p>
        </w:tc>
      </w:tr>
      <w:tr w:rsidR="007B42A5" w:rsidTr="00EC19DB">
        <w:trPr>
          <w:trHeight w:val="230"/>
        </w:trPr>
        <w:tc>
          <w:tcPr>
            <w:tcW w:w="1709" w:type="dxa"/>
            <w:vMerge w:val="restart"/>
            <w:vAlign w:val="center"/>
          </w:tcPr>
          <w:p w:rsidR="007B42A5" w:rsidRPr="00C360A4" w:rsidRDefault="007B42A5" w:rsidP="00696DB7">
            <w:pPr>
              <w:jc w:val="center"/>
              <w:rPr>
                <w:rFonts w:cs="Arial"/>
                <w:color w:val="000000"/>
                <w:sz w:val="20"/>
                <w:szCs w:val="20"/>
              </w:rPr>
            </w:pPr>
            <w:r w:rsidRPr="00C360A4">
              <w:rPr>
                <w:rFonts w:cs="Arial"/>
                <w:color w:val="000000"/>
                <w:sz w:val="20"/>
                <w:szCs w:val="20"/>
              </w:rPr>
              <w:t xml:space="preserve">Počet </w:t>
            </w:r>
            <w:r>
              <w:rPr>
                <w:rFonts w:cs="Arial"/>
                <w:color w:val="000000"/>
                <w:sz w:val="20"/>
                <w:szCs w:val="20"/>
              </w:rPr>
              <w:t xml:space="preserve">pracovních </w:t>
            </w:r>
            <w:r w:rsidRPr="00C360A4">
              <w:rPr>
                <w:rFonts w:cs="Arial"/>
                <w:color w:val="000000"/>
                <w:sz w:val="20"/>
                <w:szCs w:val="20"/>
              </w:rPr>
              <w:t>míst</w:t>
            </w:r>
          </w:p>
        </w:tc>
        <w:tc>
          <w:tcPr>
            <w:tcW w:w="1561" w:type="dxa"/>
            <w:vMerge w:val="restart"/>
            <w:tcBorders>
              <w:right w:val="single" w:sz="4" w:space="0" w:color="auto"/>
            </w:tcBorders>
          </w:tcPr>
          <w:p w:rsidR="007B42A5" w:rsidRPr="00C360A4" w:rsidRDefault="007B42A5" w:rsidP="00696DB7">
            <w:pPr>
              <w:jc w:val="center"/>
              <w:rPr>
                <w:rFonts w:cs="Arial"/>
                <w:sz w:val="20"/>
                <w:szCs w:val="20"/>
              </w:rPr>
            </w:pPr>
            <w:r w:rsidRPr="00C360A4">
              <w:rPr>
                <w:rFonts w:cs="Arial"/>
                <w:sz w:val="20"/>
                <w:szCs w:val="20"/>
              </w:rPr>
              <w:t>celkem</w:t>
            </w:r>
          </w:p>
        </w:tc>
        <w:tc>
          <w:tcPr>
            <w:tcW w:w="5854" w:type="dxa"/>
            <w:gridSpan w:val="4"/>
            <w:tcBorders>
              <w:left w:val="single" w:sz="4" w:space="0" w:color="auto"/>
            </w:tcBorders>
            <w:vAlign w:val="center"/>
          </w:tcPr>
          <w:p w:rsidR="007B42A5" w:rsidRPr="00C360A4" w:rsidRDefault="00313D70" w:rsidP="00696DB7">
            <w:pPr>
              <w:spacing w:before="120"/>
              <w:jc w:val="center"/>
              <w:rPr>
                <w:rFonts w:cs="Arial"/>
                <w:sz w:val="20"/>
                <w:szCs w:val="20"/>
              </w:rPr>
            </w:pPr>
            <w:r>
              <w:rPr>
                <w:rFonts w:cs="Arial"/>
                <w:sz w:val="20"/>
                <w:szCs w:val="20"/>
              </w:rPr>
              <w:t>N</w:t>
            </w:r>
            <w:r w:rsidR="007B42A5">
              <w:rPr>
                <w:rFonts w:cs="Arial"/>
                <w:sz w:val="20"/>
                <w:szCs w:val="20"/>
              </w:rPr>
              <w:t>eobsazeno</w:t>
            </w:r>
            <w:r>
              <w:rPr>
                <w:rFonts w:cs="Arial"/>
                <w:sz w:val="20"/>
                <w:szCs w:val="20"/>
              </w:rPr>
              <w:t xml:space="preserve"> (měsíců)</w:t>
            </w:r>
          </w:p>
        </w:tc>
      </w:tr>
      <w:tr w:rsidR="00922F39" w:rsidTr="00EC19DB">
        <w:trPr>
          <w:trHeight w:val="444"/>
        </w:trPr>
        <w:tc>
          <w:tcPr>
            <w:tcW w:w="1709" w:type="dxa"/>
            <w:vMerge/>
            <w:vAlign w:val="center"/>
          </w:tcPr>
          <w:p w:rsidR="007B42A5" w:rsidRPr="00C360A4" w:rsidRDefault="007B42A5" w:rsidP="00696DB7">
            <w:pPr>
              <w:jc w:val="center"/>
              <w:rPr>
                <w:rFonts w:cs="Arial"/>
                <w:sz w:val="20"/>
                <w:szCs w:val="20"/>
              </w:rPr>
            </w:pPr>
          </w:p>
        </w:tc>
        <w:tc>
          <w:tcPr>
            <w:tcW w:w="1561" w:type="dxa"/>
            <w:vMerge/>
            <w:tcBorders>
              <w:bottom w:val="single" w:sz="4" w:space="0" w:color="auto"/>
              <w:right w:val="single" w:sz="4" w:space="0" w:color="auto"/>
            </w:tcBorders>
          </w:tcPr>
          <w:p w:rsidR="007B42A5" w:rsidRPr="00C360A4" w:rsidRDefault="007B42A5" w:rsidP="00696DB7">
            <w:pPr>
              <w:jc w:val="center"/>
              <w:rPr>
                <w:rFonts w:cs="Arial"/>
                <w:sz w:val="20"/>
                <w:szCs w:val="20"/>
              </w:rPr>
            </w:pPr>
          </w:p>
        </w:tc>
        <w:tc>
          <w:tcPr>
            <w:tcW w:w="1367" w:type="dxa"/>
            <w:tcBorders>
              <w:left w:val="single" w:sz="4" w:space="0" w:color="auto"/>
              <w:bottom w:val="single" w:sz="4" w:space="0" w:color="auto"/>
            </w:tcBorders>
            <w:vAlign w:val="center"/>
          </w:tcPr>
          <w:p w:rsidR="007B42A5" w:rsidRPr="00C360A4" w:rsidRDefault="007B42A5" w:rsidP="00696DB7">
            <w:pPr>
              <w:spacing w:before="120"/>
              <w:jc w:val="center"/>
              <w:rPr>
                <w:rFonts w:cs="Arial"/>
                <w:sz w:val="20"/>
                <w:szCs w:val="20"/>
              </w:rPr>
            </w:pPr>
            <w:r w:rsidRPr="00C360A4">
              <w:rPr>
                <w:rFonts w:cs="Arial"/>
                <w:sz w:val="20"/>
                <w:szCs w:val="20"/>
              </w:rPr>
              <w:t xml:space="preserve">0-3 </w:t>
            </w:r>
          </w:p>
        </w:tc>
        <w:tc>
          <w:tcPr>
            <w:tcW w:w="1365" w:type="dxa"/>
            <w:tcBorders>
              <w:bottom w:val="single" w:sz="4" w:space="0" w:color="auto"/>
            </w:tcBorders>
            <w:vAlign w:val="center"/>
          </w:tcPr>
          <w:p w:rsidR="007B42A5" w:rsidRPr="00C360A4" w:rsidRDefault="007B42A5" w:rsidP="00696DB7">
            <w:pPr>
              <w:spacing w:before="120"/>
              <w:jc w:val="center"/>
              <w:rPr>
                <w:rFonts w:cs="Arial"/>
                <w:sz w:val="20"/>
                <w:szCs w:val="20"/>
              </w:rPr>
            </w:pPr>
            <w:r w:rsidRPr="00C360A4">
              <w:rPr>
                <w:rFonts w:cs="Arial"/>
                <w:sz w:val="20"/>
                <w:szCs w:val="20"/>
              </w:rPr>
              <w:t xml:space="preserve">3-6 </w:t>
            </w:r>
          </w:p>
        </w:tc>
        <w:tc>
          <w:tcPr>
            <w:tcW w:w="1561" w:type="dxa"/>
            <w:tcBorders>
              <w:bottom w:val="single" w:sz="4" w:space="0" w:color="auto"/>
            </w:tcBorders>
            <w:vAlign w:val="center"/>
          </w:tcPr>
          <w:p w:rsidR="007B42A5" w:rsidRPr="00C360A4" w:rsidRDefault="007B42A5" w:rsidP="00696DB7">
            <w:pPr>
              <w:spacing w:before="120"/>
              <w:jc w:val="center"/>
              <w:rPr>
                <w:rFonts w:cs="Arial"/>
                <w:sz w:val="20"/>
                <w:szCs w:val="20"/>
              </w:rPr>
            </w:pPr>
            <w:r w:rsidRPr="00C360A4">
              <w:rPr>
                <w:rFonts w:cs="Arial"/>
                <w:sz w:val="20"/>
                <w:szCs w:val="20"/>
              </w:rPr>
              <w:t xml:space="preserve">6-12 </w:t>
            </w:r>
          </w:p>
        </w:tc>
        <w:tc>
          <w:tcPr>
            <w:tcW w:w="1561" w:type="dxa"/>
            <w:tcBorders>
              <w:bottom w:val="single" w:sz="4" w:space="0" w:color="auto"/>
            </w:tcBorders>
            <w:vAlign w:val="center"/>
          </w:tcPr>
          <w:p w:rsidR="007B42A5" w:rsidRPr="00C360A4" w:rsidRDefault="007B42A5" w:rsidP="00696DB7">
            <w:pPr>
              <w:spacing w:before="120"/>
              <w:jc w:val="center"/>
              <w:rPr>
                <w:rFonts w:cs="Arial"/>
                <w:sz w:val="20"/>
                <w:szCs w:val="20"/>
              </w:rPr>
            </w:pPr>
            <w:r w:rsidRPr="00C360A4">
              <w:rPr>
                <w:rFonts w:cs="Arial"/>
                <w:sz w:val="20"/>
                <w:szCs w:val="20"/>
              </w:rPr>
              <w:t xml:space="preserve">Nad 12 </w:t>
            </w:r>
          </w:p>
        </w:tc>
      </w:tr>
      <w:tr w:rsidR="00922F39" w:rsidTr="00EC19DB">
        <w:trPr>
          <w:trHeight w:val="151"/>
        </w:trPr>
        <w:tc>
          <w:tcPr>
            <w:tcW w:w="1709" w:type="dxa"/>
            <w:vMerge/>
            <w:vAlign w:val="center"/>
          </w:tcPr>
          <w:p w:rsidR="007B42A5" w:rsidRPr="00C360A4" w:rsidRDefault="007B42A5" w:rsidP="00696DB7">
            <w:pPr>
              <w:jc w:val="right"/>
              <w:rPr>
                <w:rFonts w:cs="Arial"/>
                <w:color w:val="000000"/>
                <w:sz w:val="20"/>
                <w:szCs w:val="20"/>
              </w:rPr>
            </w:pPr>
          </w:p>
        </w:tc>
        <w:tc>
          <w:tcPr>
            <w:tcW w:w="1561" w:type="dxa"/>
            <w:tcBorders>
              <w:top w:val="single" w:sz="4" w:space="0" w:color="auto"/>
              <w:bottom w:val="single" w:sz="4" w:space="0" w:color="auto"/>
            </w:tcBorders>
          </w:tcPr>
          <w:p w:rsidR="007B42A5" w:rsidRPr="00C360A4" w:rsidRDefault="007B42A5" w:rsidP="00696DB7">
            <w:pPr>
              <w:jc w:val="center"/>
              <w:rPr>
                <w:rFonts w:cs="Arial"/>
                <w:sz w:val="20"/>
                <w:szCs w:val="20"/>
              </w:rPr>
            </w:pPr>
            <w:r w:rsidRPr="00C360A4">
              <w:rPr>
                <w:rFonts w:cs="Arial"/>
                <w:sz w:val="20"/>
                <w:szCs w:val="20"/>
              </w:rPr>
              <w:t>140 992</w:t>
            </w:r>
          </w:p>
        </w:tc>
        <w:tc>
          <w:tcPr>
            <w:tcW w:w="1367" w:type="dxa"/>
            <w:vAlign w:val="center"/>
          </w:tcPr>
          <w:p w:rsidR="007B42A5" w:rsidRPr="00C360A4" w:rsidRDefault="007B42A5" w:rsidP="00696DB7">
            <w:pPr>
              <w:jc w:val="center"/>
              <w:rPr>
                <w:rFonts w:cs="Arial"/>
                <w:sz w:val="20"/>
                <w:szCs w:val="20"/>
              </w:rPr>
            </w:pPr>
            <w:r w:rsidRPr="00C360A4">
              <w:rPr>
                <w:rFonts w:cs="Arial"/>
                <w:sz w:val="20"/>
                <w:szCs w:val="20"/>
              </w:rPr>
              <w:t>61 171</w:t>
            </w:r>
          </w:p>
        </w:tc>
        <w:tc>
          <w:tcPr>
            <w:tcW w:w="1365" w:type="dxa"/>
            <w:vAlign w:val="center"/>
          </w:tcPr>
          <w:p w:rsidR="007B42A5" w:rsidRPr="00C360A4" w:rsidRDefault="007B42A5" w:rsidP="00696DB7">
            <w:pPr>
              <w:jc w:val="center"/>
              <w:rPr>
                <w:rFonts w:cs="Arial"/>
                <w:sz w:val="20"/>
                <w:szCs w:val="20"/>
              </w:rPr>
            </w:pPr>
            <w:r w:rsidRPr="00C360A4">
              <w:rPr>
                <w:rFonts w:cs="Arial"/>
                <w:sz w:val="20"/>
                <w:szCs w:val="20"/>
              </w:rPr>
              <w:t>30 503</w:t>
            </w:r>
          </w:p>
        </w:tc>
        <w:tc>
          <w:tcPr>
            <w:tcW w:w="1561" w:type="dxa"/>
            <w:vAlign w:val="center"/>
          </w:tcPr>
          <w:p w:rsidR="007B42A5" w:rsidRPr="00C360A4" w:rsidRDefault="007B42A5" w:rsidP="00696DB7">
            <w:pPr>
              <w:jc w:val="center"/>
              <w:rPr>
                <w:rFonts w:cs="Arial"/>
                <w:sz w:val="20"/>
                <w:szCs w:val="20"/>
              </w:rPr>
            </w:pPr>
            <w:r w:rsidRPr="00C360A4">
              <w:rPr>
                <w:rFonts w:cs="Arial"/>
                <w:sz w:val="20"/>
                <w:szCs w:val="20"/>
              </w:rPr>
              <w:t>24 013</w:t>
            </w:r>
          </w:p>
        </w:tc>
        <w:tc>
          <w:tcPr>
            <w:tcW w:w="1561" w:type="dxa"/>
            <w:vAlign w:val="center"/>
          </w:tcPr>
          <w:p w:rsidR="007B42A5" w:rsidRPr="00C360A4" w:rsidRDefault="007B42A5" w:rsidP="00696DB7">
            <w:pPr>
              <w:jc w:val="center"/>
              <w:rPr>
                <w:rFonts w:cs="Arial"/>
                <w:sz w:val="20"/>
                <w:szCs w:val="20"/>
              </w:rPr>
            </w:pPr>
            <w:r w:rsidRPr="00C360A4">
              <w:rPr>
                <w:rFonts w:cs="Arial"/>
                <w:sz w:val="20"/>
                <w:szCs w:val="20"/>
              </w:rPr>
              <w:t>25 305</w:t>
            </w:r>
          </w:p>
        </w:tc>
      </w:tr>
      <w:tr w:rsidR="00922F39" w:rsidTr="00EC19DB">
        <w:trPr>
          <w:trHeight w:val="236"/>
        </w:trPr>
        <w:tc>
          <w:tcPr>
            <w:tcW w:w="1709" w:type="dxa"/>
            <w:vAlign w:val="center"/>
          </w:tcPr>
          <w:p w:rsidR="007B42A5" w:rsidRPr="00C360A4" w:rsidRDefault="007B42A5" w:rsidP="00696DB7">
            <w:pPr>
              <w:jc w:val="center"/>
              <w:rPr>
                <w:rFonts w:cs="Arial"/>
                <w:color w:val="000000"/>
                <w:sz w:val="20"/>
                <w:szCs w:val="20"/>
              </w:rPr>
            </w:pPr>
            <w:r>
              <w:rPr>
                <w:rFonts w:cs="Arial"/>
                <w:color w:val="000000"/>
                <w:sz w:val="20"/>
                <w:szCs w:val="20"/>
              </w:rPr>
              <w:t>podíl</w:t>
            </w:r>
          </w:p>
        </w:tc>
        <w:tc>
          <w:tcPr>
            <w:tcW w:w="1561" w:type="dxa"/>
            <w:tcBorders>
              <w:top w:val="single" w:sz="4" w:space="0" w:color="auto"/>
            </w:tcBorders>
          </w:tcPr>
          <w:p w:rsidR="007B42A5" w:rsidRPr="00C360A4" w:rsidRDefault="009C102E" w:rsidP="00696DB7">
            <w:pPr>
              <w:jc w:val="center"/>
              <w:rPr>
                <w:rFonts w:cs="Arial"/>
                <w:sz w:val="20"/>
                <w:szCs w:val="20"/>
              </w:rPr>
            </w:pPr>
            <w:r>
              <w:rPr>
                <w:rFonts w:cs="Arial"/>
                <w:sz w:val="20"/>
                <w:szCs w:val="20"/>
              </w:rPr>
              <w:t>100 %</w:t>
            </w:r>
          </w:p>
        </w:tc>
        <w:tc>
          <w:tcPr>
            <w:tcW w:w="1367" w:type="dxa"/>
            <w:vAlign w:val="center"/>
          </w:tcPr>
          <w:p w:rsidR="007B42A5" w:rsidRPr="00C360A4" w:rsidRDefault="007B42A5" w:rsidP="00696DB7">
            <w:pPr>
              <w:jc w:val="center"/>
              <w:rPr>
                <w:rFonts w:cs="Arial"/>
                <w:sz w:val="20"/>
                <w:szCs w:val="20"/>
              </w:rPr>
            </w:pPr>
            <w:r>
              <w:rPr>
                <w:rFonts w:cs="Arial"/>
                <w:sz w:val="20"/>
                <w:szCs w:val="20"/>
              </w:rPr>
              <w:t>43,4 %</w:t>
            </w:r>
          </w:p>
        </w:tc>
        <w:tc>
          <w:tcPr>
            <w:tcW w:w="1365" w:type="dxa"/>
            <w:vAlign w:val="center"/>
          </w:tcPr>
          <w:p w:rsidR="007B42A5" w:rsidRPr="00C360A4" w:rsidRDefault="007B42A5" w:rsidP="00696DB7">
            <w:pPr>
              <w:jc w:val="center"/>
              <w:rPr>
                <w:rFonts w:cs="Arial"/>
                <w:sz w:val="20"/>
                <w:szCs w:val="20"/>
              </w:rPr>
            </w:pPr>
            <w:r>
              <w:rPr>
                <w:rFonts w:cs="Arial"/>
                <w:sz w:val="20"/>
                <w:szCs w:val="20"/>
              </w:rPr>
              <w:t>21,6 %</w:t>
            </w:r>
          </w:p>
        </w:tc>
        <w:tc>
          <w:tcPr>
            <w:tcW w:w="1561" w:type="dxa"/>
            <w:vAlign w:val="center"/>
          </w:tcPr>
          <w:p w:rsidR="007B42A5" w:rsidRPr="00C360A4" w:rsidRDefault="007B42A5" w:rsidP="00696DB7">
            <w:pPr>
              <w:jc w:val="center"/>
              <w:rPr>
                <w:rFonts w:cs="Arial"/>
                <w:sz w:val="20"/>
                <w:szCs w:val="20"/>
              </w:rPr>
            </w:pPr>
            <w:r>
              <w:rPr>
                <w:rFonts w:cs="Arial"/>
                <w:sz w:val="20"/>
                <w:szCs w:val="20"/>
              </w:rPr>
              <w:t>17 %</w:t>
            </w:r>
          </w:p>
        </w:tc>
        <w:tc>
          <w:tcPr>
            <w:tcW w:w="1561" w:type="dxa"/>
            <w:vAlign w:val="center"/>
          </w:tcPr>
          <w:p w:rsidR="007B42A5" w:rsidRPr="00C360A4" w:rsidRDefault="007B42A5" w:rsidP="00696DB7">
            <w:pPr>
              <w:jc w:val="center"/>
              <w:rPr>
                <w:rFonts w:cs="Arial"/>
                <w:sz w:val="20"/>
                <w:szCs w:val="20"/>
              </w:rPr>
            </w:pPr>
            <w:r>
              <w:rPr>
                <w:rFonts w:cs="Arial"/>
                <w:sz w:val="20"/>
                <w:szCs w:val="20"/>
              </w:rPr>
              <w:t>18 %</w:t>
            </w:r>
          </w:p>
        </w:tc>
      </w:tr>
      <w:tr w:rsidR="007B42A5" w:rsidTr="00EC19DB">
        <w:trPr>
          <w:trHeight w:val="236"/>
        </w:trPr>
        <w:tc>
          <w:tcPr>
            <w:tcW w:w="9124" w:type="dxa"/>
            <w:gridSpan w:val="6"/>
            <w:vAlign w:val="bottom"/>
          </w:tcPr>
          <w:p w:rsidR="007B42A5" w:rsidRDefault="007B42A5" w:rsidP="00696DB7">
            <w:pPr>
              <w:jc w:val="center"/>
              <w:rPr>
                <w:rFonts w:cs="Arial"/>
                <w:sz w:val="20"/>
                <w:szCs w:val="20"/>
              </w:rPr>
            </w:pPr>
            <w:r>
              <w:rPr>
                <w:rFonts w:cs="Arial"/>
                <w:b/>
                <w:sz w:val="20"/>
                <w:szCs w:val="20"/>
              </w:rPr>
              <w:t>Neobsazenost volných pracovních míst k 30. 9. 2015</w:t>
            </w:r>
          </w:p>
        </w:tc>
      </w:tr>
      <w:tr w:rsidR="00922F39" w:rsidTr="00EC19DB">
        <w:trPr>
          <w:trHeight w:val="230"/>
        </w:trPr>
        <w:tc>
          <w:tcPr>
            <w:tcW w:w="1709" w:type="dxa"/>
            <w:vMerge w:val="restart"/>
            <w:vAlign w:val="center"/>
          </w:tcPr>
          <w:p w:rsidR="007B42A5" w:rsidRPr="00C360A4" w:rsidRDefault="007B42A5" w:rsidP="00696DB7">
            <w:pPr>
              <w:jc w:val="center"/>
              <w:rPr>
                <w:rFonts w:cs="Arial"/>
                <w:color w:val="000000"/>
                <w:sz w:val="20"/>
                <w:szCs w:val="20"/>
              </w:rPr>
            </w:pPr>
            <w:r w:rsidRPr="00C360A4">
              <w:rPr>
                <w:rFonts w:cs="Arial"/>
                <w:color w:val="000000"/>
                <w:sz w:val="20"/>
                <w:szCs w:val="20"/>
              </w:rPr>
              <w:t xml:space="preserve">Počet </w:t>
            </w:r>
            <w:r>
              <w:rPr>
                <w:rFonts w:cs="Arial"/>
                <w:color w:val="000000"/>
                <w:sz w:val="20"/>
                <w:szCs w:val="20"/>
              </w:rPr>
              <w:t xml:space="preserve">pracovních </w:t>
            </w:r>
            <w:r w:rsidRPr="00C360A4">
              <w:rPr>
                <w:rFonts w:cs="Arial"/>
                <w:color w:val="000000"/>
                <w:sz w:val="20"/>
                <w:szCs w:val="20"/>
              </w:rPr>
              <w:t>míst</w:t>
            </w:r>
          </w:p>
        </w:tc>
        <w:tc>
          <w:tcPr>
            <w:tcW w:w="1561" w:type="dxa"/>
            <w:vMerge w:val="restart"/>
            <w:tcBorders>
              <w:right w:val="single" w:sz="4" w:space="0" w:color="auto"/>
            </w:tcBorders>
          </w:tcPr>
          <w:p w:rsidR="007B42A5" w:rsidRPr="00C360A4" w:rsidRDefault="007B42A5" w:rsidP="00696DB7">
            <w:pPr>
              <w:jc w:val="center"/>
              <w:rPr>
                <w:rFonts w:cs="Arial"/>
                <w:sz w:val="20"/>
                <w:szCs w:val="20"/>
              </w:rPr>
            </w:pPr>
            <w:r w:rsidRPr="00C360A4">
              <w:rPr>
                <w:rFonts w:cs="Arial"/>
                <w:sz w:val="20"/>
                <w:szCs w:val="20"/>
              </w:rPr>
              <w:t>celkem</w:t>
            </w:r>
          </w:p>
        </w:tc>
        <w:tc>
          <w:tcPr>
            <w:tcW w:w="5854" w:type="dxa"/>
            <w:gridSpan w:val="4"/>
            <w:tcBorders>
              <w:left w:val="single" w:sz="4" w:space="0" w:color="auto"/>
            </w:tcBorders>
            <w:vAlign w:val="center"/>
          </w:tcPr>
          <w:p w:rsidR="007B42A5" w:rsidRPr="00C360A4" w:rsidRDefault="00313D70" w:rsidP="00696DB7">
            <w:pPr>
              <w:spacing w:before="120"/>
              <w:jc w:val="center"/>
              <w:rPr>
                <w:rFonts w:cs="Arial"/>
                <w:sz w:val="20"/>
                <w:szCs w:val="20"/>
              </w:rPr>
            </w:pPr>
            <w:r>
              <w:rPr>
                <w:rFonts w:cs="Arial"/>
                <w:sz w:val="20"/>
                <w:szCs w:val="20"/>
              </w:rPr>
              <w:t>N</w:t>
            </w:r>
            <w:r w:rsidR="007B42A5">
              <w:rPr>
                <w:rFonts w:cs="Arial"/>
                <w:sz w:val="20"/>
                <w:szCs w:val="20"/>
              </w:rPr>
              <w:t>eobsazeno</w:t>
            </w:r>
            <w:r>
              <w:rPr>
                <w:rFonts w:cs="Arial"/>
                <w:sz w:val="20"/>
                <w:szCs w:val="20"/>
              </w:rPr>
              <w:t xml:space="preserve"> (měsíců)</w:t>
            </w:r>
          </w:p>
        </w:tc>
      </w:tr>
      <w:tr w:rsidR="00313D70" w:rsidTr="00EC19DB">
        <w:trPr>
          <w:trHeight w:val="444"/>
        </w:trPr>
        <w:tc>
          <w:tcPr>
            <w:tcW w:w="1709" w:type="dxa"/>
            <w:vMerge/>
            <w:vAlign w:val="center"/>
          </w:tcPr>
          <w:p w:rsidR="007B42A5" w:rsidRPr="00C360A4" w:rsidRDefault="007B42A5" w:rsidP="00696DB7">
            <w:pPr>
              <w:jc w:val="center"/>
              <w:rPr>
                <w:rFonts w:cs="Arial"/>
                <w:sz w:val="20"/>
                <w:szCs w:val="20"/>
              </w:rPr>
            </w:pPr>
          </w:p>
        </w:tc>
        <w:tc>
          <w:tcPr>
            <w:tcW w:w="1561" w:type="dxa"/>
            <w:vMerge/>
            <w:tcBorders>
              <w:bottom w:val="single" w:sz="4" w:space="0" w:color="auto"/>
              <w:right w:val="single" w:sz="4" w:space="0" w:color="auto"/>
            </w:tcBorders>
          </w:tcPr>
          <w:p w:rsidR="007B42A5" w:rsidRPr="00C360A4" w:rsidRDefault="007B42A5" w:rsidP="00696DB7">
            <w:pPr>
              <w:jc w:val="center"/>
              <w:rPr>
                <w:rFonts w:cs="Arial"/>
                <w:sz w:val="20"/>
                <w:szCs w:val="20"/>
              </w:rPr>
            </w:pPr>
          </w:p>
        </w:tc>
        <w:tc>
          <w:tcPr>
            <w:tcW w:w="1367" w:type="dxa"/>
            <w:tcBorders>
              <w:left w:val="single" w:sz="4" w:space="0" w:color="auto"/>
              <w:bottom w:val="single" w:sz="4" w:space="0" w:color="auto"/>
            </w:tcBorders>
            <w:vAlign w:val="center"/>
          </w:tcPr>
          <w:p w:rsidR="007B42A5" w:rsidRPr="00C360A4" w:rsidRDefault="007B42A5" w:rsidP="00696DB7">
            <w:pPr>
              <w:spacing w:before="120"/>
              <w:jc w:val="center"/>
              <w:rPr>
                <w:rFonts w:cs="Arial"/>
                <w:sz w:val="20"/>
                <w:szCs w:val="20"/>
              </w:rPr>
            </w:pPr>
            <w:r w:rsidRPr="00C360A4">
              <w:rPr>
                <w:rFonts w:cs="Arial"/>
                <w:sz w:val="20"/>
                <w:szCs w:val="20"/>
              </w:rPr>
              <w:t xml:space="preserve">0-3 </w:t>
            </w:r>
          </w:p>
        </w:tc>
        <w:tc>
          <w:tcPr>
            <w:tcW w:w="1365" w:type="dxa"/>
            <w:tcBorders>
              <w:bottom w:val="single" w:sz="4" w:space="0" w:color="auto"/>
            </w:tcBorders>
            <w:vAlign w:val="center"/>
          </w:tcPr>
          <w:p w:rsidR="007B42A5" w:rsidRPr="00C360A4" w:rsidRDefault="007B42A5" w:rsidP="00696DB7">
            <w:pPr>
              <w:spacing w:before="120"/>
              <w:jc w:val="center"/>
              <w:rPr>
                <w:rFonts w:cs="Arial"/>
                <w:sz w:val="20"/>
                <w:szCs w:val="20"/>
              </w:rPr>
            </w:pPr>
            <w:r w:rsidRPr="00C360A4">
              <w:rPr>
                <w:rFonts w:cs="Arial"/>
                <w:sz w:val="20"/>
                <w:szCs w:val="20"/>
              </w:rPr>
              <w:t xml:space="preserve">3-6 </w:t>
            </w:r>
          </w:p>
        </w:tc>
        <w:tc>
          <w:tcPr>
            <w:tcW w:w="1561" w:type="dxa"/>
            <w:tcBorders>
              <w:bottom w:val="single" w:sz="4" w:space="0" w:color="auto"/>
            </w:tcBorders>
            <w:vAlign w:val="center"/>
          </w:tcPr>
          <w:p w:rsidR="007B42A5" w:rsidRPr="00C360A4" w:rsidRDefault="007B42A5" w:rsidP="00696DB7">
            <w:pPr>
              <w:spacing w:before="120"/>
              <w:jc w:val="center"/>
              <w:rPr>
                <w:rFonts w:cs="Arial"/>
                <w:sz w:val="20"/>
                <w:szCs w:val="20"/>
              </w:rPr>
            </w:pPr>
            <w:r w:rsidRPr="00C360A4">
              <w:rPr>
                <w:rFonts w:cs="Arial"/>
                <w:sz w:val="20"/>
                <w:szCs w:val="20"/>
              </w:rPr>
              <w:t xml:space="preserve">6-12 </w:t>
            </w:r>
          </w:p>
        </w:tc>
        <w:tc>
          <w:tcPr>
            <w:tcW w:w="1561" w:type="dxa"/>
            <w:tcBorders>
              <w:bottom w:val="single" w:sz="4" w:space="0" w:color="auto"/>
            </w:tcBorders>
            <w:vAlign w:val="center"/>
          </w:tcPr>
          <w:p w:rsidR="007B42A5" w:rsidRPr="00C360A4" w:rsidRDefault="007B42A5" w:rsidP="00696DB7">
            <w:pPr>
              <w:spacing w:before="120"/>
              <w:jc w:val="center"/>
              <w:rPr>
                <w:rFonts w:cs="Arial"/>
                <w:sz w:val="20"/>
                <w:szCs w:val="20"/>
              </w:rPr>
            </w:pPr>
            <w:r w:rsidRPr="00C360A4">
              <w:rPr>
                <w:rFonts w:cs="Arial"/>
                <w:sz w:val="20"/>
                <w:szCs w:val="20"/>
              </w:rPr>
              <w:t xml:space="preserve">Nad 12 </w:t>
            </w:r>
          </w:p>
        </w:tc>
      </w:tr>
      <w:tr w:rsidR="00313D70" w:rsidTr="00EC19DB">
        <w:trPr>
          <w:trHeight w:val="151"/>
        </w:trPr>
        <w:tc>
          <w:tcPr>
            <w:tcW w:w="1709" w:type="dxa"/>
            <w:vMerge/>
            <w:vAlign w:val="center"/>
          </w:tcPr>
          <w:p w:rsidR="007B42A5" w:rsidRPr="00C360A4" w:rsidRDefault="007B42A5" w:rsidP="00696DB7">
            <w:pPr>
              <w:jc w:val="right"/>
              <w:rPr>
                <w:rFonts w:cs="Arial"/>
                <w:color w:val="000000"/>
                <w:sz w:val="20"/>
                <w:szCs w:val="20"/>
              </w:rPr>
            </w:pPr>
          </w:p>
        </w:tc>
        <w:tc>
          <w:tcPr>
            <w:tcW w:w="1561" w:type="dxa"/>
            <w:tcBorders>
              <w:top w:val="single" w:sz="4" w:space="0" w:color="auto"/>
              <w:bottom w:val="single" w:sz="4" w:space="0" w:color="auto"/>
            </w:tcBorders>
            <w:vAlign w:val="center"/>
          </w:tcPr>
          <w:p w:rsidR="007B42A5" w:rsidRDefault="007B42A5" w:rsidP="00696DB7">
            <w:pPr>
              <w:jc w:val="center"/>
              <w:rPr>
                <w:rFonts w:cs="Arial"/>
                <w:color w:val="000000"/>
                <w:sz w:val="19"/>
                <w:szCs w:val="19"/>
              </w:rPr>
            </w:pPr>
            <w:r>
              <w:rPr>
                <w:rFonts w:cs="Arial"/>
                <w:color w:val="000000"/>
                <w:sz w:val="19"/>
                <w:szCs w:val="19"/>
              </w:rPr>
              <w:t>108 574</w:t>
            </w:r>
          </w:p>
        </w:tc>
        <w:tc>
          <w:tcPr>
            <w:tcW w:w="1367" w:type="dxa"/>
            <w:vAlign w:val="center"/>
          </w:tcPr>
          <w:p w:rsidR="007B42A5" w:rsidRDefault="007B42A5" w:rsidP="00696DB7">
            <w:pPr>
              <w:jc w:val="center"/>
              <w:rPr>
                <w:rFonts w:cs="Arial"/>
                <w:color w:val="000000"/>
                <w:sz w:val="19"/>
                <w:szCs w:val="19"/>
              </w:rPr>
            </w:pPr>
            <w:r>
              <w:rPr>
                <w:rFonts w:cs="Arial"/>
                <w:color w:val="000000"/>
                <w:sz w:val="19"/>
                <w:szCs w:val="19"/>
              </w:rPr>
              <w:t>55 404</w:t>
            </w:r>
          </w:p>
        </w:tc>
        <w:tc>
          <w:tcPr>
            <w:tcW w:w="1365" w:type="dxa"/>
            <w:vAlign w:val="center"/>
          </w:tcPr>
          <w:p w:rsidR="007B42A5" w:rsidRDefault="007B42A5" w:rsidP="00696DB7">
            <w:pPr>
              <w:jc w:val="center"/>
              <w:rPr>
                <w:rFonts w:cs="Arial"/>
                <w:color w:val="000000"/>
                <w:sz w:val="19"/>
                <w:szCs w:val="19"/>
              </w:rPr>
            </w:pPr>
            <w:r>
              <w:rPr>
                <w:rFonts w:cs="Arial"/>
                <w:color w:val="000000"/>
                <w:sz w:val="19"/>
                <w:szCs w:val="19"/>
              </w:rPr>
              <w:t>23 150</w:t>
            </w:r>
          </w:p>
        </w:tc>
        <w:tc>
          <w:tcPr>
            <w:tcW w:w="1561" w:type="dxa"/>
            <w:vAlign w:val="center"/>
          </w:tcPr>
          <w:p w:rsidR="007B42A5" w:rsidRDefault="007B42A5" w:rsidP="00696DB7">
            <w:pPr>
              <w:jc w:val="center"/>
              <w:rPr>
                <w:rFonts w:cs="Arial"/>
                <w:color w:val="000000"/>
                <w:sz w:val="19"/>
                <w:szCs w:val="19"/>
              </w:rPr>
            </w:pPr>
            <w:r>
              <w:rPr>
                <w:rFonts w:cs="Arial"/>
                <w:color w:val="000000"/>
                <w:sz w:val="19"/>
                <w:szCs w:val="19"/>
              </w:rPr>
              <w:t>18 779</w:t>
            </w:r>
          </w:p>
        </w:tc>
        <w:tc>
          <w:tcPr>
            <w:tcW w:w="1561" w:type="dxa"/>
            <w:vAlign w:val="center"/>
          </w:tcPr>
          <w:p w:rsidR="007B42A5" w:rsidRDefault="007B42A5" w:rsidP="00696DB7">
            <w:pPr>
              <w:jc w:val="center"/>
              <w:rPr>
                <w:rFonts w:cs="Arial"/>
                <w:color w:val="000000"/>
                <w:sz w:val="19"/>
                <w:szCs w:val="19"/>
              </w:rPr>
            </w:pPr>
            <w:r>
              <w:rPr>
                <w:rFonts w:cs="Arial"/>
                <w:color w:val="000000"/>
                <w:sz w:val="19"/>
                <w:szCs w:val="19"/>
              </w:rPr>
              <w:t>11 241</w:t>
            </w:r>
          </w:p>
        </w:tc>
      </w:tr>
      <w:tr w:rsidR="00313D70" w:rsidTr="00EC19DB">
        <w:trPr>
          <w:trHeight w:val="236"/>
        </w:trPr>
        <w:tc>
          <w:tcPr>
            <w:tcW w:w="1709" w:type="dxa"/>
            <w:vAlign w:val="center"/>
          </w:tcPr>
          <w:p w:rsidR="007B42A5" w:rsidRPr="00C360A4" w:rsidRDefault="007B42A5" w:rsidP="00696DB7">
            <w:pPr>
              <w:jc w:val="center"/>
              <w:rPr>
                <w:rFonts w:cs="Arial"/>
                <w:color w:val="000000"/>
                <w:sz w:val="20"/>
                <w:szCs w:val="20"/>
              </w:rPr>
            </w:pPr>
            <w:r>
              <w:rPr>
                <w:rFonts w:cs="Arial"/>
                <w:color w:val="000000"/>
                <w:sz w:val="20"/>
                <w:szCs w:val="20"/>
              </w:rPr>
              <w:t>podíl</w:t>
            </w:r>
          </w:p>
        </w:tc>
        <w:tc>
          <w:tcPr>
            <w:tcW w:w="1561" w:type="dxa"/>
            <w:tcBorders>
              <w:top w:val="single" w:sz="4" w:space="0" w:color="auto"/>
            </w:tcBorders>
          </w:tcPr>
          <w:p w:rsidR="007B42A5" w:rsidRPr="00C360A4" w:rsidRDefault="007B42A5" w:rsidP="00696DB7">
            <w:pPr>
              <w:jc w:val="center"/>
              <w:rPr>
                <w:rFonts w:cs="Arial"/>
                <w:sz w:val="20"/>
                <w:szCs w:val="20"/>
              </w:rPr>
            </w:pPr>
            <w:r>
              <w:rPr>
                <w:rFonts w:cs="Arial"/>
                <w:sz w:val="20"/>
                <w:szCs w:val="20"/>
              </w:rPr>
              <w:t>100 %</w:t>
            </w:r>
          </w:p>
        </w:tc>
        <w:tc>
          <w:tcPr>
            <w:tcW w:w="1367" w:type="dxa"/>
            <w:vAlign w:val="center"/>
          </w:tcPr>
          <w:p w:rsidR="007B42A5" w:rsidRPr="00C360A4" w:rsidRDefault="007B42A5" w:rsidP="00696DB7">
            <w:pPr>
              <w:jc w:val="center"/>
              <w:rPr>
                <w:rFonts w:cs="Arial"/>
                <w:sz w:val="20"/>
                <w:szCs w:val="20"/>
              </w:rPr>
            </w:pPr>
            <w:r>
              <w:rPr>
                <w:rFonts w:cs="Arial"/>
                <w:sz w:val="20"/>
                <w:szCs w:val="20"/>
              </w:rPr>
              <w:t>51 %</w:t>
            </w:r>
          </w:p>
        </w:tc>
        <w:tc>
          <w:tcPr>
            <w:tcW w:w="1365" w:type="dxa"/>
            <w:vAlign w:val="center"/>
          </w:tcPr>
          <w:p w:rsidR="007B42A5" w:rsidRPr="00C360A4" w:rsidRDefault="007B42A5" w:rsidP="00696DB7">
            <w:pPr>
              <w:jc w:val="center"/>
              <w:rPr>
                <w:rFonts w:cs="Arial"/>
                <w:sz w:val="20"/>
                <w:szCs w:val="20"/>
              </w:rPr>
            </w:pPr>
            <w:r>
              <w:rPr>
                <w:rFonts w:cs="Arial"/>
                <w:sz w:val="20"/>
                <w:szCs w:val="20"/>
              </w:rPr>
              <w:t>21,3 %</w:t>
            </w:r>
          </w:p>
        </w:tc>
        <w:tc>
          <w:tcPr>
            <w:tcW w:w="1561" w:type="dxa"/>
            <w:vAlign w:val="center"/>
          </w:tcPr>
          <w:p w:rsidR="007B42A5" w:rsidRPr="00C360A4" w:rsidRDefault="007B42A5" w:rsidP="00696DB7">
            <w:pPr>
              <w:jc w:val="center"/>
              <w:rPr>
                <w:rFonts w:cs="Arial"/>
                <w:sz w:val="20"/>
                <w:szCs w:val="20"/>
              </w:rPr>
            </w:pPr>
            <w:r>
              <w:rPr>
                <w:rFonts w:cs="Arial"/>
                <w:sz w:val="20"/>
                <w:szCs w:val="20"/>
              </w:rPr>
              <w:t>17,3 %</w:t>
            </w:r>
          </w:p>
        </w:tc>
        <w:tc>
          <w:tcPr>
            <w:tcW w:w="1561" w:type="dxa"/>
            <w:vAlign w:val="center"/>
          </w:tcPr>
          <w:p w:rsidR="007B42A5" w:rsidRPr="00C360A4" w:rsidRDefault="007B42A5" w:rsidP="00696DB7">
            <w:pPr>
              <w:jc w:val="center"/>
              <w:rPr>
                <w:rFonts w:cs="Arial"/>
                <w:sz w:val="20"/>
                <w:szCs w:val="20"/>
              </w:rPr>
            </w:pPr>
            <w:r>
              <w:rPr>
                <w:rFonts w:cs="Arial"/>
                <w:sz w:val="20"/>
                <w:szCs w:val="20"/>
              </w:rPr>
              <w:t>10,4 %</w:t>
            </w:r>
          </w:p>
        </w:tc>
      </w:tr>
      <w:tr w:rsidR="00313D70" w:rsidRPr="007B42A5" w:rsidTr="00EC19DB">
        <w:trPr>
          <w:trHeight w:val="230"/>
        </w:trPr>
        <w:tc>
          <w:tcPr>
            <w:tcW w:w="9124" w:type="dxa"/>
            <w:gridSpan w:val="6"/>
            <w:vAlign w:val="center"/>
          </w:tcPr>
          <w:p w:rsidR="00313D70" w:rsidRPr="007B42A5" w:rsidRDefault="00313D70" w:rsidP="00696DB7">
            <w:pPr>
              <w:spacing w:before="120"/>
              <w:jc w:val="center"/>
              <w:rPr>
                <w:rFonts w:cs="Arial"/>
                <w:b/>
                <w:sz w:val="20"/>
                <w:szCs w:val="20"/>
              </w:rPr>
            </w:pPr>
            <w:r>
              <w:rPr>
                <w:rFonts w:cs="Arial"/>
                <w:b/>
                <w:sz w:val="20"/>
                <w:szCs w:val="20"/>
              </w:rPr>
              <w:t>Neobsazenost volných pracovních míst k 30. 9. 2014</w:t>
            </w:r>
          </w:p>
        </w:tc>
      </w:tr>
      <w:tr w:rsidR="009C102E" w:rsidRPr="00C360A4" w:rsidTr="00EC19DB">
        <w:trPr>
          <w:trHeight w:val="230"/>
        </w:trPr>
        <w:tc>
          <w:tcPr>
            <w:tcW w:w="1709" w:type="dxa"/>
            <w:vMerge w:val="restart"/>
            <w:vAlign w:val="center"/>
          </w:tcPr>
          <w:p w:rsidR="00313D70" w:rsidRPr="00C360A4" w:rsidRDefault="00313D70" w:rsidP="00696DB7">
            <w:pPr>
              <w:jc w:val="center"/>
              <w:rPr>
                <w:rFonts w:cs="Arial"/>
                <w:color w:val="000000"/>
                <w:sz w:val="20"/>
                <w:szCs w:val="20"/>
              </w:rPr>
            </w:pPr>
            <w:r w:rsidRPr="00C360A4">
              <w:rPr>
                <w:rFonts w:cs="Arial"/>
                <w:color w:val="000000"/>
                <w:sz w:val="20"/>
                <w:szCs w:val="20"/>
              </w:rPr>
              <w:t xml:space="preserve">Počet </w:t>
            </w:r>
            <w:r>
              <w:rPr>
                <w:rFonts w:cs="Arial"/>
                <w:color w:val="000000"/>
                <w:sz w:val="20"/>
                <w:szCs w:val="20"/>
              </w:rPr>
              <w:t xml:space="preserve">pracovních </w:t>
            </w:r>
            <w:r w:rsidRPr="00C360A4">
              <w:rPr>
                <w:rFonts w:cs="Arial"/>
                <w:color w:val="000000"/>
                <w:sz w:val="20"/>
                <w:szCs w:val="20"/>
              </w:rPr>
              <w:t>míst</w:t>
            </w:r>
          </w:p>
        </w:tc>
        <w:tc>
          <w:tcPr>
            <w:tcW w:w="1561" w:type="dxa"/>
            <w:vMerge w:val="restart"/>
            <w:tcBorders>
              <w:right w:val="single" w:sz="4" w:space="0" w:color="auto"/>
            </w:tcBorders>
          </w:tcPr>
          <w:p w:rsidR="00313D70" w:rsidRPr="00C360A4" w:rsidRDefault="00313D70" w:rsidP="00696DB7">
            <w:pPr>
              <w:jc w:val="center"/>
              <w:rPr>
                <w:rFonts w:cs="Arial"/>
                <w:sz w:val="20"/>
                <w:szCs w:val="20"/>
              </w:rPr>
            </w:pPr>
            <w:r w:rsidRPr="00C360A4">
              <w:rPr>
                <w:rFonts w:cs="Arial"/>
                <w:sz w:val="20"/>
                <w:szCs w:val="20"/>
              </w:rPr>
              <w:t>celkem</w:t>
            </w:r>
          </w:p>
        </w:tc>
        <w:tc>
          <w:tcPr>
            <w:tcW w:w="5854" w:type="dxa"/>
            <w:gridSpan w:val="4"/>
            <w:tcBorders>
              <w:left w:val="single" w:sz="4" w:space="0" w:color="auto"/>
            </w:tcBorders>
            <w:vAlign w:val="center"/>
          </w:tcPr>
          <w:p w:rsidR="00313D70" w:rsidRPr="00C360A4" w:rsidRDefault="00313D70" w:rsidP="00696DB7">
            <w:pPr>
              <w:spacing w:before="120"/>
              <w:jc w:val="center"/>
              <w:rPr>
                <w:rFonts w:cs="Arial"/>
                <w:sz w:val="20"/>
                <w:szCs w:val="20"/>
              </w:rPr>
            </w:pPr>
            <w:r>
              <w:rPr>
                <w:rFonts w:cs="Arial"/>
                <w:sz w:val="20"/>
                <w:szCs w:val="20"/>
              </w:rPr>
              <w:t>Neobsazeno (měsíců)</w:t>
            </w:r>
          </w:p>
        </w:tc>
      </w:tr>
      <w:tr w:rsidR="00313D70" w:rsidRPr="00C360A4" w:rsidTr="00D35045">
        <w:trPr>
          <w:trHeight w:val="180"/>
        </w:trPr>
        <w:tc>
          <w:tcPr>
            <w:tcW w:w="1709" w:type="dxa"/>
            <w:vMerge/>
            <w:vAlign w:val="center"/>
          </w:tcPr>
          <w:p w:rsidR="00313D70" w:rsidRPr="00C360A4" w:rsidRDefault="00313D70" w:rsidP="00696DB7">
            <w:pPr>
              <w:jc w:val="center"/>
              <w:rPr>
                <w:rFonts w:cs="Arial"/>
                <w:sz w:val="20"/>
                <w:szCs w:val="20"/>
              </w:rPr>
            </w:pPr>
          </w:p>
        </w:tc>
        <w:tc>
          <w:tcPr>
            <w:tcW w:w="1561" w:type="dxa"/>
            <w:vMerge/>
            <w:tcBorders>
              <w:bottom w:val="single" w:sz="4" w:space="0" w:color="auto"/>
              <w:right w:val="single" w:sz="4" w:space="0" w:color="auto"/>
            </w:tcBorders>
          </w:tcPr>
          <w:p w:rsidR="00313D70" w:rsidRPr="00C360A4" w:rsidRDefault="00313D70" w:rsidP="00696DB7">
            <w:pPr>
              <w:jc w:val="center"/>
              <w:rPr>
                <w:rFonts w:cs="Arial"/>
                <w:sz w:val="20"/>
                <w:szCs w:val="20"/>
              </w:rPr>
            </w:pPr>
          </w:p>
        </w:tc>
        <w:tc>
          <w:tcPr>
            <w:tcW w:w="1367" w:type="dxa"/>
            <w:tcBorders>
              <w:left w:val="single" w:sz="4" w:space="0" w:color="auto"/>
              <w:bottom w:val="single" w:sz="4" w:space="0" w:color="auto"/>
            </w:tcBorders>
            <w:vAlign w:val="center"/>
          </w:tcPr>
          <w:p w:rsidR="00313D70" w:rsidRPr="00C360A4" w:rsidRDefault="00313D70" w:rsidP="00696DB7">
            <w:pPr>
              <w:spacing w:before="120"/>
              <w:jc w:val="center"/>
              <w:rPr>
                <w:rFonts w:cs="Arial"/>
                <w:sz w:val="20"/>
                <w:szCs w:val="20"/>
              </w:rPr>
            </w:pPr>
            <w:r w:rsidRPr="00C360A4">
              <w:rPr>
                <w:rFonts w:cs="Arial"/>
                <w:sz w:val="20"/>
                <w:szCs w:val="20"/>
              </w:rPr>
              <w:t xml:space="preserve">0-3 </w:t>
            </w:r>
          </w:p>
        </w:tc>
        <w:tc>
          <w:tcPr>
            <w:tcW w:w="1365" w:type="dxa"/>
            <w:tcBorders>
              <w:bottom w:val="single" w:sz="4" w:space="0" w:color="auto"/>
            </w:tcBorders>
            <w:vAlign w:val="center"/>
          </w:tcPr>
          <w:p w:rsidR="00313D70" w:rsidRPr="00C360A4" w:rsidRDefault="00313D70" w:rsidP="00696DB7">
            <w:pPr>
              <w:spacing w:before="120"/>
              <w:jc w:val="center"/>
              <w:rPr>
                <w:rFonts w:cs="Arial"/>
                <w:sz w:val="20"/>
                <w:szCs w:val="20"/>
              </w:rPr>
            </w:pPr>
            <w:r w:rsidRPr="00C360A4">
              <w:rPr>
                <w:rFonts w:cs="Arial"/>
                <w:sz w:val="20"/>
                <w:szCs w:val="20"/>
              </w:rPr>
              <w:t xml:space="preserve">3-6 </w:t>
            </w:r>
          </w:p>
        </w:tc>
        <w:tc>
          <w:tcPr>
            <w:tcW w:w="1561" w:type="dxa"/>
            <w:tcBorders>
              <w:bottom w:val="single" w:sz="4" w:space="0" w:color="auto"/>
            </w:tcBorders>
            <w:vAlign w:val="center"/>
          </w:tcPr>
          <w:p w:rsidR="00313D70" w:rsidRPr="00C360A4" w:rsidRDefault="00313D70" w:rsidP="00696DB7">
            <w:pPr>
              <w:spacing w:before="120"/>
              <w:jc w:val="center"/>
              <w:rPr>
                <w:rFonts w:cs="Arial"/>
                <w:sz w:val="20"/>
                <w:szCs w:val="20"/>
              </w:rPr>
            </w:pPr>
            <w:r w:rsidRPr="00C360A4">
              <w:rPr>
                <w:rFonts w:cs="Arial"/>
                <w:sz w:val="20"/>
                <w:szCs w:val="20"/>
              </w:rPr>
              <w:t xml:space="preserve">6-12 </w:t>
            </w:r>
          </w:p>
        </w:tc>
        <w:tc>
          <w:tcPr>
            <w:tcW w:w="1561" w:type="dxa"/>
            <w:tcBorders>
              <w:bottom w:val="single" w:sz="4" w:space="0" w:color="auto"/>
            </w:tcBorders>
            <w:vAlign w:val="center"/>
          </w:tcPr>
          <w:p w:rsidR="00313D70" w:rsidRPr="00C360A4" w:rsidRDefault="00313D70" w:rsidP="00696DB7">
            <w:pPr>
              <w:spacing w:before="120"/>
              <w:jc w:val="center"/>
              <w:rPr>
                <w:rFonts w:cs="Arial"/>
                <w:sz w:val="20"/>
                <w:szCs w:val="20"/>
              </w:rPr>
            </w:pPr>
            <w:r w:rsidRPr="00C360A4">
              <w:rPr>
                <w:rFonts w:cs="Arial"/>
                <w:sz w:val="20"/>
                <w:szCs w:val="20"/>
              </w:rPr>
              <w:t xml:space="preserve">Nad 12 </w:t>
            </w:r>
          </w:p>
        </w:tc>
      </w:tr>
      <w:tr w:rsidR="00313D70" w:rsidRPr="00C360A4" w:rsidTr="00EC19DB">
        <w:trPr>
          <w:trHeight w:val="151"/>
        </w:trPr>
        <w:tc>
          <w:tcPr>
            <w:tcW w:w="1709" w:type="dxa"/>
            <w:vMerge/>
            <w:vAlign w:val="center"/>
          </w:tcPr>
          <w:p w:rsidR="00313D70" w:rsidRPr="00C360A4" w:rsidRDefault="00313D70" w:rsidP="00696DB7">
            <w:pPr>
              <w:jc w:val="right"/>
              <w:rPr>
                <w:rFonts w:cs="Arial"/>
                <w:color w:val="000000"/>
                <w:sz w:val="20"/>
                <w:szCs w:val="20"/>
              </w:rPr>
            </w:pPr>
          </w:p>
        </w:tc>
        <w:tc>
          <w:tcPr>
            <w:tcW w:w="1561" w:type="dxa"/>
            <w:tcBorders>
              <w:top w:val="single" w:sz="4" w:space="0" w:color="auto"/>
              <w:bottom w:val="single" w:sz="4" w:space="0" w:color="auto"/>
            </w:tcBorders>
            <w:vAlign w:val="center"/>
          </w:tcPr>
          <w:p w:rsidR="00313D70" w:rsidRDefault="00313D70" w:rsidP="00696DB7">
            <w:pPr>
              <w:jc w:val="center"/>
              <w:rPr>
                <w:rFonts w:cs="Arial"/>
                <w:color w:val="000000"/>
                <w:sz w:val="19"/>
                <w:szCs w:val="19"/>
              </w:rPr>
            </w:pPr>
            <w:r>
              <w:rPr>
                <w:rFonts w:cs="Arial"/>
                <w:color w:val="000000"/>
                <w:sz w:val="19"/>
                <w:szCs w:val="19"/>
              </w:rPr>
              <w:t>56 554</w:t>
            </w:r>
          </w:p>
        </w:tc>
        <w:tc>
          <w:tcPr>
            <w:tcW w:w="1367" w:type="dxa"/>
            <w:vAlign w:val="center"/>
          </w:tcPr>
          <w:p w:rsidR="00313D70" w:rsidRDefault="00313D70" w:rsidP="00696DB7">
            <w:pPr>
              <w:jc w:val="center"/>
              <w:rPr>
                <w:rFonts w:cs="Arial"/>
                <w:color w:val="000000"/>
                <w:sz w:val="19"/>
                <w:szCs w:val="19"/>
              </w:rPr>
            </w:pPr>
            <w:r>
              <w:rPr>
                <w:rFonts w:cs="Arial"/>
                <w:color w:val="000000"/>
                <w:sz w:val="19"/>
                <w:szCs w:val="19"/>
              </w:rPr>
              <w:t>36 426</w:t>
            </w:r>
          </w:p>
        </w:tc>
        <w:tc>
          <w:tcPr>
            <w:tcW w:w="1365" w:type="dxa"/>
            <w:vAlign w:val="center"/>
          </w:tcPr>
          <w:p w:rsidR="00313D70" w:rsidRDefault="00313D70" w:rsidP="00696DB7">
            <w:pPr>
              <w:jc w:val="center"/>
              <w:rPr>
                <w:rFonts w:cs="Arial"/>
                <w:color w:val="000000"/>
                <w:sz w:val="19"/>
                <w:szCs w:val="19"/>
              </w:rPr>
            </w:pPr>
            <w:r>
              <w:rPr>
                <w:rFonts w:cs="Arial"/>
                <w:color w:val="000000"/>
                <w:sz w:val="19"/>
                <w:szCs w:val="19"/>
              </w:rPr>
              <w:t>10 287</w:t>
            </w:r>
          </w:p>
        </w:tc>
        <w:tc>
          <w:tcPr>
            <w:tcW w:w="1561" w:type="dxa"/>
            <w:vAlign w:val="center"/>
          </w:tcPr>
          <w:p w:rsidR="00313D70" w:rsidRDefault="00313D70" w:rsidP="00696DB7">
            <w:pPr>
              <w:jc w:val="center"/>
              <w:rPr>
                <w:rFonts w:cs="Arial"/>
                <w:color w:val="000000"/>
                <w:sz w:val="19"/>
                <w:szCs w:val="19"/>
              </w:rPr>
            </w:pPr>
            <w:r>
              <w:rPr>
                <w:rFonts w:cs="Arial"/>
                <w:color w:val="000000"/>
                <w:sz w:val="19"/>
                <w:szCs w:val="19"/>
              </w:rPr>
              <w:t>6 559</w:t>
            </w:r>
          </w:p>
        </w:tc>
        <w:tc>
          <w:tcPr>
            <w:tcW w:w="1561" w:type="dxa"/>
            <w:vAlign w:val="center"/>
          </w:tcPr>
          <w:p w:rsidR="00313D70" w:rsidRDefault="00313D70" w:rsidP="00696DB7">
            <w:pPr>
              <w:jc w:val="center"/>
              <w:rPr>
                <w:rFonts w:cs="Arial"/>
                <w:color w:val="000000"/>
                <w:sz w:val="19"/>
                <w:szCs w:val="19"/>
              </w:rPr>
            </w:pPr>
            <w:r>
              <w:rPr>
                <w:rFonts w:cs="Arial"/>
                <w:color w:val="000000"/>
                <w:sz w:val="19"/>
                <w:szCs w:val="19"/>
              </w:rPr>
              <w:t>3 282</w:t>
            </w:r>
          </w:p>
        </w:tc>
      </w:tr>
      <w:tr w:rsidR="00313D70" w:rsidRPr="00C360A4" w:rsidTr="00EC19DB">
        <w:trPr>
          <w:trHeight w:val="236"/>
        </w:trPr>
        <w:tc>
          <w:tcPr>
            <w:tcW w:w="1709" w:type="dxa"/>
            <w:vAlign w:val="center"/>
          </w:tcPr>
          <w:p w:rsidR="00313D70" w:rsidRPr="00C360A4" w:rsidRDefault="00313D70" w:rsidP="00696DB7">
            <w:pPr>
              <w:jc w:val="center"/>
              <w:rPr>
                <w:rFonts w:cs="Arial"/>
                <w:color w:val="000000"/>
                <w:sz w:val="20"/>
                <w:szCs w:val="20"/>
              </w:rPr>
            </w:pPr>
            <w:r>
              <w:rPr>
                <w:rFonts w:cs="Arial"/>
                <w:color w:val="000000"/>
                <w:sz w:val="20"/>
                <w:szCs w:val="20"/>
              </w:rPr>
              <w:t>podíl</w:t>
            </w:r>
          </w:p>
        </w:tc>
        <w:tc>
          <w:tcPr>
            <w:tcW w:w="1561" w:type="dxa"/>
            <w:tcBorders>
              <w:top w:val="single" w:sz="4" w:space="0" w:color="auto"/>
            </w:tcBorders>
          </w:tcPr>
          <w:p w:rsidR="00313D70" w:rsidRPr="00C360A4" w:rsidRDefault="00313D70" w:rsidP="00696DB7">
            <w:pPr>
              <w:jc w:val="center"/>
              <w:rPr>
                <w:rFonts w:cs="Arial"/>
                <w:sz w:val="20"/>
                <w:szCs w:val="20"/>
              </w:rPr>
            </w:pPr>
            <w:r>
              <w:rPr>
                <w:rFonts w:cs="Arial"/>
                <w:sz w:val="20"/>
                <w:szCs w:val="20"/>
              </w:rPr>
              <w:t>100 %</w:t>
            </w:r>
          </w:p>
        </w:tc>
        <w:tc>
          <w:tcPr>
            <w:tcW w:w="1367" w:type="dxa"/>
            <w:vAlign w:val="center"/>
          </w:tcPr>
          <w:p w:rsidR="00313D70" w:rsidRPr="00C360A4" w:rsidRDefault="00313D70" w:rsidP="00696DB7">
            <w:pPr>
              <w:jc w:val="center"/>
              <w:rPr>
                <w:rFonts w:cs="Arial"/>
                <w:sz w:val="20"/>
                <w:szCs w:val="20"/>
              </w:rPr>
            </w:pPr>
            <w:r>
              <w:rPr>
                <w:rFonts w:cs="Arial"/>
                <w:sz w:val="20"/>
                <w:szCs w:val="20"/>
              </w:rPr>
              <w:t>64,4 %</w:t>
            </w:r>
          </w:p>
        </w:tc>
        <w:tc>
          <w:tcPr>
            <w:tcW w:w="1365" w:type="dxa"/>
            <w:vAlign w:val="center"/>
          </w:tcPr>
          <w:p w:rsidR="00313D70" w:rsidRPr="00C360A4" w:rsidRDefault="00313D70" w:rsidP="00696DB7">
            <w:pPr>
              <w:jc w:val="center"/>
              <w:rPr>
                <w:rFonts w:cs="Arial"/>
                <w:sz w:val="20"/>
                <w:szCs w:val="20"/>
              </w:rPr>
            </w:pPr>
            <w:r>
              <w:rPr>
                <w:rFonts w:cs="Arial"/>
                <w:sz w:val="20"/>
                <w:szCs w:val="20"/>
              </w:rPr>
              <w:t>18,2 %</w:t>
            </w:r>
          </w:p>
        </w:tc>
        <w:tc>
          <w:tcPr>
            <w:tcW w:w="1561" w:type="dxa"/>
            <w:vAlign w:val="center"/>
          </w:tcPr>
          <w:p w:rsidR="00313D70" w:rsidRPr="00C360A4" w:rsidRDefault="00313D70" w:rsidP="00696DB7">
            <w:pPr>
              <w:jc w:val="center"/>
              <w:rPr>
                <w:rFonts w:cs="Arial"/>
                <w:sz w:val="20"/>
                <w:szCs w:val="20"/>
              </w:rPr>
            </w:pPr>
            <w:r>
              <w:rPr>
                <w:rFonts w:cs="Arial"/>
                <w:sz w:val="20"/>
                <w:szCs w:val="20"/>
              </w:rPr>
              <w:t>11,6 %</w:t>
            </w:r>
          </w:p>
        </w:tc>
        <w:tc>
          <w:tcPr>
            <w:tcW w:w="1561" w:type="dxa"/>
            <w:vAlign w:val="center"/>
          </w:tcPr>
          <w:p w:rsidR="00313D70" w:rsidRPr="00C360A4" w:rsidRDefault="00313D70" w:rsidP="00696DB7">
            <w:pPr>
              <w:jc w:val="center"/>
              <w:rPr>
                <w:rFonts w:cs="Arial"/>
                <w:sz w:val="20"/>
                <w:szCs w:val="20"/>
              </w:rPr>
            </w:pPr>
            <w:r>
              <w:rPr>
                <w:rFonts w:cs="Arial"/>
                <w:sz w:val="20"/>
                <w:szCs w:val="20"/>
              </w:rPr>
              <w:t>5,8 %</w:t>
            </w:r>
          </w:p>
        </w:tc>
      </w:tr>
      <w:tr w:rsidR="00313D70" w:rsidTr="00EC19DB">
        <w:trPr>
          <w:trHeight w:val="236"/>
        </w:trPr>
        <w:tc>
          <w:tcPr>
            <w:tcW w:w="9124" w:type="dxa"/>
            <w:gridSpan w:val="6"/>
            <w:vAlign w:val="bottom"/>
          </w:tcPr>
          <w:p w:rsidR="00313D70" w:rsidRDefault="00313D70" w:rsidP="00696DB7">
            <w:pPr>
              <w:jc w:val="center"/>
              <w:rPr>
                <w:rFonts w:cs="Arial"/>
                <w:sz w:val="20"/>
                <w:szCs w:val="20"/>
              </w:rPr>
            </w:pPr>
            <w:r>
              <w:rPr>
                <w:rFonts w:cs="Arial"/>
                <w:b/>
                <w:sz w:val="20"/>
                <w:szCs w:val="20"/>
              </w:rPr>
              <w:t>Neobsazenost volných pracovních míst k 30. 9. 2008</w:t>
            </w:r>
          </w:p>
        </w:tc>
      </w:tr>
      <w:tr w:rsidR="009C102E" w:rsidRPr="00C360A4" w:rsidTr="00EC19DB">
        <w:trPr>
          <w:trHeight w:val="230"/>
        </w:trPr>
        <w:tc>
          <w:tcPr>
            <w:tcW w:w="1709" w:type="dxa"/>
            <w:vMerge w:val="restart"/>
            <w:vAlign w:val="center"/>
          </w:tcPr>
          <w:p w:rsidR="00313D70" w:rsidRPr="00C360A4" w:rsidRDefault="00313D70" w:rsidP="00696DB7">
            <w:pPr>
              <w:jc w:val="center"/>
              <w:rPr>
                <w:rFonts w:cs="Arial"/>
                <w:color w:val="000000"/>
                <w:sz w:val="20"/>
                <w:szCs w:val="20"/>
              </w:rPr>
            </w:pPr>
            <w:r w:rsidRPr="00C360A4">
              <w:rPr>
                <w:rFonts w:cs="Arial"/>
                <w:color w:val="000000"/>
                <w:sz w:val="20"/>
                <w:szCs w:val="20"/>
              </w:rPr>
              <w:t xml:space="preserve">Počet </w:t>
            </w:r>
            <w:r>
              <w:rPr>
                <w:rFonts w:cs="Arial"/>
                <w:color w:val="000000"/>
                <w:sz w:val="20"/>
                <w:szCs w:val="20"/>
              </w:rPr>
              <w:t xml:space="preserve">pracovních </w:t>
            </w:r>
            <w:r w:rsidRPr="00C360A4">
              <w:rPr>
                <w:rFonts w:cs="Arial"/>
                <w:color w:val="000000"/>
                <w:sz w:val="20"/>
                <w:szCs w:val="20"/>
              </w:rPr>
              <w:t>míst</w:t>
            </w:r>
          </w:p>
        </w:tc>
        <w:tc>
          <w:tcPr>
            <w:tcW w:w="1561" w:type="dxa"/>
            <w:vMerge w:val="restart"/>
            <w:tcBorders>
              <w:right w:val="single" w:sz="4" w:space="0" w:color="auto"/>
            </w:tcBorders>
          </w:tcPr>
          <w:p w:rsidR="00313D70" w:rsidRPr="00C360A4" w:rsidRDefault="00313D70" w:rsidP="00696DB7">
            <w:pPr>
              <w:jc w:val="center"/>
              <w:rPr>
                <w:rFonts w:cs="Arial"/>
                <w:sz w:val="20"/>
                <w:szCs w:val="20"/>
              </w:rPr>
            </w:pPr>
            <w:r w:rsidRPr="00C360A4">
              <w:rPr>
                <w:rFonts w:cs="Arial"/>
                <w:sz w:val="20"/>
                <w:szCs w:val="20"/>
              </w:rPr>
              <w:t>celkem</w:t>
            </w:r>
          </w:p>
        </w:tc>
        <w:tc>
          <w:tcPr>
            <w:tcW w:w="5854" w:type="dxa"/>
            <w:gridSpan w:val="4"/>
            <w:tcBorders>
              <w:left w:val="single" w:sz="4" w:space="0" w:color="auto"/>
            </w:tcBorders>
            <w:vAlign w:val="center"/>
          </w:tcPr>
          <w:p w:rsidR="00313D70" w:rsidRPr="00C360A4" w:rsidRDefault="00313D70" w:rsidP="00696DB7">
            <w:pPr>
              <w:spacing w:before="120"/>
              <w:jc w:val="center"/>
              <w:rPr>
                <w:rFonts w:cs="Arial"/>
                <w:sz w:val="20"/>
                <w:szCs w:val="20"/>
              </w:rPr>
            </w:pPr>
            <w:r>
              <w:rPr>
                <w:rFonts w:cs="Arial"/>
                <w:sz w:val="20"/>
                <w:szCs w:val="20"/>
              </w:rPr>
              <w:t>Neobsazeno (měsíců)</w:t>
            </w:r>
          </w:p>
        </w:tc>
      </w:tr>
      <w:tr w:rsidR="00313D70" w:rsidRPr="00C360A4" w:rsidTr="00EC19DB">
        <w:trPr>
          <w:trHeight w:val="444"/>
        </w:trPr>
        <w:tc>
          <w:tcPr>
            <w:tcW w:w="1709" w:type="dxa"/>
            <w:vMerge/>
            <w:vAlign w:val="center"/>
          </w:tcPr>
          <w:p w:rsidR="00313D70" w:rsidRPr="00C360A4" w:rsidRDefault="00313D70" w:rsidP="00696DB7">
            <w:pPr>
              <w:jc w:val="center"/>
              <w:rPr>
                <w:rFonts w:cs="Arial"/>
                <w:sz w:val="20"/>
                <w:szCs w:val="20"/>
              </w:rPr>
            </w:pPr>
          </w:p>
        </w:tc>
        <w:tc>
          <w:tcPr>
            <w:tcW w:w="1561" w:type="dxa"/>
            <w:vMerge/>
            <w:tcBorders>
              <w:bottom w:val="single" w:sz="4" w:space="0" w:color="auto"/>
              <w:right w:val="single" w:sz="4" w:space="0" w:color="auto"/>
            </w:tcBorders>
          </w:tcPr>
          <w:p w:rsidR="00313D70" w:rsidRPr="00C360A4" w:rsidRDefault="00313D70" w:rsidP="00696DB7">
            <w:pPr>
              <w:jc w:val="center"/>
              <w:rPr>
                <w:rFonts w:cs="Arial"/>
                <w:sz w:val="20"/>
                <w:szCs w:val="20"/>
              </w:rPr>
            </w:pPr>
          </w:p>
        </w:tc>
        <w:tc>
          <w:tcPr>
            <w:tcW w:w="1367" w:type="dxa"/>
            <w:tcBorders>
              <w:left w:val="single" w:sz="4" w:space="0" w:color="auto"/>
              <w:bottom w:val="single" w:sz="4" w:space="0" w:color="auto"/>
            </w:tcBorders>
            <w:vAlign w:val="center"/>
          </w:tcPr>
          <w:p w:rsidR="00313D70" w:rsidRPr="00C360A4" w:rsidRDefault="00313D70" w:rsidP="00696DB7">
            <w:pPr>
              <w:spacing w:before="120"/>
              <w:jc w:val="center"/>
              <w:rPr>
                <w:rFonts w:cs="Arial"/>
                <w:sz w:val="20"/>
                <w:szCs w:val="20"/>
              </w:rPr>
            </w:pPr>
            <w:r w:rsidRPr="00C360A4">
              <w:rPr>
                <w:rFonts w:cs="Arial"/>
                <w:sz w:val="20"/>
                <w:szCs w:val="20"/>
              </w:rPr>
              <w:t xml:space="preserve">0-3 </w:t>
            </w:r>
          </w:p>
        </w:tc>
        <w:tc>
          <w:tcPr>
            <w:tcW w:w="1365" w:type="dxa"/>
            <w:tcBorders>
              <w:bottom w:val="single" w:sz="4" w:space="0" w:color="auto"/>
            </w:tcBorders>
            <w:vAlign w:val="center"/>
          </w:tcPr>
          <w:p w:rsidR="00313D70" w:rsidRPr="00C360A4" w:rsidRDefault="00313D70" w:rsidP="00696DB7">
            <w:pPr>
              <w:spacing w:before="120"/>
              <w:jc w:val="center"/>
              <w:rPr>
                <w:rFonts w:cs="Arial"/>
                <w:sz w:val="20"/>
                <w:szCs w:val="20"/>
              </w:rPr>
            </w:pPr>
            <w:r w:rsidRPr="00C360A4">
              <w:rPr>
                <w:rFonts w:cs="Arial"/>
                <w:sz w:val="20"/>
                <w:szCs w:val="20"/>
              </w:rPr>
              <w:t xml:space="preserve">3-6 </w:t>
            </w:r>
          </w:p>
        </w:tc>
        <w:tc>
          <w:tcPr>
            <w:tcW w:w="1561" w:type="dxa"/>
            <w:tcBorders>
              <w:bottom w:val="single" w:sz="4" w:space="0" w:color="auto"/>
            </w:tcBorders>
            <w:vAlign w:val="center"/>
          </w:tcPr>
          <w:p w:rsidR="00313D70" w:rsidRPr="00C360A4" w:rsidRDefault="00313D70" w:rsidP="00696DB7">
            <w:pPr>
              <w:spacing w:before="120"/>
              <w:jc w:val="center"/>
              <w:rPr>
                <w:rFonts w:cs="Arial"/>
                <w:sz w:val="20"/>
                <w:szCs w:val="20"/>
              </w:rPr>
            </w:pPr>
            <w:r w:rsidRPr="00C360A4">
              <w:rPr>
                <w:rFonts w:cs="Arial"/>
                <w:sz w:val="20"/>
                <w:szCs w:val="20"/>
              </w:rPr>
              <w:t xml:space="preserve">6-12 </w:t>
            </w:r>
          </w:p>
        </w:tc>
        <w:tc>
          <w:tcPr>
            <w:tcW w:w="1561" w:type="dxa"/>
            <w:tcBorders>
              <w:bottom w:val="single" w:sz="4" w:space="0" w:color="auto"/>
            </w:tcBorders>
            <w:vAlign w:val="center"/>
          </w:tcPr>
          <w:p w:rsidR="00313D70" w:rsidRPr="00C360A4" w:rsidRDefault="00313D70" w:rsidP="00696DB7">
            <w:pPr>
              <w:spacing w:before="120"/>
              <w:jc w:val="center"/>
              <w:rPr>
                <w:rFonts w:cs="Arial"/>
                <w:sz w:val="20"/>
                <w:szCs w:val="20"/>
              </w:rPr>
            </w:pPr>
            <w:r w:rsidRPr="00C360A4">
              <w:rPr>
                <w:rFonts w:cs="Arial"/>
                <w:sz w:val="20"/>
                <w:szCs w:val="20"/>
              </w:rPr>
              <w:t xml:space="preserve">Nad 12 </w:t>
            </w:r>
          </w:p>
        </w:tc>
      </w:tr>
      <w:tr w:rsidR="009C102E" w:rsidTr="00EC19DB">
        <w:trPr>
          <w:trHeight w:val="151"/>
        </w:trPr>
        <w:tc>
          <w:tcPr>
            <w:tcW w:w="1709" w:type="dxa"/>
            <w:vMerge/>
            <w:vAlign w:val="center"/>
          </w:tcPr>
          <w:p w:rsidR="009C102E" w:rsidRPr="00C360A4" w:rsidRDefault="009C102E" w:rsidP="00696DB7">
            <w:pPr>
              <w:jc w:val="right"/>
              <w:rPr>
                <w:rFonts w:cs="Arial"/>
                <w:color w:val="000000"/>
                <w:sz w:val="20"/>
                <w:szCs w:val="20"/>
              </w:rPr>
            </w:pPr>
          </w:p>
        </w:tc>
        <w:tc>
          <w:tcPr>
            <w:tcW w:w="1561" w:type="dxa"/>
            <w:tcBorders>
              <w:top w:val="single" w:sz="4" w:space="0" w:color="auto"/>
              <w:bottom w:val="single" w:sz="4" w:space="0" w:color="auto"/>
            </w:tcBorders>
            <w:vAlign w:val="center"/>
          </w:tcPr>
          <w:p w:rsidR="009C102E" w:rsidRDefault="009C102E" w:rsidP="00696DB7">
            <w:pPr>
              <w:jc w:val="center"/>
              <w:rPr>
                <w:rFonts w:cs="Arial"/>
                <w:color w:val="000000"/>
                <w:sz w:val="19"/>
                <w:szCs w:val="19"/>
              </w:rPr>
            </w:pPr>
            <w:r>
              <w:rPr>
                <w:rFonts w:cs="Arial"/>
                <w:color w:val="000000"/>
                <w:sz w:val="19"/>
                <w:szCs w:val="19"/>
              </w:rPr>
              <w:t>139 328</w:t>
            </w:r>
          </w:p>
        </w:tc>
        <w:tc>
          <w:tcPr>
            <w:tcW w:w="1367" w:type="dxa"/>
            <w:vAlign w:val="center"/>
          </w:tcPr>
          <w:p w:rsidR="009C102E" w:rsidRDefault="009C102E" w:rsidP="00696DB7">
            <w:pPr>
              <w:jc w:val="center"/>
              <w:rPr>
                <w:rFonts w:cs="Arial"/>
                <w:color w:val="000000"/>
                <w:sz w:val="19"/>
                <w:szCs w:val="19"/>
              </w:rPr>
            </w:pPr>
            <w:r>
              <w:rPr>
                <w:rFonts w:cs="Arial"/>
                <w:color w:val="000000"/>
                <w:sz w:val="19"/>
                <w:szCs w:val="19"/>
              </w:rPr>
              <w:t>61 683</w:t>
            </w:r>
          </w:p>
        </w:tc>
        <w:tc>
          <w:tcPr>
            <w:tcW w:w="1365" w:type="dxa"/>
            <w:vAlign w:val="center"/>
          </w:tcPr>
          <w:p w:rsidR="009C102E" w:rsidRDefault="009C102E" w:rsidP="00696DB7">
            <w:pPr>
              <w:jc w:val="center"/>
              <w:rPr>
                <w:rFonts w:cs="Arial"/>
                <w:color w:val="000000"/>
                <w:sz w:val="19"/>
                <w:szCs w:val="19"/>
              </w:rPr>
            </w:pPr>
            <w:r>
              <w:rPr>
                <w:rFonts w:cs="Arial"/>
                <w:color w:val="000000"/>
                <w:sz w:val="19"/>
                <w:szCs w:val="19"/>
              </w:rPr>
              <w:t>27 821</w:t>
            </w:r>
          </w:p>
        </w:tc>
        <w:tc>
          <w:tcPr>
            <w:tcW w:w="1561" w:type="dxa"/>
            <w:vAlign w:val="center"/>
          </w:tcPr>
          <w:p w:rsidR="009C102E" w:rsidRDefault="009C102E" w:rsidP="00696DB7">
            <w:pPr>
              <w:jc w:val="center"/>
              <w:rPr>
                <w:rFonts w:cs="Arial"/>
                <w:color w:val="000000"/>
                <w:sz w:val="19"/>
                <w:szCs w:val="19"/>
              </w:rPr>
            </w:pPr>
            <w:r>
              <w:rPr>
                <w:rFonts w:cs="Arial"/>
                <w:color w:val="000000"/>
                <w:sz w:val="19"/>
                <w:szCs w:val="19"/>
              </w:rPr>
              <w:t>23 210</w:t>
            </w:r>
          </w:p>
        </w:tc>
        <w:tc>
          <w:tcPr>
            <w:tcW w:w="1561" w:type="dxa"/>
            <w:vAlign w:val="center"/>
          </w:tcPr>
          <w:p w:rsidR="009C102E" w:rsidRDefault="009C102E" w:rsidP="00696DB7">
            <w:pPr>
              <w:jc w:val="center"/>
              <w:rPr>
                <w:rFonts w:cs="Arial"/>
                <w:color w:val="000000"/>
                <w:sz w:val="19"/>
                <w:szCs w:val="19"/>
              </w:rPr>
            </w:pPr>
            <w:r>
              <w:rPr>
                <w:rFonts w:cs="Arial"/>
                <w:color w:val="000000"/>
                <w:sz w:val="19"/>
                <w:szCs w:val="19"/>
              </w:rPr>
              <w:t>26 614</w:t>
            </w:r>
          </w:p>
        </w:tc>
      </w:tr>
      <w:tr w:rsidR="00313D70" w:rsidRPr="00C360A4" w:rsidTr="00EC19DB">
        <w:trPr>
          <w:trHeight w:val="251"/>
        </w:trPr>
        <w:tc>
          <w:tcPr>
            <w:tcW w:w="1709" w:type="dxa"/>
            <w:vAlign w:val="center"/>
          </w:tcPr>
          <w:p w:rsidR="00313D70" w:rsidRPr="00C360A4" w:rsidRDefault="00313D70" w:rsidP="00696DB7">
            <w:pPr>
              <w:jc w:val="center"/>
              <w:rPr>
                <w:rFonts w:cs="Arial"/>
                <w:color w:val="000000"/>
                <w:sz w:val="20"/>
                <w:szCs w:val="20"/>
              </w:rPr>
            </w:pPr>
            <w:r>
              <w:rPr>
                <w:rFonts w:cs="Arial"/>
                <w:color w:val="000000"/>
                <w:sz w:val="20"/>
                <w:szCs w:val="20"/>
              </w:rPr>
              <w:t>podíl</w:t>
            </w:r>
          </w:p>
        </w:tc>
        <w:tc>
          <w:tcPr>
            <w:tcW w:w="1561" w:type="dxa"/>
            <w:tcBorders>
              <w:top w:val="single" w:sz="4" w:space="0" w:color="auto"/>
            </w:tcBorders>
          </w:tcPr>
          <w:p w:rsidR="00313D70" w:rsidRPr="00C360A4" w:rsidRDefault="00313D70" w:rsidP="00696DB7">
            <w:pPr>
              <w:jc w:val="center"/>
              <w:rPr>
                <w:rFonts w:cs="Arial"/>
                <w:sz w:val="20"/>
                <w:szCs w:val="20"/>
              </w:rPr>
            </w:pPr>
            <w:r>
              <w:rPr>
                <w:rFonts w:cs="Arial"/>
                <w:sz w:val="20"/>
                <w:szCs w:val="20"/>
              </w:rPr>
              <w:t>100 %</w:t>
            </w:r>
          </w:p>
        </w:tc>
        <w:tc>
          <w:tcPr>
            <w:tcW w:w="1367" w:type="dxa"/>
            <w:vAlign w:val="center"/>
          </w:tcPr>
          <w:p w:rsidR="00313D70" w:rsidRPr="00C360A4" w:rsidRDefault="009C102E" w:rsidP="00696DB7">
            <w:pPr>
              <w:jc w:val="center"/>
              <w:rPr>
                <w:rFonts w:cs="Arial"/>
                <w:sz w:val="20"/>
                <w:szCs w:val="20"/>
              </w:rPr>
            </w:pPr>
            <w:r>
              <w:rPr>
                <w:rFonts w:cs="Arial"/>
                <w:sz w:val="20"/>
                <w:szCs w:val="20"/>
              </w:rPr>
              <w:t>44,3 %</w:t>
            </w:r>
          </w:p>
        </w:tc>
        <w:tc>
          <w:tcPr>
            <w:tcW w:w="1365" w:type="dxa"/>
            <w:vAlign w:val="center"/>
          </w:tcPr>
          <w:p w:rsidR="00313D70" w:rsidRPr="00C360A4" w:rsidRDefault="009C102E" w:rsidP="00696DB7">
            <w:pPr>
              <w:jc w:val="center"/>
              <w:rPr>
                <w:rFonts w:cs="Arial"/>
                <w:sz w:val="20"/>
                <w:szCs w:val="20"/>
              </w:rPr>
            </w:pPr>
            <w:r>
              <w:rPr>
                <w:rFonts w:cs="Arial"/>
                <w:sz w:val="20"/>
                <w:szCs w:val="20"/>
              </w:rPr>
              <w:t>20 %</w:t>
            </w:r>
          </w:p>
        </w:tc>
        <w:tc>
          <w:tcPr>
            <w:tcW w:w="1561" w:type="dxa"/>
            <w:vAlign w:val="center"/>
          </w:tcPr>
          <w:p w:rsidR="00313D70" w:rsidRPr="00C360A4" w:rsidRDefault="009C102E" w:rsidP="00696DB7">
            <w:pPr>
              <w:jc w:val="center"/>
              <w:rPr>
                <w:rFonts w:cs="Arial"/>
                <w:sz w:val="20"/>
                <w:szCs w:val="20"/>
              </w:rPr>
            </w:pPr>
            <w:r>
              <w:rPr>
                <w:rFonts w:cs="Arial"/>
                <w:sz w:val="20"/>
                <w:szCs w:val="20"/>
              </w:rPr>
              <w:t>16,7 %</w:t>
            </w:r>
          </w:p>
        </w:tc>
        <w:tc>
          <w:tcPr>
            <w:tcW w:w="1561" w:type="dxa"/>
            <w:vAlign w:val="center"/>
          </w:tcPr>
          <w:p w:rsidR="00313D70" w:rsidRPr="00C360A4" w:rsidRDefault="009C102E" w:rsidP="00696DB7">
            <w:pPr>
              <w:jc w:val="center"/>
              <w:rPr>
                <w:rFonts w:cs="Arial"/>
                <w:sz w:val="20"/>
                <w:szCs w:val="20"/>
              </w:rPr>
            </w:pPr>
            <w:r>
              <w:rPr>
                <w:rFonts w:cs="Arial"/>
                <w:sz w:val="20"/>
                <w:szCs w:val="20"/>
              </w:rPr>
              <w:t>19 %</w:t>
            </w:r>
          </w:p>
        </w:tc>
      </w:tr>
    </w:tbl>
    <w:p w:rsidR="003922C1" w:rsidRDefault="008E5330" w:rsidP="00696DB7">
      <w:pPr>
        <w:spacing w:before="120" w:line="240" w:lineRule="auto"/>
        <w:rPr>
          <w:rFonts w:cs="Arial"/>
        </w:rPr>
      </w:pPr>
      <w:r>
        <w:rPr>
          <w:rFonts w:cs="Arial"/>
        </w:rPr>
        <w:t xml:space="preserve">Pomineme-li pracovní místa v ozbrojených složkách, pak se nejhůře obsazují pracovní pozice „specialistů“, kde podíl pracovních míst neobsazených déle než 6 měsíců činil k 30. 9. 2016 43 % (ve </w:t>
      </w:r>
      <w:r w:rsidR="0072360E">
        <w:rPr>
          <w:rFonts w:cs="Arial"/>
        </w:rPr>
        <w:t>třídě speciali</w:t>
      </w:r>
      <w:r w:rsidR="0004152C">
        <w:rPr>
          <w:rFonts w:cs="Arial"/>
        </w:rPr>
        <w:t>sté ve zdravotnictví dokonce 55 </w:t>
      </w:r>
      <w:r w:rsidR="0072360E">
        <w:rPr>
          <w:rFonts w:cs="Arial"/>
        </w:rPr>
        <w:t>%). Hůře se obsazují rovněž pracovní pozice v hlavní třídě řemeslníci a opraváři, v níž neobsazeno déle než 6 měsíců bylo 38 %. K vnitřní diferenciaci dochází v hlavní třídě pomocní a nekvalifikovaní</w:t>
      </w:r>
      <w:r w:rsidR="0004152C">
        <w:rPr>
          <w:rFonts w:cs="Arial"/>
        </w:rPr>
        <w:t xml:space="preserve"> pracovníci, která sice na jedné</w:t>
      </w:r>
      <w:r w:rsidR="0072360E">
        <w:rPr>
          <w:rFonts w:cs="Arial"/>
        </w:rPr>
        <w:t xml:space="preserve"> straně vykazuje vysoký podíl pracovních míst neobsazených méně než 3 měsíce (47 %), zároveň však i vysoký podíl pracovních míst neobsazených déle než 1 rok, a to</w:t>
      </w:r>
      <w:r w:rsidR="0004152C">
        <w:rPr>
          <w:rFonts w:cs="Arial"/>
        </w:rPr>
        <w:t xml:space="preserve"> 20 %). Vysoký podíl pracovních míst neobsazených déle než 1 rok vykazuje rovněž třída řidičů – 21 %</w:t>
      </w:r>
      <w:r w:rsidR="00365217">
        <w:rPr>
          <w:rFonts w:cs="Arial"/>
        </w:rPr>
        <w:t>.</w:t>
      </w:r>
      <w:r>
        <w:rPr>
          <w:rFonts w:cs="Arial"/>
        </w:rPr>
        <w:t xml:space="preserve"> </w:t>
      </w:r>
    </w:p>
    <w:p w:rsidR="008E5330" w:rsidRDefault="00A13614" w:rsidP="00696DB7">
      <w:pPr>
        <w:spacing w:before="120" w:line="240" w:lineRule="auto"/>
        <w:rPr>
          <w:rFonts w:cs="Arial"/>
        </w:rPr>
      </w:pPr>
      <w:r>
        <w:rPr>
          <w:rFonts w:cs="Arial"/>
        </w:rPr>
        <w:t>Následující grafy</w:t>
      </w:r>
      <w:r w:rsidR="003F52F6">
        <w:rPr>
          <w:rFonts w:cs="Arial"/>
        </w:rPr>
        <w:t xml:space="preserve"> č. 1 a 2</w:t>
      </w:r>
      <w:r>
        <w:rPr>
          <w:rFonts w:cs="Arial"/>
        </w:rPr>
        <w:t xml:space="preserve"> ukazují jak objem hlášených míst podle hl. tříd zaměstnání, tak rovněž změnu struktury v závislosti na době neobsazení VPM.</w:t>
      </w:r>
    </w:p>
    <w:p w:rsidR="003F52F6" w:rsidRDefault="003F52F6" w:rsidP="003F52F6">
      <w:pPr>
        <w:pStyle w:val="Titulek"/>
        <w:keepNext/>
        <w:spacing w:after="0"/>
      </w:pPr>
      <w:bookmarkStart w:id="6" w:name="_Toc465675920"/>
      <w:r>
        <w:rPr>
          <w:noProof/>
          <w:lang w:eastAsia="cs-CZ"/>
        </w:rPr>
        <w:drawing>
          <wp:anchor distT="0" distB="0" distL="114300" distR="114300" simplePos="0" relativeHeight="251669504" behindDoc="0" locked="0" layoutInCell="1" allowOverlap="1" wp14:anchorId="07A6AFF2" wp14:editId="20B887C6">
            <wp:simplePos x="0" y="0"/>
            <wp:positionH relativeFrom="column">
              <wp:posOffset>3810</wp:posOffset>
            </wp:positionH>
            <wp:positionV relativeFrom="paragraph">
              <wp:posOffset>186690</wp:posOffset>
            </wp:positionV>
            <wp:extent cx="5964555" cy="3604260"/>
            <wp:effectExtent l="0" t="0" r="17145" b="15240"/>
            <wp:wrapSquare wrapText="bothSides"/>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r w:rsidR="00255C9E">
        <w:t>Graf</w:t>
      </w:r>
      <w:r>
        <w:t xml:space="preserve"> </w:t>
      </w:r>
      <w:r w:rsidR="006C5B50">
        <w:fldChar w:fldCharType="begin"/>
      </w:r>
      <w:r w:rsidR="006C5B50">
        <w:instrText xml:space="preserve"> SEQ Graf_č.: \* ARABIC </w:instrText>
      </w:r>
      <w:r w:rsidR="006C5B50">
        <w:fldChar w:fldCharType="separate"/>
      </w:r>
      <w:r w:rsidR="005B254A">
        <w:rPr>
          <w:noProof/>
        </w:rPr>
        <w:t>1</w:t>
      </w:r>
      <w:r w:rsidR="006C5B50">
        <w:rPr>
          <w:noProof/>
        </w:rPr>
        <w:fldChar w:fldCharType="end"/>
      </w:r>
      <w:r w:rsidR="00255C9E">
        <w:rPr>
          <w:noProof/>
        </w:rPr>
        <w:t xml:space="preserve"> – Počty VPM podle hl. tříd zaměstnání a doby neobsazení (30. 9. 2016)</w:t>
      </w:r>
      <w:bookmarkEnd w:id="6"/>
    </w:p>
    <w:p w:rsidR="00BF73FA" w:rsidRDefault="00BF73FA" w:rsidP="00696DB7">
      <w:pPr>
        <w:spacing w:before="120" w:line="240" w:lineRule="auto"/>
        <w:rPr>
          <w:rFonts w:cs="Arial"/>
        </w:rPr>
      </w:pPr>
    </w:p>
    <w:p w:rsidR="00255C9E" w:rsidRPr="00255C9E" w:rsidRDefault="00255C9E" w:rsidP="00255C9E">
      <w:pPr>
        <w:pStyle w:val="Titulek"/>
        <w:keepNext/>
        <w:rPr>
          <w:noProof/>
        </w:rPr>
      </w:pPr>
      <w:bookmarkStart w:id="7" w:name="_Toc465675921"/>
      <w:r>
        <w:t>Graf</w:t>
      </w:r>
      <w:r w:rsidR="003F52F6">
        <w:t xml:space="preserve"> </w:t>
      </w:r>
      <w:r w:rsidR="006C5B50">
        <w:fldChar w:fldCharType="begin"/>
      </w:r>
      <w:r w:rsidR="006C5B50">
        <w:instrText xml:space="preserve"> SEQ Graf_č.: \* ARABIC </w:instrText>
      </w:r>
      <w:r w:rsidR="006C5B50">
        <w:fldChar w:fldCharType="separate"/>
      </w:r>
      <w:r w:rsidR="005B254A">
        <w:rPr>
          <w:noProof/>
        </w:rPr>
        <w:t>2</w:t>
      </w:r>
      <w:r w:rsidR="006C5B50">
        <w:rPr>
          <w:noProof/>
        </w:rPr>
        <w:fldChar w:fldCharType="end"/>
      </w:r>
      <w:r>
        <w:rPr>
          <w:noProof/>
        </w:rPr>
        <w:t xml:space="preserve"> - </w:t>
      </w:r>
      <w:r w:rsidRPr="00255C9E">
        <w:rPr>
          <w:noProof/>
        </w:rPr>
        <w:t>Podíly VPM podle hl. tříd zaměstnání podle doby neobsazen</w:t>
      </w:r>
      <w:r>
        <w:rPr>
          <w:noProof/>
        </w:rPr>
        <w:t>í</w:t>
      </w:r>
      <w:r w:rsidRPr="00255C9E">
        <w:rPr>
          <w:noProof/>
        </w:rPr>
        <w:t xml:space="preserve"> (30. 9. 2016)</w:t>
      </w:r>
      <w:bookmarkEnd w:id="7"/>
    </w:p>
    <w:p w:rsidR="00BF73FA" w:rsidRDefault="008F360A" w:rsidP="00696DB7">
      <w:pPr>
        <w:spacing w:before="120" w:line="240" w:lineRule="auto"/>
        <w:rPr>
          <w:rFonts w:cs="Arial"/>
        </w:rPr>
      </w:pPr>
      <w:r>
        <w:rPr>
          <w:noProof/>
          <w:lang w:eastAsia="cs-CZ"/>
        </w:rPr>
        <w:drawing>
          <wp:inline distT="0" distB="0" distL="0" distR="0" wp14:anchorId="623D6B85" wp14:editId="6952AB89">
            <wp:extent cx="5972810" cy="2583180"/>
            <wp:effectExtent l="0" t="0" r="27940" b="2667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922C1" w:rsidRDefault="003922C1" w:rsidP="00696DB7">
      <w:pPr>
        <w:spacing w:before="120" w:line="240" w:lineRule="auto"/>
        <w:rPr>
          <w:rFonts w:cs="Arial"/>
        </w:rPr>
      </w:pPr>
      <w:r>
        <w:rPr>
          <w:rFonts w:cs="Arial"/>
        </w:rPr>
        <w:t>Z grafu vyplývá, že s rostoucí dobou neobsazenosti VPM vzrůstá podíl hl. tříd zaměstnání specialisté a řemeslníci a opraváři, nicméně nárůst této skupiny oproti nově hlášeným pracovním místům není velký. Naopak podíl pomocných profesí zůstává zachován.</w:t>
      </w:r>
    </w:p>
    <w:p w:rsidR="00A87CC5" w:rsidRDefault="003F52F6" w:rsidP="003F52F6">
      <w:pPr>
        <w:spacing w:before="120" w:after="120" w:line="240" w:lineRule="auto"/>
        <w:rPr>
          <w:rFonts w:cs="Arial"/>
        </w:rPr>
      </w:pPr>
      <w:r>
        <w:rPr>
          <w:rFonts w:cs="Arial"/>
        </w:rPr>
        <w:t>G</w:t>
      </w:r>
      <w:r w:rsidR="00A87CC5">
        <w:rPr>
          <w:rFonts w:cs="Arial"/>
        </w:rPr>
        <w:t>raf</w:t>
      </w:r>
      <w:r>
        <w:rPr>
          <w:rFonts w:cs="Arial"/>
        </w:rPr>
        <w:t xml:space="preserve"> č. 3</w:t>
      </w:r>
      <w:r w:rsidR="00A87CC5">
        <w:rPr>
          <w:rFonts w:cs="Arial"/>
        </w:rPr>
        <w:t xml:space="preserve"> zobrazuje strukturu hlášených VPM podle požadavků na vzdělání</w:t>
      </w:r>
      <w:r w:rsidR="00291EC0">
        <w:rPr>
          <w:rFonts w:cs="Arial"/>
        </w:rPr>
        <w:t>,</w:t>
      </w:r>
      <w:r w:rsidR="00A87CC5">
        <w:rPr>
          <w:rFonts w:cs="Arial"/>
        </w:rPr>
        <w:t xml:space="preserve"> a to jak za celou skupinu VPM, tak za skupinu VPM neobsazených déle než 12 měsíců. Významně dominují pracovní místa s požadavkem spíše na nižší kvalifikaci, resp. s požadavkem na vyučení. </w:t>
      </w:r>
      <w:r w:rsidR="008F360A">
        <w:rPr>
          <w:rFonts w:cs="Arial"/>
        </w:rPr>
        <w:t xml:space="preserve">Srovnání struktury VPM neobsazených do 3 měsíců </w:t>
      </w:r>
      <w:r w:rsidR="00291EC0">
        <w:rPr>
          <w:rFonts w:cs="Arial"/>
        </w:rPr>
        <w:br/>
      </w:r>
      <w:r w:rsidR="008F360A">
        <w:rPr>
          <w:rFonts w:cs="Arial"/>
        </w:rPr>
        <w:t>a neobsazených déle než 12 měsíců ukazuje vzrůstající podíl VPM vyžadujících jak nižší kvalifikaci (ZŠ), tak naopak s vyššími nároky zaměstnavatelů na vysoce kvalifikované odborníky (místa s požadavkem na vysokoškolské vzdělání a úplné střední odborné s</w:t>
      </w:r>
      <w:r w:rsidR="00291EC0">
        <w:rPr>
          <w:rFonts w:cs="Arial"/>
        </w:rPr>
        <w:t> </w:t>
      </w:r>
      <w:r w:rsidR="008F360A">
        <w:rPr>
          <w:rFonts w:cs="Arial"/>
        </w:rPr>
        <w:t>maturitou</w:t>
      </w:r>
      <w:r w:rsidR="00291EC0">
        <w:rPr>
          <w:rFonts w:cs="Arial"/>
        </w:rPr>
        <w:t>)</w:t>
      </w:r>
      <w:r w:rsidR="008F360A">
        <w:rPr>
          <w:rFonts w:cs="Arial"/>
        </w:rPr>
        <w:t>. Naopak klesá podíl pracovních míst pro vyučené.</w:t>
      </w:r>
    </w:p>
    <w:p w:rsidR="003F52F6" w:rsidRDefault="00255C9E" w:rsidP="003F52F6">
      <w:pPr>
        <w:pStyle w:val="Titulek"/>
        <w:keepNext/>
      </w:pPr>
      <w:bookmarkStart w:id="8" w:name="_Toc465675922"/>
      <w:r>
        <w:t>Graf</w:t>
      </w:r>
      <w:r w:rsidR="003F52F6">
        <w:t xml:space="preserve"> </w:t>
      </w:r>
      <w:r w:rsidR="006C5B50">
        <w:fldChar w:fldCharType="begin"/>
      </w:r>
      <w:r w:rsidR="006C5B50">
        <w:instrText xml:space="preserve"> SEQ Graf_č.: \* ARABIC </w:instrText>
      </w:r>
      <w:r w:rsidR="006C5B50">
        <w:fldChar w:fldCharType="separate"/>
      </w:r>
      <w:r w:rsidR="005B254A">
        <w:rPr>
          <w:noProof/>
        </w:rPr>
        <w:t>3</w:t>
      </w:r>
      <w:r w:rsidR="006C5B50">
        <w:rPr>
          <w:noProof/>
        </w:rPr>
        <w:fldChar w:fldCharType="end"/>
      </w:r>
      <w:r w:rsidR="00C26633">
        <w:t xml:space="preserve"> – Struktura a počty VPM podle požadovaného vzdělání (30. 9. 2016)</w:t>
      </w:r>
      <w:bookmarkEnd w:id="8"/>
    </w:p>
    <w:p w:rsidR="003F52F6" w:rsidRDefault="008F360A" w:rsidP="00696DB7">
      <w:pPr>
        <w:spacing w:before="120" w:line="240" w:lineRule="auto"/>
      </w:pPr>
      <w:r>
        <w:rPr>
          <w:noProof/>
          <w:lang w:eastAsia="cs-CZ"/>
        </w:rPr>
        <w:drawing>
          <wp:inline distT="0" distB="0" distL="0" distR="0" wp14:anchorId="238BA3AD" wp14:editId="3F12F5D2">
            <wp:extent cx="5964866" cy="3561907"/>
            <wp:effectExtent l="0" t="0" r="17145" b="1968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F52F6" w:rsidRDefault="003F52F6" w:rsidP="003F52F6">
      <w:pPr>
        <w:pStyle w:val="Titulek"/>
        <w:keepNext/>
      </w:pPr>
    </w:p>
    <w:p w:rsidR="003F52F6" w:rsidRDefault="00255C9E" w:rsidP="003F52F6">
      <w:pPr>
        <w:pStyle w:val="Titulek"/>
        <w:keepNext/>
      </w:pPr>
      <w:bookmarkStart w:id="9" w:name="_Toc465675923"/>
      <w:r>
        <w:t>Graf</w:t>
      </w:r>
      <w:r w:rsidR="003F52F6">
        <w:t xml:space="preserve"> </w:t>
      </w:r>
      <w:r w:rsidR="006C5B50">
        <w:fldChar w:fldCharType="begin"/>
      </w:r>
      <w:r w:rsidR="006C5B50">
        <w:instrText xml:space="preserve"> SEQ Graf_č.: \* ARABIC </w:instrText>
      </w:r>
      <w:r w:rsidR="006C5B50">
        <w:fldChar w:fldCharType="separate"/>
      </w:r>
      <w:r w:rsidR="005B254A">
        <w:rPr>
          <w:noProof/>
        </w:rPr>
        <w:t>4</w:t>
      </w:r>
      <w:r w:rsidR="006C5B50">
        <w:rPr>
          <w:noProof/>
        </w:rPr>
        <w:fldChar w:fldCharType="end"/>
      </w:r>
      <w:r w:rsidR="00C26633">
        <w:t xml:space="preserve"> – Podíly VPM podle vzdělání a podle doby neobsazenosti (30. 9. 2016)</w:t>
      </w:r>
      <w:bookmarkEnd w:id="9"/>
    </w:p>
    <w:p w:rsidR="00A87CC5" w:rsidRDefault="008F360A" w:rsidP="00696DB7">
      <w:pPr>
        <w:spacing w:before="120" w:line="240" w:lineRule="auto"/>
        <w:rPr>
          <w:rFonts w:cs="Arial"/>
        </w:rPr>
      </w:pPr>
      <w:r>
        <w:rPr>
          <w:noProof/>
          <w:lang w:eastAsia="cs-CZ"/>
        </w:rPr>
        <w:drawing>
          <wp:inline distT="0" distB="0" distL="0" distR="0" wp14:anchorId="556D4830" wp14:editId="5C773D8A">
            <wp:extent cx="5972810" cy="2638425"/>
            <wp:effectExtent l="0" t="0" r="27940" b="9525"/>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F73FA" w:rsidRDefault="008F360A" w:rsidP="00696DB7">
      <w:pPr>
        <w:spacing w:before="120" w:line="240" w:lineRule="auto"/>
        <w:rPr>
          <w:rFonts w:cs="Arial"/>
        </w:rPr>
      </w:pPr>
      <w:r>
        <w:rPr>
          <w:rFonts w:cs="Arial"/>
        </w:rPr>
        <w:t xml:space="preserve">Nasycenost/nenasycenost pracovního trhu nejlépe vykresluje ukazatel počtu uchazečů o zaměstnání na hlášené </w:t>
      </w:r>
      <w:r w:rsidR="00291EC0">
        <w:rPr>
          <w:rFonts w:cs="Arial"/>
        </w:rPr>
        <w:t>VPM</w:t>
      </w:r>
      <w:r>
        <w:rPr>
          <w:rFonts w:cs="Arial"/>
        </w:rPr>
        <w:t xml:space="preserve">. Z pohledu struktury </w:t>
      </w:r>
      <w:proofErr w:type="spellStart"/>
      <w:r>
        <w:rPr>
          <w:rFonts w:cs="Arial"/>
        </w:rPr>
        <w:t>UoZ</w:t>
      </w:r>
      <w:proofErr w:type="spellEnd"/>
      <w:r>
        <w:rPr>
          <w:rFonts w:cs="Arial"/>
        </w:rPr>
        <w:t xml:space="preserve"> na VPM převažuje nabídka pracovní síly po poptávce v kategoriích zaměstnání: úředníci, kvalifikovaní pracovníci v zemědělství, lesnictví a rybářství a mezi pomocnými </w:t>
      </w:r>
      <w:r w:rsidR="00291EC0">
        <w:rPr>
          <w:rFonts w:cs="Arial"/>
        </w:rPr>
        <w:br/>
      </w:r>
      <w:r>
        <w:rPr>
          <w:rFonts w:cs="Arial"/>
        </w:rPr>
        <w:t xml:space="preserve">a nekvalifikovanými pracovníky. </w:t>
      </w:r>
      <w:r>
        <w:rPr>
          <w:rFonts w:cs="Arial"/>
          <w:b/>
        </w:rPr>
        <w:t xml:space="preserve">Naopak nedostatek pracovní síly lze sledovat dlouhodobě ve skupině zaměstnání řemeslníci a opraváři a obsluha strojů </w:t>
      </w:r>
      <w:r w:rsidR="00291EC0">
        <w:rPr>
          <w:rFonts w:cs="Arial"/>
          <w:b/>
        </w:rPr>
        <w:br/>
      </w:r>
      <w:r>
        <w:rPr>
          <w:rFonts w:cs="Arial"/>
          <w:b/>
        </w:rPr>
        <w:t>a zařízení a montéři</w:t>
      </w:r>
      <w:r>
        <w:rPr>
          <w:rFonts w:cs="Arial"/>
        </w:rPr>
        <w:t xml:space="preserve"> (viz následující graf</w:t>
      </w:r>
      <w:r w:rsidR="003F52F6">
        <w:rPr>
          <w:rFonts w:cs="Arial"/>
        </w:rPr>
        <w:t xml:space="preserve"> č. 5</w:t>
      </w:r>
      <w:r>
        <w:rPr>
          <w:rFonts w:cs="Arial"/>
        </w:rPr>
        <w:t>).</w:t>
      </w:r>
    </w:p>
    <w:p w:rsidR="003F52F6" w:rsidRDefault="00255C9E" w:rsidP="005406EA">
      <w:pPr>
        <w:pStyle w:val="Titulek"/>
        <w:keepNext/>
        <w:spacing w:before="120" w:after="120"/>
      </w:pPr>
      <w:bookmarkStart w:id="10" w:name="_Toc465675924"/>
      <w:r>
        <w:t>Graf</w:t>
      </w:r>
      <w:r w:rsidR="003F52F6">
        <w:t xml:space="preserve"> </w:t>
      </w:r>
      <w:r w:rsidR="006C5B50">
        <w:fldChar w:fldCharType="begin"/>
      </w:r>
      <w:r w:rsidR="006C5B50">
        <w:instrText xml:space="preserve"> SEQ Graf_č.: \* ARABIC </w:instrText>
      </w:r>
      <w:r w:rsidR="006C5B50">
        <w:fldChar w:fldCharType="separate"/>
      </w:r>
      <w:r w:rsidR="005B254A">
        <w:rPr>
          <w:noProof/>
        </w:rPr>
        <w:t>5</w:t>
      </w:r>
      <w:r w:rsidR="006C5B50">
        <w:rPr>
          <w:noProof/>
        </w:rPr>
        <w:fldChar w:fldCharType="end"/>
      </w:r>
      <w:r w:rsidR="00C26633">
        <w:t xml:space="preserve"> – Počet </w:t>
      </w:r>
      <w:proofErr w:type="spellStart"/>
      <w:r w:rsidR="00C26633">
        <w:t>UoZ</w:t>
      </w:r>
      <w:proofErr w:type="spellEnd"/>
      <w:r w:rsidR="00C26633">
        <w:t xml:space="preserve"> na VPM podle kategorie zaměstnání - vývoj</w:t>
      </w:r>
      <w:bookmarkEnd w:id="10"/>
    </w:p>
    <w:p w:rsidR="00BF73FA" w:rsidRDefault="00A87CC5" w:rsidP="00696DB7">
      <w:pPr>
        <w:spacing w:before="120" w:line="240" w:lineRule="auto"/>
        <w:rPr>
          <w:rFonts w:cs="Arial"/>
        </w:rPr>
      </w:pPr>
      <w:r>
        <w:rPr>
          <w:noProof/>
          <w:lang w:eastAsia="cs-CZ"/>
        </w:rPr>
        <w:drawing>
          <wp:inline distT="0" distB="0" distL="0" distR="0" wp14:anchorId="6580CABF" wp14:editId="18EEE5A5">
            <wp:extent cx="5709684" cy="2690037"/>
            <wp:effectExtent l="0" t="0" r="24765" b="1524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35045" w:rsidRDefault="00A87CC5" w:rsidP="003F52F6">
      <w:pPr>
        <w:spacing w:before="240" w:line="240" w:lineRule="auto"/>
        <w:rPr>
          <w:rFonts w:cs="Arial"/>
        </w:rPr>
      </w:pPr>
      <w:r>
        <w:rPr>
          <w:rFonts w:cs="Arial"/>
        </w:rPr>
        <w:t xml:space="preserve">Následující graf ukazuje situaci a vývoj počtu </w:t>
      </w:r>
      <w:proofErr w:type="spellStart"/>
      <w:r>
        <w:rPr>
          <w:rFonts w:cs="Arial"/>
        </w:rPr>
        <w:t>UoZ</w:t>
      </w:r>
      <w:proofErr w:type="spellEnd"/>
      <w:r>
        <w:rPr>
          <w:rFonts w:cs="Arial"/>
        </w:rPr>
        <w:t xml:space="preserve"> na VPM v jednotlivých krajích. Zřejmé je, že i přes globální zlepšení, došlo v průběhu krize a následujícím období hospodářského růstu k prohloubení regionálních rozdílů. Markantní je zhoršení ve strukturálně postiženém Moravskoslezském kraji, ale i kraji Jihomoravském</w:t>
      </w:r>
      <w:r w:rsidR="00291EC0">
        <w:rPr>
          <w:rFonts w:cs="Arial"/>
        </w:rPr>
        <w:t>,</w:t>
      </w:r>
      <w:r>
        <w:rPr>
          <w:rFonts w:cs="Arial"/>
        </w:rPr>
        <w:t xml:space="preserve"> a rovněž v Hlavním městě Praze a středočeském kraji. V ostatních regionech, a to i strukturálně postižených, došlo oproti roku 2008 ke zlepšení.</w:t>
      </w:r>
    </w:p>
    <w:p w:rsidR="003F52F6" w:rsidRDefault="00C26633" w:rsidP="003F52F6">
      <w:pPr>
        <w:pStyle w:val="Titulek"/>
        <w:keepNext/>
        <w:spacing w:before="120" w:after="120"/>
      </w:pPr>
      <w:bookmarkStart w:id="11" w:name="_Toc465675925"/>
      <w:r>
        <w:rPr>
          <w:noProof/>
          <w:lang w:eastAsia="cs-CZ"/>
        </w:rPr>
        <w:drawing>
          <wp:anchor distT="0" distB="0" distL="114300" distR="114300" simplePos="0" relativeHeight="251682816" behindDoc="0" locked="0" layoutInCell="1" allowOverlap="1" wp14:anchorId="1FEC9FC5" wp14:editId="53B9FE37">
            <wp:simplePos x="0" y="0"/>
            <wp:positionH relativeFrom="column">
              <wp:posOffset>3810</wp:posOffset>
            </wp:positionH>
            <wp:positionV relativeFrom="paragraph">
              <wp:posOffset>288925</wp:posOffset>
            </wp:positionV>
            <wp:extent cx="5762625" cy="2551430"/>
            <wp:effectExtent l="0" t="0" r="9525" b="20320"/>
            <wp:wrapSquare wrapText="bothSides"/>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r w:rsidR="00255C9E">
        <w:t>Graf</w:t>
      </w:r>
      <w:r w:rsidR="003F52F6">
        <w:t xml:space="preserve"> </w:t>
      </w:r>
      <w:r w:rsidR="006C5B50">
        <w:fldChar w:fldCharType="begin"/>
      </w:r>
      <w:r w:rsidR="006C5B50">
        <w:instrText xml:space="preserve"> SEQ Graf_č.: \* ARABIC </w:instrText>
      </w:r>
      <w:r w:rsidR="006C5B50">
        <w:fldChar w:fldCharType="separate"/>
      </w:r>
      <w:r w:rsidR="005B254A">
        <w:rPr>
          <w:noProof/>
        </w:rPr>
        <w:t>6</w:t>
      </w:r>
      <w:r w:rsidR="006C5B50">
        <w:rPr>
          <w:noProof/>
        </w:rPr>
        <w:fldChar w:fldCharType="end"/>
      </w:r>
      <w:r>
        <w:t xml:space="preserve"> – vývoj počtu </w:t>
      </w:r>
      <w:proofErr w:type="spellStart"/>
      <w:r>
        <w:t>UoZ</w:t>
      </w:r>
      <w:proofErr w:type="spellEnd"/>
      <w:r>
        <w:t>/VPM v krajích k 30. 9. daného roku</w:t>
      </w:r>
      <w:bookmarkEnd w:id="11"/>
    </w:p>
    <w:p w:rsidR="00D35045" w:rsidRDefault="00D35045" w:rsidP="00696DB7">
      <w:pPr>
        <w:spacing w:before="120" w:line="240" w:lineRule="auto"/>
        <w:rPr>
          <w:rFonts w:cs="Arial"/>
        </w:rPr>
      </w:pPr>
    </w:p>
    <w:p w:rsidR="00615826" w:rsidRDefault="00615826" w:rsidP="00696DB7">
      <w:pPr>
        <w:spacing w:before="120" w:line="240" w:lineRule="auto"/>
        <w:rPr>
          <w:rFonts w:cs="Arial"/>
          <w:b/>
        </w:rPr>
      </w:pPr>
      <w:r>
        <w:rPr>
          <w:rFonts w:cs="Arial"/>
        </w:rPr>
        <w:t>Bližší situaci v oblasti nabídky a poptávky na trhu práce v rozpadu na skupiny zaměstnání vykresluje následující tabulka. Nejprve jsou uváděna nejčastěji poptávaná zaměstnání (hlášená VPM) následovaná nejčastěji zastoupenými skupinami zaměstnání mezi uchazeči o zaměstnání</w:t>
      </w:r>
      <w:r w:rsidR="00766062">
        <w:rPr>
          <w:rFonts w:cs="Arial"/>
        </w:rPr>
        <w:t xml:space="preserve">. Markantní </w:t>
      </w:r>
      <w:r w:rsidR="00766062" w:rsidRPr="00766062">
        <w:rPr>
          <w:rFonts w:cs="Arial"/>
          <w:b/>
        </w:rPr>
        <w:t>nedostatek pracovní síly</w:t>
      </w:r>
      <w:r w:rsidR="00766062">
        <w:rPr>
          <w:rFonts w:cs="Arial"/>
        </w:rPr>
        <w:t xml:space="preserve"> je pociťován ve skupinách zaměstnání: </w:t>
      </w:r>
      <w:r w:rsidR="00766062" w:rsidRPr="00766062">
        <w:rPr>
          <w:rFonts w:cs="Arial"/>
          <w:b/>
        </w:rPr>
        <w:t>slévači, svářeči a příbuzní pracovníci</w:t>
      </w:r>
      <w:r w:rsidR="00291EC0">
        <w:rPr>
          <w:rFonts w:cs="Arial"/>
          <w:b/>
        </w:rPr>
        <w:t>,</w:t>
      </w:r>
      <w:r w:rsidR="00766062">
        <w:rPr>
          <w:rFonts w:cs="Arial"/>
        </w:rPr>
        <w:t xml:space="preserve"> a to prakticky v celé skupině, dále pak u skupiny </w:t>
      </w:r>
      <w:r w:rsidR="00766062">
        <w:rPr>
          <w:rFonts w:cs="Arial"/>
          <w:b/>
        </w:rPr>
        <w:t xml:space="preserve">řidiči nákladních automobilů, autobusů a tramvají </w:t>
      </w:r>
      <w:r w:rsidR="00766062">
        <w:rPr>
          <w:rFonts w:cs="Arial"/>
        </w:rPr>
        <w:t xml:space="preserve">a ve skupině zaměstnání </w:t>
      </w:r>
      <w:r w:rsidR="00766062">
        <w:rPr>
          <w:rFonts w:cs="Arial"/>
          <w:b/>
        </w:rPr>
        <w:t>montážní dělníci výrobků a zařízení</w:t>
      </w:r>
      <w:r w:rsidR="00766062">
        <w:rPr>
          <w:rFonts w:cs="Arial"/>
        </w:rPr>
        <w:t xml:space="preserve">, zejména v elektrotechnice, elektronice a energetice. Naopak </w:t>
      </w:r>
      <w:r w:rsidR="00766062">
        <w:rPr>
          <w:rFonts w:cs="Arial"/>
          <w:b/>
        </w:rPr>
        <w:t>dostatek</w:t>
      </w:r>
      <w:r w:rsidR="00766062">
        <w:rPr>
          <w:rFonts w:cs="Arial"/>
        </w:rPr>
        <w:t xml:space="preserve"> pracovní síly v nejvíce poptávaných profesích je v oblasti </w:t>
      </w:r>
      <w:r w:rsidR="00766062" w:rsidRPr="00766062">
        <w:rPr>
          <w:rFonts w:cs="Arial"/>
          <w:b/>
        </w:rPr>
        <w:t>prodeje a mezi pomocnými pracovníky ve výrobě</w:t>
      </w:r>
      <w:r w:rsidR="00766062">
        <w:rPr>
          <w:rFonts w:cs="Arial"/>
          <w:b/>
        </w:rPr>
        <w:t>.</w:t>
      </w:r>
    </w:p>
    <w:p w:rsidR="00277A1D" w:rsidRPr="00766062" w:rsidRDefault="00277A1D" w:rsidP="00696DB7">
      <w:pPr>
        <w:spacing w:before="120" w:line="240" w:lineRule="auto"/>
        <w:rPr>
          <w:rFonts w:cs="Arial"/>
        </w:rPr>
      </w:pPr>
    </w:p>
    <w:p w:rsidR="000951F9" w:rsidRDefault="000951F9" w:rsidP="005406EA">
      <w:pPr>
        <w:pStyle w:val="Titulek"/>
        <w:keepNext/>
        <w:spacing w:before="120" w:after="120"/>
      </w:pPr>
      <w:bookmarkStart w:id="12" w:name="_Toc465674533"/>
      <w:r>
        <w:t xml:space="preserve">Tabulka </w:t>
      </w:r>
      <w:r w:rsidR="006C5B50">
        <w:fldChar w:fldCharType="begin"/>
      </w:r>
      <w:r w:rsidR="006C5B50">
        <w:instrText xml:space="preserve"> SEQ Tabulka \* ARABIC </w:instrText>
      </w:r>
      <w:r w:rsidR="006C5B50">
        <w:fldChar w:fldCharType="separate"/>
      </w:r>
      <w:r w:rsidR="005B254A">
        <w:rPr>
          <w:noProof/>
        </w:rPr>
        <w:t>3</w:t>
      </w:r>
      <w:r w:rsidR="006C5B50">
        <w:rPr>
          <w:noProof/>
        </w:rPr>
        <w:fldChar w:fldCharType="end"/>
      </w:r>
      <w:r w:rsidR="00C26633">
        <w:t>: Nejčastěji poptávané skupiny zaměstnání a jejich podskupiny mezi VPM k 30. 9. 2016</w:t>
      </w:r>
      <w:bookmarkEnd w:id="12"/>
    </w:p>
    <w:tbl>
      <w:tblPr>
        <w:tblW w:w="8960" w:type="dxa"/>
        <w:tblInd w:w="15" w:type="dxa"/>
        <w:tblLayout w:type="fixed"/>
        <w:tblCellMar>
          <w:left w:w="0" w:type="dxa"/>
          <w:right w:w="0" w:type="dxa"/>
        </w:tblCellMar>
        <w:tblLook w:val="04A0" w:firstRow="1" w:lastRow="0" w:firstColumn="1" w:lastColumn="0" w:noHBand="0" w:noVBand="1"/>
      </w:tblPr>
      <w:tblGrid>
        <w:gridCol w:w="711"/>
        <w:gridCol w:w="5974"/>
        <w:gridCol w:w="853"/>
        <w:gridCol w:w="711"/>
        <w:gridCol w:w="711"/>
      </w:tblGrid>
      <w:tr w:rsidR="00FC6987" w:rsidTr="00FC6987">
        <w:trPr>
          <w:trHeight w:val="542"/>
        </w:trPr>
        <w:tc>
          <w:tcPr>
            <w:tcW w:w="711" w:type="dxa"/>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FC6987" w:rsidRPr="00620597" w:rsidRDefault="00FC6987" w:rsidP="00696DB7">
            <w:pPr>
              <w:spacing w:line="240" w:lineRule="auto"/>
              <w:jc w:val="center"/>
              <w:rPr>
                <w:rFonts w:cs="Arial"/>
                <w:color w:val="000000"/>
                <w:sz w:val="20"/>
                <w:szCs w:val="20"/>
              </w:rPr>
            </w:pPr>
            <w:r w:rsidRPr="00620597">
              <w:rPr>
                <w:rFonts w:cs="Arial"/>
                <w:color w:val="000000"/>
                <w:sz w:val="20"/>
                <w:szCs w:val="20"/>
              </w:rPr>
              <w:t>CZ ISCO</w:t>
            </w:r>
          </w:p>
        </w:tc>
        <w:tc>
          <w:tcPr>
            <w:tcW w:w="59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C6987" w:rsidRPr="00620597" w:rsidRDefault="00FC6987" w:rsidP="00696DB7">
            <w:pPr>
              <w:spacing w:line="240" w:lineRule="auto"/>
              <w:jc w:val="center"/>
              <w:rPr>
                <w:rFonts w:cs="Arial"/>
                <w:color w:val="000000"/>
                <w:sz w:val="20"/>
                <w:szCs w:val="20"/>
              </w:rPr>
            </w:pPr>
            <w:r w:rsidRPr="00620597">
              <w:rPr>
                <w:rFonts w:cs="Arial"/>
                <w:color w:val="000000"/>
                <w:sz w:val="20"/>
                <w:szCs w:val="20"/>
              </w:rPr>
              <w:t>CZ ISCO POPIS</w:t>
            </w:r>
          </w:p>
        </w:tc>
        <w:tc>
          <w:tcPr>
            <w:tcW w:w="85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center"/>
              <w:rPr>
                <w:rFonts w:cs="Arial"/>
                <w:color w:val="000000"/>
                <w:sz w:val="20"/>
                <w:szCs w:val="20"/>
              </w:rPr>
            </w:pPr>
            <w:r w:rsidRPr="00620597">
              <w:rPr>
                <w:rFonts w:cs="Arial"/>
                <w:color w:val="000000"/>
                <w:sz w:val="20"/>
                <w:szCs w:val="20"/>
              </w:rPr>
              <w:t>(VPM)</w:t>
            </w:r>
          </w:p>
        </w:tc>
        <w:tc>
          <w:tcPr>
            <w:tcW w:w="711" w:type="dxa"/>
            <w:tcBorders>
              <w:top w:val="single" w:sz="4" w:space="0" w:color="auto"/>
              <w:left w:val="nil"/>
              <w:bottom w:val="single" w:sz="4" w:space="0" w:color="auto"/>
              <w:right w:val="single" w:sz="4" w:space="0" w:color="auto"/>
            </w:tcBorders>
            <w:vAlign w:val="center"/>
          </w:tcPr>
          <w:p w:rsidR="00FC6987" w:rsidRPr="00620597" w:rsidRDefault="00FC6987" w:rsidP="00696DB7">
            <w:pPr>
              <w:spacing w:line="240" w:lineRule="auto"/>
              <w:jc w:val="center"/>
              <w:rPr>
                <w:rFonts w:cs="Arial"/>
                <w:color w:val="000000"/>
                <w:sz w:val="20"/>
                <w:szCs w:val="20"/>
              </w:rPr>
            </w:pPr>
            <w:proofErr w:type="spellStart"/>
            <w:r>
              <w:rPr>
                <w:rFonts w:cs="Arial"/>
                <w:color w:val="000000"/>
                <w:sz w:val="20"/>
                <w:szCs w:val="20"/>
              </w:rPr>
              <w:t>UoZ</w:t>
            </w:r>
            <w:proofErr w:type="spellEnd"/>
          </w:p>
        </w:tc>
        <w:tc>
          <w:tcPr>
            <w:tcW w:w="711" w:type="dxa"/>
            <w:tcBorders>
              <w:top w:val="single" w:sz="4" w:space="0" w:color="auto"/>
              <w:left w:val="nil"/>
              <w:bottom w:val="single" w:sz="4" w:space="0" w:color="auto"/>
              <w:right w:val="single" w:sz="4" w:space="0" w:color="auto"/>
            </w:tcBorders>
            <w:vAlign w:val="center"/>
          </w:tcPr>
          <w:p w:rsidR="00FC6987" w:rsidRPr="00FC6987" w:rsidRDefault="00FC6987" w:rsidP="00696DB7">
            <w:pPr>
              <w:spacing w:line="240" w:lineRule="auto"/>
              <w:jc w:val="center"/>
              <w:rPr>
                <w:rFonts w:cs="Arial"/>
                <w:color w:val="000000"/>
                <w:sz w:val="20"/>
                <w:szCs w:val="20"/>
              </w:rPr>
            </w:pPr>
            <w:proofErr w:type="spellStart"/>
            <w:r w:rsidRPr="00FC6987">
              <w:rPr>
                <w:rFonts w:cs="Arial"/>
                <w:color w:val="000000"/>
                <w:sz w:val="20"/>
                <w:szCs w:val="20"/>
              </w:rPr>
              <w:t>UoZ</w:t>
            </w:r>
            <w:proofErr w:type="spellEnd"/>
            <w:r w:rsidRPr="00FC6987">
              <w:rPr>
                <w:rFonts w:cs="Arial"/>
                <w:color w:val="000000"/>
                <w:sz w:val="20"/>
                <w:szCs w:val="20"/>
              </w:rPr>
              <w:t>/ VPM</w:t>
            </w:r>
          </w:p>
        </w:tc>
      </w:tr>
      <w:tr w:rsidR="00FC6987" w:rsidRP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932</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Pomocní pracovníci ve výrobě</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b/>
                <w:color w:val="000000"/>
                <w:sz w:val="20"/>
                <w:szCs w:val="20"/>
              </w:rPr>
              <w:t>10 041</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b/>
                <w:color w:val="000000"/>
                <w:sz w:val="20"/>
                <w:szCs w:val="20"/>
              </w:rPr>
            </w:pPr>
            <w:r>
              <w:rPr>
                <w:rFonts w:cs="Arial"/>
                <w:b/>
                <w:color w:val="000000"/>
                <w:sz w:val="20"/>
                <w:szCs w:val="20"/>
              </w:rPr>
              <w:t>35 368</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b/>
                <w:sz w:val="20"/>
                <w:szCs w:val="20"/>
              </w:rPr>
            </w:pPr>
            <w:r w:rsidRPr="00FC6987">
              <w:rPr>
                <w:b/>
                <w:sz w:val="20"/>
                <w:szCs w:val="20"/>
              </w:rPr>
              <w:t>3,5</w:t>
            </w:r>
          </w:p>
        </w:tc>
      </w:tr>
      <w:tr w:rsidR="00FC6987" w:rsidTr="00615826">
        <w:trPr>
          <w:trHeight w:val="111"/>
        </w:trPr>
        <w:tc>
          <w:tcPr>
            <w:tcW w:w="711" w:type="dxa"/>
            <w:tcBorders>
              <w:top w:val="nil"/>
              <w:left w:val="single" w:sz="4" w:space="0" w:color="auto"/>
              <w:bottom w:val="nil"/>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9321</w:t>
            </w:r>
          </w:p>
        </w:tc>
        <w:tc>
          <w:tcPr>
            <w:tcW w:w="5974" w:type="dxa"/>
            <w:tcBorders>
              <w:top w:val="nil"/>
              <w:left w:val="single" w:sz="4" w:space="0" w:color="auto"/>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Ruční baliči</w:t>
            </w:r>
          </w:p>
        </w:tc>
        <w:tc>
          <w:tcPr>
            <w:tcW w:w="853" w:type="dxa"/>
            <w:tcBorders>
              <w:top w:val="nil"/>
              <w:left w:val="nil"/>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939</w:t>
            </w:r>
          </w:p>
        </w:tc>
        <w:tc>
          <w:tcPr>
            <w:tcW w:w="711" w:type="dxa"/>
            <w:tcBorders>
              <w:top w:val="nil"/>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232</w:t>
            </w:r>
          </w:p>
        </w:tc>
        <w:tc>
          <w:tcPr>
            <w:tcW w:w="711" w:type="dxa"/>
            <w:tcBorders>
              <w:top w:val="nil"/>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0,2</w:t>
            </w:r>
          </w:p>
        </w:tc>
      </w:tr>
      <w:tr w:rsidR="00FC6987" w:rsidTr="00FC6987">
        <w:trPr>
          <w:trHeight w:val="111"/>
        </w:trPr>
        <w:tc>
          <w:tcPr>
            <w:tcW w:w="711"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9329</w:t>
            </w:r>
          </w:p>
        </w:tc>
        <w:tc>
          <w:tcPr>
            <w:tcW w:w="59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Ostatní pomocní pracovníci ve výrobě</w:t>
            </w:r>
          </w:p>
        </w:tc>
        <w:tc>
          <w:tcPr>
            <w:tcW w:w="85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8 652</w:t>
            </w:r>
          </w:p>
        </w:tc>
        <w:tc>
          <w:tcPr>
            <w:tcW w:w="711" w:type="dxa"/>
            <w:tcBorders>
              <w:top w:val="nil"/>
              <w:left w:val="nil"/>
              <w:bottom w:val="single" w:sz="4" w:space="0" w:color="auto"/>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31 811</w:t>
            </w:r>
          </w:p>
        </w:tc>
        <w:tc>
          <w:tcPr>
            <w:tcW w:w="711" w:type="dxa"/>
            <w:tcBorders>
              <w:top w:val="nil"/>
              <w:left w:val="nil"/>
              <w:bottom w:val="single" w:sz="4" w:space="0" w:color="auto"/>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3,7</w:t>
            </w:r>
          </w:p>
        </w:tc>
      </w:tr>
      <w:tr w:rsidR="00FC6987" w:rsidTr="00615826">
        <w:trPr>
          <w:trHeight w:val="111"/>
        </w:trPr>
        <w:tc>
          <w:tcPr>
            <w:tcW w:w="711" w:type="dxa"/>
            <w:tcBorders>
              <w:top w:val="nil"/>
              <w:left w:val="single" w:sz="4" w:space="0" w:color="auto"/>
              <w:bottom w:val="nil"/>
              <w:right w:val="nil"/>
            </w:tcBorders>
            <w:shd w:val="clear" w:color="auto" w:fill="F2DBDB" w:themeFill="accent2" w:themeFillTint="33"/>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821</w:t>
            </w:r>
          </w:p>
        </w:tc>
        <w:tc>
          <w:tcPr>
            <w:tcW w:w="5974" w:type="dxa"/>
            <w:tcBorders>
              <w:top w:val="nil"/>
              <w:left w:val="single" w:sz="4" w:space="0" w:color="auto"/>
              <w:bottom w:val="nil"/>
              <w:right w:val="single" w:sz="4" w:space="0" w:color="auto"/>
            </w:tcBorders>
            <w:shd w:val="clear" w:color="auto" w:fill="F2DBDB" w:themeFill="accent2" w:themeFillTint="33"/>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Montážní dělníci výrobků a zařízení</w:t>
            </w:r>
          </w:p>
        </w:tc>
        <w:tc>
          <w:tcPr>
            <w:tcW w:w="853" w:type="dxa"/>
            <w:tcBorders>
              <w:top w:val="nil"/>
              <w:left w:val="nil"/>
              <w:bottom w:val="nil"/>
              <w:right w:val="single" w:sz="4" w:space="0" w:color="auto"/>
            </w:tcBorders>
            <w:shd w:val="clear" w:color="auto" w:fill="F2DBDB" w:themeFill="accent2" w:themeFillTint="33"/>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b/>
                <w:color w:val="000000"/>
                <w:sz w:val="20"/>
                <w:szCs w:val="20"/>
              </w:rPr>
              <w:t>10 013</w:t>
            </w:r>
          </w:p>
        </w:tc>
        <w:tc>
          <w:tcPr>
            <w:tcW w:w="711" w:type="dxa"/>
            <w:tcBorders>
              <w:top w:val="nil"/>
              <w:left w:val="nil"/>
              <w:bottom w:val="nil"/>
              <w:right w:val="single" w:sz="4" w:space="0" w:color="auto"/>
            </w:tcBorders>
            <w:shd w:val="clear" w:color="auto" w:fill="F2DBDB" w:themeFill="accent2" w:themeFillTint="33"/>
            <w:vAlign w:val="center"/>
          </w:tcPr>
          <w:p w:rsidR="00FC6987" w:rsidRPr="00620597" w:rsidRDefault="00FC6987" w:rsidP="00696DB7">
            <w:pPr>
              <w:spacing w:line="240" w:lineRule="auto"/>
              <w:jc w:val="right"/>
              <w:rPr>
                <w:rFonts w:cs="Arial"/>
                <w:b/>
                <w:color w:val="000000"/>
                <w:sz w:val="20"/>
                <w:szCs w:val="20"/>
              </w:rPr>
            </w:pPr>
            <w:r w:rsidRPr="00FC6987">
              <w:rPr>
                <w:rFonts w:cs="Arial"/>
                <w:b/>
                <w:color w:val="000000"/>
                <w:sz w:val="20"/>
                <w:szCs w:val="20"/>
              </w:rPr>
              <w:t>5 331</w:t>
            </w:r>
          </w:p>
        </w:tc>
        <w:tc>
          <w:tcPr>
            <w:tcW w:w="711" w:type="dxa"/>
            <w:tcBorders>
              <w:top w:val="nil"/>
              <w:left w:val="nil"/>
              <w:bottom w:val="nil"/>
              <w:right w:val="single" w:sz="4" w:space="0" w:color="auto"/>
            </w:tcBorders>
            <w:shd w:val="clear" w:color="auto" w:fill="F2DBDB" w:themeFill="accent2" w:themeFillTint="33"/>
            <w:vAlign w:val="center"/>
          </w:tcPr>
          <w:p w:rsidR="00FC6987" w:rsidRPr="00FC6987" w:rsidRDefault="00FC6987" w:rsidP="00696DB7">
            <w:pPr>
              <w:spacing w:line="240" w:lineRule="auto"/>
              <w:jc w:val="center"/>
              <w:rPr>
                <w:b/>
                <w:sz w:val="20"/>
                <w:szCs w:val="20"/>
              </w:rPr>
            </w:pPr>
            <w:r w:rsidRPr="00FC6987">
              <w:rPr>
                <w:b/>
                <w:sz w:val="20"/>
                <w:szCs w:val="20"/>
              </w:rPr>
              <w:t>0,5</w:t>
            </w:r>
          </w:p>
        </w:tc>
      </w:tr>
      <w:tr w:rsidR="00FC6987" w:rsidTr="00615826">
        <w:trPr>
          <w:trHeight w:val="111"/>
        </w:trPr>
        <w:tc>
          <w:tcPr>
            <w:tcW w:w="711" w:type="dxa"/>
            <w:tcBorders>
              <w:top w:val="nil"/>
              <w:left w:val="single" w:sz="4" w:space="0" w:color="auto"/>
              <w:bottom w:val="nil"/>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8211</w:t>
            </w:r>
          </w:p>
        </w:tc>
        <w:tc>
          <w:tcPr>
            <w:tcW w:w="5974" w:type="dxa"/>
            <w:tcBorders>
              <w:top w:val="nil"/>
              <w:left w:val="single" w:sz="4" w:space="0" w:color="auto"/>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Montážní dělníci mechanických zařízení</w:t>
            </w:r>
          </w:p>
        </w:tc>
        <w:tc>
          <w:tcPr>
            <w:tcW w:w="853" w:type="dxa"/>
            <w:tcBorders>
              <w:top w:val="nil"/>
              <w:left w:val="nil"/>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1</w:t>
            </w:r>
            <w:r>
              <w:rPr>
                <w:rFonts w:cs="Arial"/>
                <w:color w:val="000000"/>
                <w:sz w:val="20"/>
                <w:szCs w:val="20"/>
              </w:rPr>
              <w:t xml:space="preserve"> </w:t>
            </w:r>
            <w:r w:rsidRPr="00620597">
              <w:rPr>
                <w:rFonts w:cs="Arial"/>
                <w:color w:val="000000"/>
                <w:sz w:val="20"/>
                <w:szCs w:val="20"/>
              </w:rPr>
              <w:t>871</w:t>
            </w:r>
          </w:p>
        </w:tc>
        <w:tc>
          <w:tcPr>
            <w:tcW w:w="711" w:type="dxa"/>
            <w:tcBorders>
              <w:top w:val="nil"/>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1 084</w:t>
            </w:r>
          </w:p>
        </w:tc>
        <w:tc>
          <w:tcPr>
            <w:tcW w:w="711" w:type="dxa"/>
            <w:tcBorders>
              <w:top w:val="nil"/>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0,6</w:t>
            </w:r>
          </w:p>
        </w:tc>
      </w:tr>
      <w:tr w:rsidR="00FC6987" w:rsidTr="00615826">
        <w:trPr>
          <w:trHeight w:val="111"/>
        </w:trPr>
        <w:tc>
          <w:tcPr>
            <w:tcW w:w="711" w:type="dxa"/>
            <w:tcBorders>
              <w:top w:val="nil"/>
              <w:left w:val="single" w:sz="4" w:space="0" w:color="auto"/>
              <w:bottom w:val="nil"/>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8212</w:t>
            </w:r>
          </w:p>
        </w:tc>
        <w:tc>
          <w:tcPr>
            <w:tcW w:w="5974" w:type="dxa"/>
            <w:tcBorders>
              <w:top w:val="nil"/>
              <w:left w:val="single" w:sz="4" w:space="0" w:color="auto"/>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 xml:space="preserve">Montážní dělníci </w:t>
            </w:r>
            <w:proofErr w:type="spellStart"/>
            <w:r w:rsidRPr="00620597">
              <w:rPr>
                <w:rFonts w:cs="Arial"/>
                <w:color w:val="000000"/>
                <w:sz w:val="20"/>
                <w:szCs w:val="20"/>
              </w:rPr>
              <w:t>elektr</w:t>
            </w:r>
            <w:r w:rsidR="00766062">
              <w:rPr>
                <w:rFonts w:cs="Arial"/>
                <w:color w:val="000000"/>
                <w:sz w:val="20"/>
                <w:szCs w:val="20"/>
              </w:rPr>
              <w:t>ic</w:t>
            </w:r>
            <w:proofErr w:type="spellEnd"/>
            <w:r w:rsidR="00766062">
              <w:rPr>
                <w:rFonts w:cs="Arial"/>
                <w:color w:val="000000"/>
                <w:sz w:val="20"/>
                <w:szCs w:val="20"/>
              </w:rPr>
              <w:t>.</w:t>
            </w:r>
            <w:r w:rsidRPr="00620597">
              <w:rPr>
                <w:rFonts w:cs="Arial"/>
                <w:color w:val="000000"/>
                <w:sz w:val="20"/>
                <w:szCs w:val="20"/>
              </w:rPr>
              <w:t xml:space="preserve">, </w:t>
            </w:r>
            <w:proofErr w:type="spellStart"/>
            <w:r w:rsidRPr="00620597">
              <w:rPr>
                <w:rFonts w:cs="Arial"/>
                <w:color w:val="000000"/>
                <w:sz w:val="20"/>
                <w:szCs w:val="20"/>
              </w:rPr>
              <w:t>energetic</w:t>
            </w:r>
            <w:proofErr w:type="spellEnd"/>
            <w:r w:rsidR="00766062">
              <w:rPr>
                <w:rFonts w:cs="Arial"/>
                <w:color w:val="000000"/>
                <w:sz w:val="20"/>
                <w:szCs w:val="20"/>
              </w:rPr>
              <w:t>.</w:t>
            </w:r>
            <w:r w:rsidRPr="00620597">
              <w:rPr>
                <w:rFonts w:cs="Arial"/>
                <w:color w:val="000000"/>
                <w:sz w:val="20"/>
                <w:szCs w:val="20"/>
              </w:rPr>
              <w:t xml:space="preserve"> a </w:t>
            </w:r>
            <w:proofErr w:type="spellStart"/>
            <w:r w:rsidRPr="00620597">
              <w:rPr>
                <w:rFonts w:cs="Arial"/>
                <w:color w:val="000000"/>
                <w:sz w:val="20"/>
                <w:szCs w:val="20"/>
              </w:rPr>
              <w:t>elektronic</w:t>
            </w:r>
            <w:proofErr w:type="spellEnd"/>
            <w:r w:rsidR="00766062">
              <w:rPr>
                <w:rFonts w:cs="Arial"/>
                <w:color w:val="000000"/>
                <w:sz w:val="20"/>
                <w:szCs w:val="20"/>
              </w:rPr>
              <w:t>.</w:t>
            </w:r>
            <w:r w:rsidRPr="00620597">
              <w:rPr>
                <w:rFonts w:cs="Arial"/>
                <w:color w:val="000000"/>
                <w:sz w:val="20"/>
                <w:szCs w:val="20"/>
              </w:rPr>
              <w:t xml:space="preserve"> zařízení</w:t>
            </w:r>
          </w:p>
        </w:tc>
        <w:tc>
          <w:tcPr>
            <w:tcW w:w="853" w:type="dxa"/>
            <w:tcBorders>
              <w:top w:val="nil"/>
              <w:left w:val="nil"/>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3</w:t>
            </w:r>
            <w:r>
              <w:rPr>
                <w:rFonts w:cs="Arial"/>
                <w:color w:val="000000"/>
                <w:sz w:val="20"/>
                <w:szCs w:val="20"/>
              </w:rPr>
              <w:t xml:space="preserve"> </w:t>
            </w:r>
            <w:r w:rsidRPr="00620597">
              <w:rPr>
                <w:rFonts w:cs="Arial"/>
                <w:color w:val="000000"/>
                <w:sz w:val="20"/>
                <w:szCs w:val="20"/>
              </w:rPr>
              <w:t>041</w:t>
            </w:r>
          </w:p>
        </w:tc>
        <w:tc>
          <w:tcPr>
            <w:tcW w:w="711" w:type="dxa"/>
            <w:tcBorders>
              <w:top w:val="nil"/>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353</w:t>
            </w:r>
          </w:p>
        </w:tc>
        <w:tc>
          <w:tcPr>
            <w:tcW w:w="711" w:type="dxa"/>
            <w:tcBorders>
              <w:top w:val="nil"/>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0,1</w:t>
            </w:r>
          </w:p>
        </w:tc>
      </w:tr>
      <w:tr w:rsidR="00FC6987" w:rsidTr="00615826">
        <w:trPr>
          <w:trHeight w:val="111"/>
        </w:trPr>
        <w:tc>
          <w:tcPr>
            <w:tcW w:w="711" w:type="dxa"/>
            <w:tcBorders>
              <w:top w:val="nil"/>
              <w:left w:val="single" w:sz="4" w:space="0" w:color="auto"/>
              <w:bottom w:val="single" w:sz="4" w:space="0" w:color="auto"/>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8219</w:t>
            </w:r>
          </w:p>
        </w:tc>
        <w:tc>
          <w:tcPr>
            <w:tcW w:w="5974" w:type="dxa"/>
            <w:tcBorders>
              <w:top w:val="nil"/>
              <w:left w:val="single" w:sz="4" w:space="0" w:color="auto"/>
              <w:bottom w:val="single" w:sz="4" w:space="0" w:color="auto"/>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Montážní dělníci ostatních výrobků</w:t>
            </w:r>
          </w:p>
        </w:tc>
        <w:tc>
          <w:tcPr>
            <w:tcW w:w="853" w:type="dxa"/>
            <w:tcBorders>
              <w:top w:val="nil"/>
              <w:left w:val="nil"/>
              <w:bottom w:val="single" w:sz="4" w:space="0" w:color="auto"/>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4</w:t>
            </w:r>
            <w:r>
              <w:rPr>
                <w:rFonts w:cs="Arial"/>
                <w:color w:val="000000"/>
                <w:sz w:val="20"/>
                <w:szCs w:val="20"/>
              </w:rPr>
              <w:t xml:space="preserve"> </w:t>
            </w:r>
            <w:r w:rsidRPr="00620597">
              <w:rPr>
                <w:rFonts w:cs="Arial"/>
                <w:color w:val="000000"/>
                <w:sz w:val="20"/>
                <w:szCs w:val="20"/>
              </w:rPr>
              <w:t>513</w:t>
            </w:r>
          </w:p>
        </w:tc>
        <w:tc>
          <w:tcPr>
            <w:tcW w:w="711" w:type="dxa"/>
            <w:tcBorders>
              <w:top w:val="nil"/>
              <w:left w:val="nil"/>
              <w:bottom w:val="single" w:sz="4" w:space="0" w:color="auto"/>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2 193</w:t>
            </w:r>
          </w:p>
        </w:tc>
        <w:tc>
          <w:tcPr>
            <w:tcW w:w="711" w:type="dxa"/>
            <w:tcBorders>
              <w:top w:val="nil"/>
              <w:left w:val="nil"/>
              <w:bottom w:val="single" w:sz="4" w:space="0" w:color="auto"/>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0,5</w:t>
            </w:r>
          </w:p>
        </w:tc>
      </w:tr>
      <w:tr w:rsidR="00FC6987" w:rsidTr="00615826">
        <w:trPr>
          <w:trHeight w:val="111"/>
        </w:trPr>
        <w:tc>
          <w:tcPr>
            <w:tcW w:w="711" w:type="dxa"/>
            <w:tcBorders>
              <w:top w:val="nil"/>
              <w:left w:val="single" w:sz="4" w:space="0" w:color="auto"/>
              <w:bottom w:val="nil"/>
              <w:right w:val="nil"/>
            </w:tcBorders>
            <w:shd w:val="clear" w:color="auto" w:fill="F2DBDB" w:themeFill="accent2" w:themeFillTint="33"/>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833</w:t>
            </w:r>
          </w:p>
        </w:tc>
        <w:tc>
          <w:tcPr>
            <w:tcW w:w="5974" w:type="dxa"/>
            <w:tcBorders>
              <w:top w:val="nil"/>
              <w:left w:val="single" w:sz="4" w:space="0" w:color="auto"/>
              <w:bottom w:val="nil"/>
              <w:right w:val="single" w:sz="4" w:space="0" w:color="auto"/>
            </w:tcBorders>
            <w:shd w:val="clear" w:color="auto" w:fill="F2DBDB" w:themeFill="accent2" w:themeFillTint="33"/>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Řidiči nákladních automobilů, autobusů a tramvají</w:t>
            </w:r>
          </w:p>
        </w:tc>
        <w:tc>
          <w:tcPr>
            <w:tcW w:w="853" w:type="dxa"/>
            <w:tcBorders>
              <w:top w:val="nil"/>
              <w:left w:val="nil"/>
              <w:bottom w:val="nil"/>
              <w:right w:val="single" w:sz="4" w:space="0" w:color="auto"/>
            </w:tcBorders>
            <w:shd w:val="clear" w:color="auto" w:fill="F2DBDB" w:themeFill="accent2" w:themeFillTint="33"/>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b/>
                <w:color w:val="000000"/>
                <w:sz w:val="20"/>
                <w:szCs w:val="20"/>
              </w:rPr>
              <w:t>7 452</w:t>
            </w:r>
          </w:p>
        </w:tc>
        <w:tc>
          <w:tcPr>
            <w:tcW w:w="711" w:type="dxa"/>
            <w:tcBorders>
              <w:top w:val="nil"/>
              <w:left w:val="nil"/>
              <w:bottom w:val="nil"/>
              <w:right w:val="single" w:sz="4" w:space="0" w:color="auto"/>
            </w:tcBorders>
            <w:shd w:val="clear" w:color="auto" w:fill="F2DBDB" w:themeFill="accent2" w:themeFillTint="33"/>
            <w:vAlign w:val="center"/>
          </w:tcPr>
          <w:p w:rsidR="00FC6987" w:rsidRPr="00620597" w:rsidRDefault="00FC6987" w:rsidP="00696DB7">
            <w:pPr>
              <w:spacing w:line="240" w:lineRule="auto"/>
              <w:jc w:val="right"/>
              <w:rPr>
                <w:rFonts w:cs="Arial"/>
                <w:b/>
                <w:color w:val="000000"/>
                <w:sz w:val="20"/>
                <w:szCs w:val="20"/>
              </w:rPr>
            </w:pPr>
            <w:r w:rsidRPr="00645F2E">
              <w:rPr>
                <w:rFonts w:cs="Arial"/>
                <w:b/>
                <w:color w:val="000000"/>
                <w:sz w:val="20"/>
                <w:szCs w:val="20"/>
              </w:rPr>
              <w:t>3 207</w:t>
            </w:r>
          </w:p>
        </w:tc>
        <w:tc>
          <w:tcPr>
            <w:tcW w:w="711" w:type="dxa"/>
            <w:tcBorders>
              <w:top w:val="nil"/>
              <w:left w:val="nil"/>
              <w:bottom w:val="nil"/>
              <w:right w:val="single" w:sz="4" w:space="0" w:color="auto"/>
            </w:tcBorders>
            <w:shd w:val="clear" w:color="auto" w:fill="F2DBDB" w:themeFill="accent2" w:themeFillTint="33"/>
            <w:vAlign w:val="center"/>
          </w:tcPr>
          <w:p w:rsidR="00FC6987" w:rsidRPr="00FC6987" w:rsidRDefault="00FC6987" w:rsidP="00696DB7">
            <w:pPr>
              <w:spacing w:line="240" w:lineRule="auto"/>
              <w:jc w:val="center"/>
              <w:rPr>
                <w:b/>
                <w:sz w:val="20"/>
                <w:szCs w:val="20"/>
              </w:rPr>
            </w:pPr>
            <w:r w:rsidRPr="00FC6987">
              <w:rPr>
                <w:b/>
                <w:sz w:val="20"/>
                <w:szCs w:val="20"/>
              </w:rPr>
              <w:t>0,4</w:t>
            </w:r>
          </w:p>
        </w:tc>
      </w:tr>
      <w:tr w:rsidR="00FC6987" w:rsidTr="00615826">
        <w:trPr>
          <w:trHeight w:val="111"/>
        </w:trPr>
        <w:tc>
          <w:tcPr>
            <w:tcW w:w="711" w:type="dxa"/>
            <w:tcBorders>
              <w:top w:val="nil"/>
              <w:left w:val="single" w:sz="4" w:space="0" w:color="auto"/>
              <w:bottom w:val="nil"/>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8331</w:t>
            </w:r>
          </w:p>
        </w:tc>
        <w:tc>
          <w:tcPr>
            <w:tcW w:w="5974" w:type="dxa"/>
            <w:tcBorders>
              <w:top w:val="nil"/>
              <w:left w:val="single" w:sz="4" w:space="0" w:color="auto"/>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Řidiči autobusů, trolejbusů a tramvají</w:t>
            </w:r>
          </w:p>
        </w:tc>
        <w:tc>
          <w:tcPr>
            <w:tcW w:w="853" w:type="dxa"/>
            <w:tcBorders>
              <w:top w:val="nil"/>
              <w:left w:val="nil"/>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1</w:t>
            </w:r>
            <w:r>
              <w:rPr>
                <w:rFonts w:cs="Arial"/>
                <w:color w:val="000000"/>
                <w:sz w:val="20"/>
                <w:szCs w:val="20"/>
              </w:rPr>
              <w:t xml:space="preserve"> </w:t>
            </w:r>
            <w:r w:rsidRPr="00620597">
              <w:rPr>
                <w:rFonts w:cs="Arial"/>
                <w:color w:val="000000"/>
                <w:sz w:val="20"/>
                <w:szCs w:val="20"/>
              </w:rPr>
              <w:t>228</w:t>
            </w:r>
          </w:p>
        </w:tc>
        <w:tc>
          <w:tcPr>
            <w:tcW w:w="711" w:type="dxa"/>
            <w:tcBorders>
              <w:top w:val="nil"/>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217</w:t>
            </w:r>
          </w:p>
        </w:tc>
        <w:tc>
          <w:tcPr>
            <w:tcW w:w="711" w:type="dxa"/>
            <w:tcBorders>
              <w:top w:val="nil"/>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0,2</w:t>
            </w:r>
          </w:p>
        </w:tc>
      </w:tr>
      <w:tr w:rsidR="00FC6987" w:rsidTr="00615826">
        <w:trPr>
          <w:trHeight w:val="111"/>
        </w:trPr>
        <w:tc>
          <w:tcPr>
            <w:tcW w:w="711" w:type="dxa"/>
            <w:tcBorders>
              <w:top w:val="nil"/>
              <w:left w:val="single" w:sz="4" w:space="0" w:color="auto"/>
              <w:bottom w:val="single" w:sz="4" w:space="0" w:color="auto"/>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8332</w:t>
            </w:r>
          </w:p>
        </w:tc>
        <w:tc>
          <w:tcPr>
            <w:tcW w:w="5974" w:type="dxa"/>
            <w:tcBorders>
              <w:top w:val="nil"/>
              <w:left w:val="single" w:sz="4" w:space="0" w:color="auto"/>
              <w:bottom w:val="single" w:sz="4" w:space="0" w:color="auto"/>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Řidiči nákladních automobilů, tahačů a speciálních vozidel</w:t>
            </w:r>
          </w:p>
        </w:tc>
        <w:tc>
          <w:tcPr>
            <w:tcW w:w="853" w:type="dxa"/>
            <w:tcBorders>
              <w:top w:val="nil"/>
              <w:left w:val="nil"/>
              <w:bottom w:val="single" w:sz="4" w:space="0" w:color="auto"/>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6</w:t>
            </w:r>
            <w:r>
              <w:rPr>
                <w:rFonts w:cs="Arial"/>
                <w:color w:val="000000"/>
                <w:sz w:val="20"/>
                <w:szCs w:val="20"/>
              </w:rPr>
              <w:t xml:space="preserve"> </w:t>
            </w:r>
            <w:r w:rsidRPr="00620597">
              <w:rPr>
                <w:rFonts w:cs="Arial"/>
                <w:color w:val="000000"/>
                <w:sz w:val="20"/>
                <w:szCs w:val="20"/>
              </w:rPr>
              <w:t>143</w:t>
            </w:r>
          </w:p>
        </w:tc>
        <w:tc>
          <w:tcPr>
            <w:tcW w:w="711" w:type="dxa"/>
            <w:tcBorders>
              <w:top w:val="nil"/>
              <w:left w:val="nil"/>
              <w:bottom w:val="single" w:sz="4" w:space="0" w:color="auto"/>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2 536</w:t>
            </w:r>
          </w:p>
        </w:tc>
        <w:tc>
          <w:tcPr>
            <w:tcW w:w="711" w:type="dxa"/>
            <w:tcBorders>
              <w:top w:val="nil"/>
              <w:left w:val="nil"/>
              <w:bottom w:val="single" w:sz="4" w:space="0" w:color="auto"/>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0,4</w:t>
            </w:r>
          </w:p>
        </w:tc>
      </w:tr>
      <w:tr w:rsidR="00FC6987" w:rsidRPr="00FC6987" w:rsidTr="00FC6987">
        <w:trPr>
          <w:trHeight w:val="111"/>
        </w:trPr>
        <w:tc>
          <w:tcPr>
            <w:tcW w:w="711" w:type="dxa"/>
            <w:tcBorders>
              <w:top w:val="single" w:sz="4" w:space="0" w:color="auto"/>
              <w:left w:val="single" w:sz="4" w:space="0" w:color="auto"/>
              <w:bottom w:val="nil"/>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722</w:t>
            </w:r>
          </w:p>
        </w:tc>
        <w:tc>
          <w:tcPr>
            <w:tcW w:w="5974"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Kováři, nástrojaři a příbuzní pracovníci</w:t>
            </w:r>
          </w:p>
        </w:tc>
        <w:tc>
          <w:tcPr>
            <w:tcW w:w="853"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b/>
                <w:color w:val="000000"/>
                <w:sz w:val="20"/>
                <w:szCs w:val="20"/>
              </w:rPr>
              <w:t>7 424</w:t>
            </w:r>
          </w:p>
        </w:tc>
        <w:tc>
          <w:tcPr>
            <w:tcW w:w="711" w:type="dxa"/>
            <w:tcBorders>
              <w:top w:val="single" w:sz="4" w:space="0" w:color="auto"/>
              <w:left w:val="nil"/>
              <w:bottom w:val="nil"/>
              <w:right w:val="single" w:sz="4" w:space="0" w:color="auto"/>
            </w:tcBorders>
            <w:vAlign w:val="center"/>
          </w:tcPr>
          <w:p w:rsidR="00FC6987" w:rsidRPr="00620597" w:rsidRDefault="00FC6987" w:rsidP="00696DB7">
            <w:pPr>
              <w:spacing w:line="240" w:lineRule="auto"/>
              <w:jc w:val="right"/>
              <w:rPr>
                <w:rFonts w:cs="Arial"/>
                <w:b/>
                <w:color w:val="000000"/>
                <w:sz w:val="20"/>
                <w:szCs w:val="20"/>
              </w:rPr>
            </w:pPr>
            <w:r w:rsidRPr="00645F2E">
              <w:rPr>
                <w:rFonts w:cs="Arial"/>
                <w:b/>
                <w:color w:val="000000"/>
                <w:sz w:val="20"/>
                <w:szCs w:val="20"/>
              </w:rPr>
              <w:t>7 115</w:t>
            </w:r>
          </w:p>
        </w:tc>
        <w:tc>
          <w:tcPr>
            <w:tcW w:w="711" w:type="dxa"/>
            <w:tcBorders>
              <w:top w:val="single" w:sz="4" w:space="0" w:color="auto"/>
              <w:left w:val="nil"/>
              <w:bottom w:val="nil"/>
              <w:right w:val="single" w:sz="4" w:space="0" w:color="auto"/>
            </w:tcBorders>
            <w:vAlign w:val="center"/>
          </w:tcPr>
          <w:p w:rsidR="00FC6987" w:rsidRPr="00FC6987" w:rsidRDefault="00FC6987" w:rsidP="00696DB7">
            <w:pPr>
              <w:spacing w:line="240" w:lineRule="auto"/>
              <w:jc w:val="center"/>
              <w:rPr>
                <w:b/>
                <w:sz w:val="20"/>
                <w:szCs w:val="20"/>
              </w:rPr>
            </w:pPr>
            <w:r w:rsidRPr="00FC6987">
              <w:rPr>
                <w:b/>
                <w:sz w:val="20"/>
                <w:szCs w:val="20"/>
              </w:rPr>
              <w:t>1,0</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7221</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Kováři</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81</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126</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1,6</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7222</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Nástrojaři a příbuzní pracovníci</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3 406</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5 392</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1,6</w:t>
            </w:r>
          </w:p>
        </w:tc>
      </w:tr>
      <w:tr w:rsidR="00FC6987" w:rsidTr="00615826">
        <w:trPr>
          <w:trHeight w:val="111"/>
        </w:trPr>
        <w:tc>
          <w:tcPr>
            <w:tcW w:w="711" w:type="dxa"/>
            <w:tcBorders>
              <w:top w:val="nil"/>
              <w:left w:val="single" w:sz="4" w:space="0" w:color="auto"/>
              <w:bottom w:val="nil"/>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7223</w:t>
            </w:r>
          </w:p>
        </w:tc>
        <w:tc>
          <w:tcPr>
            <w:tcW w:w="5974" w:type="dxa"/>
            <w:tcBorders>
              <w:top w:val="nil"/>
              <w:left w:val="single" w:sz="4" w:space="0" w:color="auto"/>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Seřizovači a obsluha obráběcích strojů (kromě dřevoobráběcích)</w:t>
            </w:r>
          </w:p>
        </w:tc>
        <w:tc>
          <w:tcPr>
            <w:tcW w:w="853" w:type="dxa"/>
            <w:tcBorders>
              <w:top w:val="nil"/>
              <w:left w:val="nil"/>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3 040</w:t>
            </w:r>
          </w:p>
        </w:tc>
        <w:tc>
          <w:tcPr>
            <w:tcW w:w="711" w:type="dxa"/>
            <w:tcBorders>
              <w:top w:val="nil"/>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1 354</w:t>
            </w:r>
          </w:p>
        </w:tc>
        <w:tc>
          <w:tcPr>
            <w:tcW w:w="711" w:type="dxa"/>
            <w:tcBorders>
              <w:top w:val="nil"/>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0,4</w:t>
            </w:r>
          </w:p>
        </w:tc>
      </w:tr>
      <w:tr w:rsidR="00FC6987" w:rsidTr="00615826">
        <w:trPr>
          <w:trHeight w:val="111"/>
        </w:trPr>
        <w:tc>
          <w:tcPr>
            <w:tcW w:w="711" w:type="dxa"/>
            <w:tcBorders>
              <w:top w:val="nil"/>
              <w:left w:val="single" w:sz="4" w:space="0" w:color="auto"/>
              <w:bottom w:val="single" w:sz="4" w:space="0" w:color="auto"/>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7224</w:t>
            </w:r>
          </w:p>
        </w:tc>
        <w:tc>
          <w:tcPr>
            <w:tcW w:w="5974" w:type="dxa"/>
            <w:tcBorders>
              <w:top w:val="nil"/>
              <w:left w:val="single" w:sz="4" w:space="0" w:color="auto"/>
              <w:bottom w:val="single" w:sz="4" w:space="0" w:color="auto"/>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Brusiči, leštiči a ostřiči nástrojů a kovů</w:t>
            </w:r>
          </w:p>
        </w:tc>
        <w:tc>
          <w:tcPr>
            <w:tcW w:w="853" w:type="dxa"/>
            <w:tcBorders>
              <w:top w:val="nil"/>
              <w:left w:val="nil"/>
              <w:bottom w:val="single" w:sz="4" w:space="0" w:color="auto"/>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884</w:t>
            </w:r>
          </w:p>
        </w:tc>
        <w:tc>
          <w:tcPr>
            <w:tcW w:w="711" w:type="dxa"/>
            <w:tcBorders>
              <w:top w:val="nil"/>
              <w:left w:val="nil"/>
              <w:bottom w:val="single" w:sz="4" w:space="0" w:color="auto"/>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209</w:t>
            </w:r>
          </w:p>
        </w:tc>
        <w:tc>
          <w:tcPr>
            <w:tcW w:w="711" w:type="dxa"/>
            <w:tcBorders>
              <w:top w:val="nil"/>
              <w:left w:val="nil"/>
              <w:bottom w:val="single" w:sz="4" w:space="0" w:color="auto"/>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0,2</w:t>
            </w:r>
          </w:p>
        </w:tc>
      </w:tr>
      <w:tr w:rsidR="00FC6987" w:rsidTr="00615826">
        <w:trPr>
          <w:trHeight w:val="111"/>
        </w:trPr>
        <w:tc>
          <w:tcPr>
            <w:tcW w:w="711" w:type="dxa"/>
            <w:tcBorders>
              <w:top w:val="nil"/>
              <w:left w:val="single" w:sz="4" w:space="0" w:color="auto"/>
              <w:bottom w:val="nil"/>
              <w:right w:val="nil"/>
            </w:tcBorders>
            <w:shd w:val="clear" w:color="auto" w:fill="F2DBDB" w:themeFill="accent2" w:themeFillTint="33"/>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931</w:t>
            </w:r>
          </w:p>
        </w:tc>
        <w:tc>
          <w:tcPr>
            <w:tcW w:w="5974" w:type="dxa"/>
            <w:tcBorders>
              <w:top w:val="nil"/>
              <w:left w:val="single" w:sz="4" w:space="0" w:color="auto"/>
              <w:bottom w:val="nil"/>
              <w:right w:val="single" w:sz="4" w:space="0" w:color="auto"/>
            </w:tcBorders>
            <w:shd w:val="clear" w:color="auto" w:fill="F2DBDB" w:themeFill="accent2" w:themeFillTint="33"/>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Pomocní pracovníci v oblasti těžby a stavebnictví</w:t>
            </w:r>
          </w:p>
        </w:tc>
        <w:tc>
          <w:tcPr>
            <w:tcW w:w="853" w:type="dxa"/>
            <w:tcBorders>
              <w:top w:val="nil"/>
              <w:left w:val="nil"/>
              <w:bottom w:val="nil"/>
              <w:right w:val="single" w:sz="4" w:space="0" w:color="auto"/>
            </w:tcBorders>
            <w:shd w:val="clear" w:color="auto" w:fill="F2DBDB" w:themeFill="accent2" w:themeFillTint="33"/>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b/>
                <w:color w:val="000000"/>
                <w:sz w:val="20"/>
                <w:szCs w:val="20"/>
              </w:rPr>
              <w:t>4 871</w:t>
            </w:r>
          </w:p>
        </w:tc>
        <w:tc>
          <w:tcPr>
            <w:tcW w:w="711" w:type="dxa"/>
            <w:tcBorders>
              <w:top w:val="nil"/>
              <w:left w:val="nil"/>
              <w:bottom w:val="nil"/>
              <w:right w:val="single" w:sz="4" w:space="0" w:color="auto"/>
            </w:tcBorders>
            <w:shd w:val="clear" w:color="auto" w:fill="F2DBDB" w:themeFill="accent2" w:themeFillTint="33"/>
            <w:vAlign w:val="center"/>
          </w:tcPr>
          <w:p w:rsidR="00FC6987" w:rsidRPr="00620597" w:rsidRDefault="00FC6987" w:rsidP="00696DB7">
            <w:pPr>
              <w:spacing w:line="240" w:lineRule="auto"/>
              <w:jc w:val="right"/>
              <w:rPr>
                <w:rFonts w:cs="Arial"/>
                <w:b/>
                <w:color w:val="000000"/>
                <w:sz w:val="20"/>
                <w:szCs w:val="20"/>
              </w:rPr>
            </w:pPr>
            <w:r w:rsidRPr="00645F2E">
              <w:rPr>
                <w:rFonts w:cs="Arial"/>
                <w:b/>
                <w:color w:val="000000"/>
                <w:sz w:val="20"/>
                <w:szCs w:val="20"/>
              </w:rPr>
              <w:t>4 553</w:t>
            </w:r>
          </w:p>
        </w:tc>
        <w:tc>
          <w:tcPr>
            <w:tcW w:w="711" w:type="dxa"/>
            <w:tcBorders>
              <w:top w:val="nil"/>
              <w:left w:val="nil"/>
              <w:bottom w:val="nil"/>
              <w:right w:val="single" w:sz="4" w:space="0" w:color="auto"/>
            </w:tcBorders>
            <w:shd w:val="clear" w:color="auto" w:fill="F2DBDB" w:themeFill="accent2" w:themeFillTint="33"/>
            <w:vAlign w:val="center"/>
          </w:tcPr>
          <w:p w:rsidR="00FC6987" w:rsidRPr="00FC6987" w:rsidRDefault="00FC6987" w:rsidP="00696DB7">
            <w:pPr>
              <w:spacing w:line="240" w:lineRule="auto"/>
              <w:jc w:val="center"/>
              <w:rPr>
                <w:b/>
                <w:sz w:val="20"/>
                <w:szCs w:val="20"/>
              </w:rPr>
            </w:pPr>
            <w:r w:rsidRPr="00FC6987">
              <w:rPr>
                <w:b/>
                <w:sz w:val="20"/>
                <w:szCs w:val="20"/>
              </w:rPr>
              <w:t>0,9</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9311</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Pomocní pracovníci v oblasti těžby</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12</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103</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8,6</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9312</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Figuranti, dělníci výkopových prací a dělníci v oblasti výstavby inženýrských děl</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180</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451</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2,5</w:t>
            </w:r>
          </w:p>
        </w:tc>
      </w:tr>
      <w:tr w:rsidR="00FC6987" w:rsidTr="00766062">
        <w:trPr>
          <w:trHeight w:val="111"/>
        </w:trPr>
        <w:tc>
          <w:tcPr>
            <w:tcW w:w="711" w:type="dxa"/>
            <w:tcBorders>
              <w:top w:val="nil"/>
              <w:left w:val="single" w:sz="4" w:space="0" w:color="auto"/>
              <w:bottom w:val="single" w:sz="4" w:space="0" w:color="auto"/>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9313</w:t>
            </w:r>
          </w:p>
        </w:tc>
        <w:tc>
          <w:tcPr>
            <w:tcW w:w="5974" w:type="dxa"/>
            <w:tcBorders>
              <w:top w:val="nil"/>
              <w:left w:val="single" w:sz="4" w:space="0" w:color="auto"/>
              <w:bottom w:val="single" w:sz="4" w:space="0" w:color="auto"/>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Dělníci v oblasti výstavby budov</w:t>
            </w:r>
          </w:p>
        </w:tc>
        <w:tc>
          <w:tcPr>
            <w:tcW w:w="853" w:type="dxa"/>
            <w:tcBorders>
              <w:top w:val="nil"/>
              <w:left w:val="nil"/>
              <w:bottom w:val="single" w:sz="4" w:space="0" w:color="auto"/>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4 566</w:t>
            </w:r>
          </w:p>
        </w:tc>
        <w:tc>
          <w:tcPr>
            <w:tcW w:w="711" w:type="dxa"/>
            <w:tcBorders>
              <w:top w:val="nil"/>
              <w:left w:val="nil"/>
              <w:bottom w:val="single" w:sz="4" w:space="0" w:color="auto"/>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3 056</w:t>
            </w:r>
          </w:p>
        </w:tc>
        <w:tc>
          <w:tcPr>
            <w:tcW w:w="711" w:type="dxa"/>
            <w:tcBorders>
              <w:top w:val="nil"/>
              <w:left w:val="nil"/>
              <w:bottom w:val="single" w:sz="4" w:space="0" w:color="auto"/>
              <w:right w:val="single" w:sz="4" w:space="0" w:color="auto"/>
            </w:tcBorders>
            <w:shd w:val="clear" w:color="auto" w:fill="FAF0F0"/>
            <w:vAlign w:val="center"/>
          </w:tcPr>
          <w:p w:rsidR="00FC6987" w:rsidRPr="00766062" w:rsidRDefault="00FC6987" w:rsidP="00696DB7">
            <w:pPr>
              <w:spacing w:line="240" w:lineRule="auto"/>
              <w:jc w:val="center"/>
              <w:rPr>
                <w:rFonts w:cs="Arial"/>
                <w:color w:val="000000"/>
                <w:sz w:val="20"/>
                <w:szCs w:val="20"/>
              </w:rPr>
            </w:pPr>
            <w:r w:rsidRPr="00766062">
              <w:rPr>
                <w:rFonts w:cs="Arial"/>
                <w:color w:val="000000"/>
                <w:sz w:val="20"/>
                <w:szCs w:val="20"/>
              </w:rPr>
              <w:t>0,7</w:t>
            </w:r>
          </w:p>
        </w:tc>
      </w:tr>
      <w:tr w:rsidR="00FC6987" w:rsidTr="00FC6987">
        <w:trPr>
          <w:trHeight w:val="111"/>
        </w:trPr>
        <w:tc>
          <w:tcPr>
            <w:tcW w:w="711" w:type="dxa"/>
            <w:tcBorders>
              <w:top w:val="nil"/>
              <w:left w:val="single" w:sz="4" w:space="0" w:color="auto"/>
              <w:bottom w:val="nil"/>
              <w:right w:val="nil"/>
            </w:tcBorders>
            <w:shd w:val="clear" w:color="auto" w:fill="auto"/>
            <w:noWrap/>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541</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Pracovníci v oblasti ochrany a ostrahy</w:t>
            </w:r>
          </w:p>
        </w:tc>
        <w:tc>
          <w:tcPr>
            <w:tcW w:w="853"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b/>
                <w:color w:val="000000"/>
                <w:sz w:val="20"/>
                <w:szCs w:val="20"/>
              </w:rPr>
              <w:t>4 752</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b/>
                <w:color w:val="000000"/>
                <w:sz w:val="20"/>
                <w:szCs w:val="20"/>
              </w:rPr>
            </w:pPr>
            <w:r w:rsidRPr="00645F2E">
              <w:rPr>
                <w:rFonts w:cs="Arial"/>
                <w:b/>
                <w:color w:val="000000"/>
                <w:sz w:val="20"/>
                <w:szCs w:val="20"/>
              </w:rPr>
              <w:t>14 905</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b/>
                <w:sz w:val="20"/>
                <w:szCs w:val="20"/>
              </w:rPr>
            </w:pPr>
            <w:r w:rsidRPr="00FC6987">
              <w:rPr>
                <w:b/>
                <w:sz w:val="20"/>
                <w:szCs w:val="20"/>
              </w:rPr>
              <w:t>3,1</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5411</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 xml:space="preserve">Příslušníci </w:t>
            </w:r>
            <w:r w:rsidR="00766062">
              <w:rPr>
                <w:rFonts w:cs="Arial"/>
                <w:color w:val="000000"/>
                <w:sz w:val="20"/>
                <w:szCs w:val="20"/>
              </w:rPr>
              <w:t>HZS</w:t>
            </w:r>
            <w:r w:rsidRPr="00620597">
              <w:rPr>
                <w:rFonts w:cs="Arial"/>
                <w:color w:val="000000"/>
                <w:sz w:val="20"/>
                <w:szCs w:val="20"/>
              </w:rPr>
              <w:t xml:space="preserve"> ČR a hasiči ostatních jednotek požární ochrany</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9</w:t>
            </w:r>
          </w:p>
        </w:tc>
        <w:tc>
          <w:tcPr>
            <w:tcW w:w="711" w:type="dxa"/>
            <w:tcBorders>
              <w:top w:val="nil"/>
              <w:left w:val="nil"/>
              <w:bottom w:val="nil"/>
              <w:right w:val="single" w:sz="4" w:space="0" w:color="auto"/>
            </w:tcBorders>
            <w:vAlign w:val="center"/>
          </w:tcPr>
          <w:p w:rsidR="00FC6987" w:rsidRPr="00645F2E" w:rsidRDefault="00FC6987" w:rsidP="00696DB7">
            <w:pPr>
              <w:spacing w:line="240" w:lineRule="auto"/>
              <w:jc w:val="right"/>
              <w:rPr>
                <w:rFonts w:cs="Arial"/>
                <w:sz w:val="20"/>
                <w:szCs w:val="20"/>
              </w:rPr>
            </w:pPr>
            <w:r>
              <w:rPr>
                <w:rFonts w:cs="Arial"/>
                <w:sz w:val="20"/>
                <w:szCs w:val="20"/>
              </w:rPr>
              <w:t>173</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19,2</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5412</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Policisté</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475</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710</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1,5</w:t>
            </w:r>
          </w:p>
        </w:tc>
      </w:tr>
      <w:tr w:rsidR="00FC6987" w:rsidTr="00615826">
        <w:trPr>
          <w:trHeight w:val="111"/>
        </w:trPr>
        <w:tc>
          <w:tcPr>
            <w:tcW w:w="711" w:type="dxa"/>
            <w:tcBorders>
              <w:top w:val="nil"/>
              <w:left w:val="single" w:sz="4" w:space="0" w:color="auto"/>
              <w:bottom w:val="nil"/>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5413</w:t>
            </w:r>
          </w:p>
        </w:tc>
        <w:tc>
          <w:tcPr>
            <w:tcW w:w="5974" w:type="dxa"/>
            <w:tcBorders>
              <w:top w:val="nil"/>
              <w:left w:val="single" w:sz="4" w:space="0" w:color="auto"/>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Pracovníci vězeňské služby</w:t>
            </w:r>
          </w:p>
        </w:tc>
        <w:tc>
          <w:tcPr>
            <w:tcW w:w="853" w:type="dxa"/>
            <w:tcBorders>
              <w:top w:val="nil"/>
              <w:left w:val="nil"/>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104</w:t>
            </w:r>
          </w:p>
        </w:tc>
        <w:tc>
          <w:tcPr>
            <w:tcW w:w="711" w:type="dxa"/>
            <w:tcBorders>
              <w:top w:val="nil"/>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30</w:t>
            </w:r>
          </w:p>
        </w:tc>
        <w:tc>
          <w:tcPr>
            <w:tcW w:w="711" w:type="dxa"/>
            <w:tcBorders>
              <w:top w:val="nil"/>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0,3</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5414</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Pracovníci ostrahy a bezpečnostních agentur</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3 958</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13 242</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3,3</w:t>
            </w:r>
          </w:p>
        </w:tc>
      </w:tr>
      <w:tr w:rsidR="00FC6987" w:rsidTr="00FC6987">
        <w:trPr>
          <w:trHeight w:val="111"/>
        </w:trPr>
        <w:tc>
          <w:tcPr>
            <w:tcW w:w="711"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5419</w:t>
            </w:r>
          </w:p>
        </w:tc>
        <w:tc>
          <w:tcPr>
            <w:tcW w:w="59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Pracovníci v oblasti ochrany a ostrahy jinde neuvedení</w:t>
            </w:r>
          </w:p>
        </w:tc>
        <w:tc>
          <w:tcPr>
            <w:tcW w:w="85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160</w:t>
            </w:r>
          </w:p>
        </w:tc>
        <w:tc>
          <w:tcPr>
            <w:tcW w:w="711" w:type="dxa"/>
            <w:tcBorders>
              <w:top w:val="nil"/>
              <w:left w:val="nil"/>
              <w:bottom w:val="single" w:sz="4" w:space="0" w:color="auto"/>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561</w:t>
            </w:r>
          </w:p>
        </w:tc>
        <w:tc>
          <w:tcPr>
            <w:tcW w:w="711" w:type="dxa"/>
            <w:tcBorders>
              <w:top w:val="nil"/>
              <w:left w:val="nil"/>
              <w:bottom w:val="single" w:sz="4" w:space="0" w:color="auto"/>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3,5</w:t>
            </w:r>
          </w:p>
        </w:tc>
      </w:tr>
      <w:tr w:rsidR="00FC6987" w:rsidTr="00615826">
        <w:trPr>
          <w:trHeight w:val="111"/>
        </w:trPr>
        <w:tc>
          <w:tcPr>
            <w:tcW w:w="711" w:type="dxa"/>
            <w:tcBorders>
              <w:top w:val="single" w:sz="4" w:space="0" w:color="auto"/>
              <w:left w:val="single" w:sz="4" w:space="0" w:color="auto"/>
              <w:bottom w:val="nil"/>
              <w:right w:val="nil"/>
            </w:tcBorders>
            <w:shd w:val="clear" w:color="auto" w:fill="F2DBDB" w:themeFill="accent2" w:themeFillTint="33"/>
            <w:noWrap/>
            <w:tcMar>
              <w:top w:w="15" w:type="dxa"/>
              <w:left w:w="15" w:type="dxa"/>
              <w:bottom w:w="0" w:type="dxa"/>
              <w:right w:w="15" w:type="dxa"/>
            </w:tcMar>
            <w:vAlign w:val="center"/>
          </w:tcPr>
          <w:p w:rsidR="00FC6987" w:rsidRPr="00620597" w:rsidRDefault="00FC6987" w:rsidP="00696DB7">
            <w:pPr>
              <w:spacing w:line="240" w:lineRule="auto"/>
              <w:rPr>
                <w:rFonts w:cs="Arial"/>
                <w:b/>
                <w:bCs/>
                <w:color w:val="000000"/>
                <w:sz w:val="20"/>
                <w:szCs w:val="20"/>
              </w:rPr>
            </w:pPr>
            <w:r w:rsidRPr="00620597">
              <w:rPr>
                <w:rFonts w:cs="Arial"/>
                <w:b/>
                <w:color w:val="000000"/>
                <w:sz w:val="20"/>
                <w:szCs w:val="20"/>
              </w:rPr>
              <w:t>721</w:t>
            </w:r>
          </w:p>
        </w:tc>
        <w:tc>
          <w:tcPr>
            <w:tcW w:w="5974" w:type="dxa"/>
            <w:tcBorders>
              <w:top w:val="single" w:sz="4" w:space="0" w:color="auto"/>
              <w:left w:val="single" w:sz="4" w:space="0" w:color="auto"/>
              <w:bottom w:val="nil"/>
              <w:right w:val="single" w:sz="4" w:space="0" w:color="auto"/>
            </w:tcBorders>
            <w:shd w:val="clear" w:color="auto" w:fill="F2DBDB" w:themeFill="accent2" w:themeFillTint="33"/>
            <w:tcMar>
              <w:top w:w="15" w:type="dxa"/>
              <w:left w:w="15" w:type="dxa"/>
              <w:bottom w:w="0" w:type="dxa"/>
              <w:right w:w="15" w:type="dxa"/>
            </w:tcMar>
            <w:vAlign w:val="center"/>
          </w:tcPr>
          <w:p w:rsidR="00FC6987" w:rsidRPr="00620597" w:rsidRDefault="00FC6987" w:rsidP="00696DB7">
            <w:pPr>
              <w:spacing w:line="240" w:lineRule="auto"/>
              <w:rPr>
                <w:rFonts w:cs="Arial"/>
                <w:b/>
                <w:bCs/>
                <w:color w:val="000000"/>
                <w:sz w:val="20"/>
                <w:szCs w:val="20"/>
              </w:rPr>
            </w:pPr>
            <w:r w:rsidRPr="00620597">
              <w:rPr>
                <w:rFonts w:cs="Arial"/>
                <w:b/>
                <w:color w:val="000000"/>
                <w:sz w:val="20"/>
                <w:szCs w:val="20"/>
              </w:rPr>
              <w:t>Slévači, svářeči a příbuzní pracovníci</w:t>
            </w:r>
          </w:p>
        </w:tc>
        <w:tc>
          <w:tcPr>
            <w:tcW w:w="853" w:type="dxa"/>
            <w:tcBorders>
              <w:top w:val="single" w:sz="4" w:space="0" w:color="auto"/>
              <w:left w:val="nil"/>
              <w:bottom w:val="nil"/>
              <w:right w:val="single" w:sz="4" w:space="0" w:color="auto"/>
            </w:tcBorders>
            <w:shd w:val="clear" w:color="auto" w:fill="F2DBDB" w:themeFill="accent2" w:themeFillTint="33"/>
            <w:noWrap/>
            <w:tcMar>
              <w:top w:w="15" w:type="dxa"/>
              <w:left w:w="15" w:type="dxa"/>
              <w:bottom w:w="0" w:type="dxa"/>
              <w:right w:w="15" w:type="dxa"/>
            </w:tcMar>
            <w:vAlign w:val="center"/>
          </w:tcPr>
          <w:p w:rsidR="00FC6987" w:rsidRPr="00620597" w:rsidRDefault="00FC6987" w:rsidP="00696DB7">
            <w:pPr>
              <w:spacing w:line="240" w:lineRule="auto"/>
              <w:jc w:val="right"/>
              <w:rPr>
                <w:rFonts w:cs="Arial"/>
                <w:b/>
                <w:bCs/>
                <w:color w:val="000000"/>
                <w:sz w:val="20"/>
                <w:szCs w:val="20"/>
              </w:rPr>
            </w:pPr>
            <w:r w:rsidRPr="00620597">
              <w:rPr>
                <w:rFonts w:cs="Arial"/>
                <w:b/>
                <w:color w:val="000000"/>
                <w:sz w:val="20"/>
                <w:szCs w:val="20"/>
              </w:rPr>
              <w:t>4 650</w:t>
            </w:r>
          </w:p>
        </w:tc>
        <w:tc>
          <w:tcPr>
            <w:tcW w:w="711" w:type="dxa"/>
            <w:tcBorders>
              <w:top w:val="single" w:sz="4" w:space="0" w:color="auto"/>
              <w:left w:val="nil"/>
              <w:bottom w:val="nil"/>
              <w:right w:val="single" w:sz="4" w:space="0" w:color="auto"/>
            </w:tcBorders>
            <w:shd w:val="clear" w:color="auto" w:fill="F2DBDB" w:themeFill="accent2" w:themeFillTint="33"/>
            <w:vAlign w:val="center"/>
          </w:tcPr>
          <w:p w:rsidR="00FC6987" w:rsidRPr="00620597" w:rsidRDefault="00FC6987" w:rsidP="00696DB7">
            <w:pPr>
              <w:spacing w:line="240" w:lineRule="auto"/>
              <w:jc w:val="right"/>
              <w:rPr>
                <w:rFonts w:cs="Arial"/>
                <w:b/>
                <w:color w:val="000000"/>
                <w:sz w:val="20"/>
                <w:szCs w:val="20"/>
              </w:rPr>
            </w:pPr>
            <w:r>
              <w:rPr>
                <w:rFonts w:cs="Arial"/>
                <w:b/>
                <w:color w:val="000000"/>
                <w:sz w:val="20"/>
                <w:szCs w:val="20"/>
              </w:rPr>
              <w:t>2 003</w:t>
            </w:r>
          </w:p>
        </w:tc>
        <w:tc>
          <w:tcPr>
            <w:tcW w:w="711" w:type="dxa"/>
            <w:tcBorders>
              <w:top w:val="single" w:sz="4" w:space="0" w:color="auto"/>
              <w:left w:val="nil"/>
              <w:bottom w:val="nil"/>
              <w:right w:val="single" w:sz="4" w:space="0" w:color="auto"/>
            </w:tcBorders>
            <w:shd w:val="clear" w:color="auto" w:fill="F2DBDB" w:themeFill="accent2" w:themeFillTint="33"/>
            <w:vAlign w:val="center"/>
          </w:tcPr>
          <w:p w:rsidR="00FC6987" w:rsidRPr="00FC6987" w:rsidRDefault="00FC6987" w:rsidP="00696DB7">
            <w:pPr>
              <w:spacing w:line="240" w:lineRule="auto"/>
              <w:jc w:val="center"/>
              <w:rPr>
                <w:b/>
                <w:sz w:val="20"/>
                <w:szCs w:val="20"/>
              </w:rPr>
            </w:pPr>
            <w:r w:rsidRPr="00FC6987">
              <w:rPr>
                <w:b/>
                <w:sz w:val="20"/>
                <w:szCs w:val="20"/>
              </w:rPr>
              <w:t>0,4</w:t>
            </w:r>
          </w:p>
        </w:tc>
      </w:tr>
      <w:tr w:rsidR="00FC6987" w:rsidTr="00615826">
        <w:trPr>
          <w:trHeight w:val="111"/>
        </w:trPr>
        <w:tc>
          <w:tcPr>
            <w:tcW w:w="711" w:type="dxa"/>
            <w:tcBorders>
              <w:left w:val="single" w:sz="4" w:space="0" w:color="auto"/>
              <w:bottom w:val="nil"/>
              <w:right w:val="nil"/>
            </w:tcBorders>
            <w:shd w:val="clear" w:color="auto" w:fill="FAF0F0"/>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7211</w:t>
            </w:r>
          </w:p>
        </w:tc>
        <w:tc>
          <w:tcPr>
            <w:tcW w:w="5974" w:type="dxa"/>
            <w:tcBorders>
              <w:left w:val="single" w:sz="4" w:space="0" w:color="auto"/>
              <w:bottom w:val="nil"/>
              <w:right w:val="single" w:sz="4" w:space="0" w:color="auto"/>
            </w:tcBorders>
            <w:shd w:val="clear" w:color="auto" w:fill="FAF0F0"/>
            <w:tcMar>
              <w:top w:w="15" w:type="dxa"/>
              <w:left w:w="15" w:type="dxa"/>
              <w:bottom w:w="0" w:type="dxa"/>
              <w:right w:w="15" w:type="dxa"/>
            </w:tcMar>
            <w:vAlign w:val="center"/>
          </w:tcPr>
          <w:p w:rsidR="00FC6987" w:rsidRPr="00620597" w:rsidRDefault="00FC6987" w:rsidP="00696DB7">
            <w:pPr>
              <w:spacing w:line="240" w:lineRule="auto"/>
              <w:jc w:val="left"/>
              <w:rPr>
                <w:rFonts w:cs="Arial"/>
                <w:color w:val="000000"/>
                <w:sz w:val="20"/>
                <w:szCs w:val="20"/>
              </w:rPr>
            </w:pPr>
            <w:r w:rsidRPr="00620597">
              <w:rPr>
                <w:rFonts w:cs="Arial"/>
                <w:color w:val="000000"/>
                <w:sz w:val="20"/>
                <w:szCs w:val="20"/>
              </w:rPr>
              <w:t>Modeláři, formíři, jádraři a slévači ve slévárnách</w:t>
            </w:r>
          </w:p>
        </w:tc>
        <w:tc>
          <w:tcPr>
            <w:tcW w:w="853" w:type="dxa"/>
            <w:tcBorders>
              <w:left w:val="nil"/>
              <w:bottom w:val="nil"/>
              <w:right w:val="single" w:sz="4" w:space="0" w:color="auto"/>
            </w:tcBorders>
            <w:shd w:val="clear" w:color="auto" w:fill="FAF0F0"/>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244</w:t>
            </w:r>
          </w:p>
        </w:tc>
        <w:tc>
          <w:tcPr>
            <w:tcW w:w="711" w:type="dxa"/>
            <w:tcBorders>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84</w:t>
            </w:r>
          </w:p>
        </w:tc>
        <w:tc>
          <w:tcPr>
            <w:tcW w:w="711" w:type="dxa"/>
            <w:tcBorders>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0,3</w:t>
            </w:r>
          </w:p>
        </w:tc>
      </w:tr>
      <w:tr w:rsidR="00FC6987" w:rsidTr="00615826">
        <w:trPr>
          <w:trHeight w:val="111"/>
        </w:trPr>
        <w:tc>
          <w:tcPr>
            <w:tcW w:w="711" w:type="dxa"/>
            <w:tcBorders>
              <w:left w:val="single" w:sz="4" w:space="0" w:color="auto"/>
              <w:bottom w:val="nil"/>
              <w:right w:val="nil"/>
            </w:tcBorders>
            <w:shd w:val="clear" w:color="auto" w:fill="FAF0F0"/>
            <w:noWrap/>
            <w:tcMar>
              <w:top w:w="15" w:type="dxa"/>
              <w:left w:w="15" w:type="dxa"/>
              <w:bottom w:w="0" w:type="dxa"/>
              <w:right w:w="15" w:type="dxa"/>
            </w:tcMar>
            <w:vAlign w:val="center"/>
          </w:tcPr>
          <w:p w:rsidR="00FC6987" w:rsidRPr="00620597" w:rsidRDefault="00FC6987" w:rsidP="00696DB7">
            <w:pPr>
              <w:spacing w:line="240" w:lineRule="auto"/>
              <w:jc w:val="right"/>
              <w:rPr>
                <w:rFonts w:cs="Arial"/>
                <w:b/>
                <w:color w:val="000000"/>
                <w:sz w:val="20"/>
                <w:szCs w:val="20"/>
              </w:rPr>
            </w:pPr>
            <w:r w:rsidRPr="00620597">
              <w:rPr>
                <w:rFonts w:cs="Arial"/>
                <w:color w:val="000000"/>
                <w:sz w:val="20"/>
                <w:szCs w:val="20"/>
              </w:rPr>
              <w:t>7212</w:t>
            </w:r>
          </w:p>
        </w:tc>
        <w:tc>
          <w:tcPr>
            <w:tcW w:w="5974" w:type="dxa"/>
            <w:tcBorders>
              <w:left w:val="single" w:sz="4" w:space="0" w:color="auto"/>
              <w:bottom w:val="nil"/>
              <w:right w:val="single" w:sz="4" w:space="0" w:color="auto"/>
            </w:tcBorders>
            <w:shd w:val="clear" w:color="auto" w:fill="FAF0F0"/>
            <w:tcMar>
              <w:top w:w="15" w:type="dxa"/>
              <w:left w:w="15" w:type="dxa"/>
              <w:bottom w:w="0" w:type="dxa"/>
              <w:right w:w="15" w:type="dxa"/>
            </w:tcMar>
            <w:vAlign w:val="center"/>
          </w:tcPr>
          <w:p w:rsidR="00FC6987" w:rsidRPr="00620597" w:rsidRDefault="00FC6987" w:rsidP="00696DB7">
            <w:pPr>
              <w:spacing w:line="240" w:lineRule="auto"/>
              <w:rPr>
                <w:rFonts w:cs="Arial"/>
                <w:b/>
                <w:color w:val="000000"/>
                <w:sz w:val="20"/>
                <w:szCs w:val="20"/>
              </w:rPr>
            </w:pPr>
            <w:r w:rsidRPr="00620597">
              <w:rPr>
                <w:rFonts w:cs="Arial"/>
                <w:color w:val="000000"/>
                <w:sz w:val="20"/>
                <w:szCs w:val="20"/>
              </w:rPr>
              <w:t>Svářeči, řezači plamenem a páječi</w:t>
            </w:r>
          </w:p>
        </w:tc>
        <w:tc>
          <w:tcPr>
            <w:tcW w:w="853" w:type="dxa"/>
            <w:tcBorders>
              <w:left w:val="nil"/>
              <w:bottom w:val="nil"/>
              <w:right w:val="single" w:sz="4" w:space="0" w:color="auto"/>
            </w:tcBorders>
            <w:shd w:val="clear" w:color="auto" w:fill="FAF0F0"/>
            <w:noWrap/>
            <w:tcMar>
              <w:top w:w="15" w:type="dxa"/>
              <w:left w:w="15" w:type="dxa"/>
              <w:bottom w:w="0" w:type="dxa"/>
              <w:right w:w="15" w:type="dxa"/>
            </w:tcMar>
            <w:vAlign w:val="center"/>
          </w:tcPr>
          <w:p w:rsidR="00FC6987" w:rsidRPr="00620597" w:rsidRDefault="00FC6987" w:rsidP="00696DB7">
            <w:pPr>
              <w:spacing w:line="240" w:lineRule="auto"/>
              <w:jc w:val="right"/>
              <w:rPr>
                <w:rFonts w:cs="Arial"/>
                <w:b/>
                <w:color w:val="000000"/>
                <w:sz w:val="20"/>
                <w:szCs w:val="20"/>
              </w:rPr>
            </w:pPr>
            <w:r w:rsidRPr="00620597">
              <w:rPr>
                <w:rFonts w:cs="Arial"/>
                <w:color w:val="000000"/>
                <w:sz w:val="20"/>
                <w:szCs w:val="20"/>
              </w:rPr>
              <w:t>3 666</w:t>
            </w:r>
          </w:p>
        </w:tc>
        <w:tc>
          <w:tcPr>
            <w:tcW w:w="711" w:type="dxa"/>
            <w:tcBorders>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1 362</w:t>
            </w:r>
          </w:p>
        </w:tc>
        <w:tc>
          <w:tcPr>
            <w:tcW w:w="711" w:type="dxa"/>
            <w:tcBorders>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0,4</w:t>
            </w:r>
          </w:p>
        </w:tc>
      </w:tr>
      <w:tr w:rsidR="00FC6987" w:rsidTr="00FC6987">
        <w:trPr>
          <w:trHeight w:val="111"/>
        </w:trPr>
        <w:tc>
          <w:tcPr>
            <w:tcW w:w="711" w:type="dxa"/>
            <w:tcBorders>
              <w:left w:val="single" w:sz="4" w:space="0" w:color="auto"/>
              <w:bottom w:val="nil"/>
              <w:right w:val="nil"/>
            </w:tcBorders>
            <w:shd w:val="clear" w:color="auto" w:fill="auto"/>
            <w:noWrap/>
            <w:tcMar>
              <w:top w:w="15" w:type="dxa"/>
              <w:left w:w="15" w:type="dxa"/>
              <w:bottom w:w="0" w:type="dxa"/>
              <w:right w:w="15" w:type="dxa"/>
            </w:tcMar>
            <w:vAlign w:val="center"/>
          </w:tcPr>
          <w:p w:rsidR="00FC6987" w:rsidRPr="00620597" w:rsidRDefault="00FC6987" w:rsidP="00696DB7">
            <w:pPr>
              <w:spacing w:line="240" w:lineRule="auto"/>
              <w:jc w:val="right"/>
              <w:rPr>
                <w:rFonts w:cs="Arial"/>
                <w:b/>
                <w:bCs/>
                <w:color w:val="000000"/>
                <w:sz w:val="20"/>
                <w:szCs w:val="20"/>
              </w:rPr>
            </w:pPr>
            <w:r w:rsidRPr="00620597">
              <w:rPr>
                <w:rFonts w:cs="Arial"/>
                <w:color w:val="000000"/>
                <w:sz w:val="20"/>
                <w:szCs w:val="20"/>
              </w:rPr>
              <w:t>7213</w:t>
            </w:r>
          </w:p>
        </w:tc>
        <w:tc>
          <w:tcPr>
            <w:tcW w:w="5974" w:type="dxa"/>
            <w:tcBorders>
              <w:left w:val="single" w:sz="4" w:space="0" w:color="auto"/>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Pracovníci na zpracování plechu</w:t>
            </w:r>
          </w:p>
        </w:tc>
        <w:tc>
          <w:tcPr>
            <w:tcW w:w="853" w:type="dxa"/>
            <w:tcBorders>
              <w:left w:val="nil"/>
              <w:bottom w:val="nil"/>
              <w:right w:val="single" w:sz="4" w:space="0" w:color="auto"/>
            </w:tcBorders>
            <w:shd w:val="clear" w:color="auto" w:fill="auto"/>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338</w:t>
            </w:r>
          </w:p>
        </w:tc>
        <w:tc>
          <w:tcPr>
            <w:tcW w:w="711" w:type="dxa"/>
            <w:tcBorders>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428</w:t>
            </w:r>
          </w:p>
        </w:tc>
        <w:tc>
          <w:tcPr>
            <w:tcW w:w="711" w:type="dxa"/>
            <w:tcBorders>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1,3</w:t>
            </w:r>
          </w:p>
        </w:tc>
      </w:tr>
      <w:tr w:rsidR="00FC6987" w:rsidTr="00615826">
        <w:trPr>
          <w:trHeight w:val="111"/>
        </w:trPr>
        <w:tc>
          <w:tcPr>
            <w:tcW w:w="711" w:type="dxa"/>
            <w:tcBorders>
              <w:left w:val="single" w:sz="4" w:space="0" w:color="auto"/>
              <w:bottom w:val="nil"/>
              <w:right w:val="nil"/>
            </w:tcBorders>
            <w:shd w:val="clear" w:color="auto" w:fill="FAF0F0"/>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7214</w:t>
            </w:r>
          </w:p>
        </w:tc>
        <w:tc>
          <w:tcPr>
            <w:tcW w:w="5974" w:type="dxa"/>
            <w:tcBorders>
              <w:left w:val="single" w:sz="4" w:space="0" w:color="auto"/>
              <w:bottom w:val="nil"/>
              <w:right w:val="single" w:sz="4" w:space="0" w:color="auto"/>
            </w:tcBorders>
            <w:shd w:val="clear" w:color="auto" w:fill="FAF0F0"/>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Montéři kovových konstrukcí</w:t>
            </w:r>
          </w:p>
        </w:tc>
        <w:tc>
          <w:tcPr>
            <w:tcW w:w="853" w:type="dxa"/>
            <w:tcBorders>
              <w:left w:val="nil"/>
              <w:bottom w:val="nil"/>
              <w:right w:val="single" w:sz="4" w:space="0" w:color="auto"/>
            </w:tcBorders>
            <w:shd w:val="clear" w:color="auto" w:fill="FAF0F0"/>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299</w:t>
            </w:r>
          </w:p>
        </w:tc>
        <w:tc>
          <w:tcPr>
            <w:tcW w:w="711" w:type="dxa"/>
            <w:tcBorders>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81</w:t>
            </w:r>
          </w:p>
        </w:tc>
        <w:tc>
          <w:tcPr>
            <w:tcW w:w="711" w:type="dxa"/>
            <w:tcBorders>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0,3</w:t>
            </w:r>
          </w:p>
        </w:tc>
      </w:tr>
      <w:tr w:rsidR="00FC6987" w:rsidTr="00615826">
        <w:trPr>
          <w:trHeight w:val="111"/>
        </w:trPr>
        <w:tc>
          <w:tcPr>
            <w:tcW w:w="711" w:type="dxa"/>
            <w:tcBorders>
              <w:left w:val="single" w:sz="4" w:space="0" w:color="auto"/>
              <w:bottom w:val="single" w:sz="4" w:space="0" w:color="auto"/>
              <w:right w:val="nil"/>
            </w:tcBorders>
            <w:shd w:val="clear" w:color="auto" w:fill="FAF0F0"/>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7215</w:t>
            </w:r>
          </w:p>
        </w:tc>
        <w:tc>
          <w:tcPr>
            <w:tcW w:w="5974" w:type="dxa"/>
            <w:tcBorders>
              <w:left w:val="single" w:sz="4" w:space="0" w:color="auto"/>
              <w:bottom w:val="single" w:sz="4" w:space="0" w:color="auto"/>
              <w:right w:val="single" w:sz="4" w:space="0" w:color="auto"/>
            </w:tcBorders>
            <w:shd w:val="clear" w:color="auto" w:fill="FAF0F0"/>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Montéři lan a zdvihacích zařízení</w:t>
            </w:r>
          </w:p>
        </w:tc>
        <w:tc>
          <w:tcPr>
            <w:tcW w:w="853" w:type="dxa"/>
            <w:tcBorders>
              <w:left w:val="nil"/>
              <w:bottom w:val="single" w:sz="4" w:space="0" w:color="auto"/>
              <w:right w:val="single" w:sz="4" w:space="0" w:color="auto"/>
            </w:tcBorders>
            <w:shd w:val="clear" w:color="auto" w:fill="FAF0F0"/>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39</w:t>
            </w:r>
          </w:p>
        </w:tc>
        <w:tc>
          <w:tcPr>
            <w:tcW w:w="711" w:type="dxa"/>
            <w:tcBorders>
              <w:left w:val="nil"/>
              <w:bottom w:val="single" w:sz="4" w:space="0" w:color="auto"/>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9</w:t>
            </w:r>
          </w:p>
        </w:tc>
        <w:tc>
          <w:tcPr>
            <w:tcW w:w="711" w:type="dxa"/>
            <w:tcBorders>
              <w:left w:val="nil"/>
              <w:bottom w:val="single" w:sz="4" w:space="0" w:color="auto"/>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0,2</w:t>
            </w:r>
          </w:p>
        </w:tc>
      </w:tr>
      <w:tr w:rsidR="00FC6987" w:rsidTr="00FC6987">
        <w:trPr>
          <w:trHeight w:val="111"/>
        </w:trPr>
        <w:tc>
          <w:tcPr>
            <w:tcW w:w="711" w:type="dxa"/>
            <w:tcBorders>
              <w:top w:val="single" w:sz="4" w:space="0" w:color="auto"/>
              <w:left w:val="single" w:sz="4" w:space="0" w:color="auto"/>
              <w:bottom w:val="nil"/>
              <w:right w:val="nil"/>
            </w:tcBorders>
            <w:shd w:val="clear" w:color="auto" w:fill="auto"/>
            <w:noWrap/>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b/>
                <w:color w:val="000000"/>
                <w:sz w:val="20"/>
                <w:szCs w:val="20"/>
              </w:rPr>
              <w:t>512</w:t>
            </w:r>
          </w:p>
        </w:tc>
        <w:tc>
          <w:tcPr>
            <w:tcW w:w="5974"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b/>
                <w:color w:val="000000"/>
                <w:sz w:val="20"/>
                <w:szCs w:val="20"/>
              </w:rPr>
              <w:t>Kuchaři (kromě šéfkuchařů), pomocní kuchaři</w:t>
            </w:r>
          </w:p>
        </w:tc>
        <w:tc>
          <w:tcPr>
            <w:tcW w:w="85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b/>
                <w:color w:val="000000"/>
                <w:sz w:val="20"/>
                <w:szCs w:val="20"/>
              </w:rPr>
              <w:t>4 430</w:t>
            </w:r>
          </w:p>
        </w:tc>
        <w:tc>
          <w:tcPr>
            <w:tcW w:w="711" w:type="dxa"/>
            <w:tcBorders>
              <w:top w:val="single" w:sz="4" w:space="0" w:color="auto"/>
              <w:left w:val="nil"/>
              <w:bottom w:val="nil"/>
              <w:right w:val="single" w:sz="4" w:space="0" w:color="auto"/>
            </w:tcBorders>
            <w:vAlign w:val="center"/>
          </w:tcPr>
          <w:p w:rsidR="00FC6987" w:rsidRPr="00620597" w:rsidRDefault="00FC6987" w:rsidP="00696DB7">
            <w:pPr>
              <w:spacing w:line="240" w:lineRule="auto"/>
              <w:jc w:val="right"/>
              <w:rPr>
                <w:rFonts w:cs="Arial"/>
                <w:b/>
                <w:color w:val="000000"/>
                <w:sz w:val="20"/>
                <w:szCs w:val="20"/>
              </w:rPr>
            </w:pPr>
            <w:r w:rsidRPr="00645F2E">
              <w:rPr>
                <w:rFonts w:cs="Arial"/>
                <w:b/>
                <w:color w:val="000000"/>
                <w:sz w:val="20"/>
                <w:szCs w:val="20"/>
              </w:rPr>
              <w:t>8 967</w:t>
            </w:r>
          </w:p>
        </w:tc>
        <w:tc>
          <w:tcPr>
            <w:tcW w:w="711" w:type="dxa"/>
            <w:tcBorders>
              <w:top w:val="single" w:sz="4" w:space="0" w:color="auto"/>
              <w:left w:val="nil"/>
              <w:bottom w:val="nil"/>
              <w:right w:val="single" w:sz="4" w:space="0" w:color="auto"/>
            </w:tcBorders>
            <w:vAlign w:val="center"/>
          </w:tcPr>
          <w:p w:rsidR="00FC6987" w:rsidRPr="00FC6987" w:rsidRDefault="00FC6987" w:rsidP="00696DB7">
            <w:pPr>
              <w:spacing w:line="240" w:lineRule="auto"/>
              <w:jc w:val="center"/>
              <w:rPr>
                <w:b/>
                <w:sz w:val="20"/>
                <w:szCs w:val="20"/>
              </w:rPr>
            </w:pPr>
            <w:r w:rsidRPr="00FC6987">
              <w:rPr>
                <w:b/>
                <w:sz w:val="20"/>
                <w:szCs w:val="20"/>
              </w:rPr>
              <w:t>2,0</w:t>
            </w:r>
          </w:p>
        </w:tc>
      </w:tr>
      <w:tr w:rsidR="00FC6987" w:rsidTr="00FC6987">
        <w:trPr>
          <w:trHeight w:val="111"/>
        </w:trPr>
        <w:tc>
          <w:tcPr>
            <w:tcW w:w="711"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5120</w:t>
            </w:r>
          </w:p>
        </w:tc>
        <w:tc>
          <w:tcPr>
            <w:tcW w:w="59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Kuchaři (kromě šéfkuchařů), pomocní kuchaři</w:t>
            </w:r>
          </w:p>
        </w:tc>
        <w:tc>
          <w:tcPr>
            <w:tcW w:w="85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4 327</w:t>
            </w:r>
          </w:p>
        </w:tc>
        <w:tc>
          <w:tcPr>
            <w:tcW w:w="711" w:type="dxa"/>
            <w:tcBorders>
              <w:top w:val="nil"/>
              <w:left w:val="nil"/>
              <w:bottom w:val="single" w:sz="4" w:space="0" w:color="auto"/>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7 320</w:t>
            </w:r>
          </w:p>
        </w:tc>
        <w:tc>
          <w:tcPr>
            <w:tcW w:w="711" w:type="dxa"/>
            <w:tcBorders>
              <w:top w:val="nil"/>
              <w:left w:val="nil"/>
              <w:bottom w:val="single" w:sz="4" w:space="0" w:color="auto"/>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1,7</w:t>
            </w:r>
          </w:p>
        </w:tc>
      </w:tr>
      <w:tr w:rsidR="00FC6987" w:rsidTr="00FC6987">
        <w:trPr>
          <w:trHeight w:val="111"/>
        </w:trPr>
        <w:tc>
          <w:tcPr>
            <w:tcW w:w="711" w:type="dxa"/>
            <w:tcBorders>
              <w:top w:val="nil"/>
              <w:left w:val="single" w:sz="4" w:space="0" w:color="auto"/>
              <w:bottom w:val="nil"/>
              <w:right w:val="nil"/>
            </w:tcBorders>
            <w:shd w:val="clear" w:color="auto" w:fill="auto"/>
            <w:noWrap/>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834</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b/>
                <w:color w:val="000000"/>
                <w:sz w:val="20"/>
                <w:szCs w:val="20"/>
              </w:rPr>
              <w:t>Obsluha pojízdných zařízení</w:t>
            </w:r>
          </w:p>
        </w:tc>
        <w:tc>
          <w:tcPr>
            <w:tcW w:w="853"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b/>
                <w:color w:val="000000"/>
                <w:sz w:val="20"/>
                <w:szCs w:val="20"/>
              </w:rPr>
              <w:t>4 191</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b/>
                <w:color w:val="000000"/>
                <w:sz w:val="20"/>
                <w:szCs w:val="20"/>
              </w:rPr>
            </w:pPr>
            <w:r w:rsidRPr="00645F2E">
              <w:rPr>
                <w:rFonts w:cs="Arial"/>
                <w:b/>
                <w:color w:val="000000"/>
                <w:sz w:val="20"/>
                <w:szCs w:val="20"/>
              </w:rPr>
              <w:t>5 730</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1,4</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8341</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Řidiči a obsluha zemědělských a lesnických strojů</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230</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388</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1,7</w:t>
            </w:r>
          </w:p>
        </w:tc>
      </w:tr>
      <w:tr w:rsidR="00FC6987" w:rsidTr="00615826">
        <w:trPr>
          <w:trHeight w:val="111"/>
        </w:trPr>
        <w:tc>
          <w:tcPr>
            <w:tcW w:w="711" w:type="dxa"/>
            <w:tcBorders>
              <w:top w:val="nil"/>
              <w:left w:val="single" w:sz="4" w:space="0" w:color="auto"/>
              <w:bottom w:val="nil"/>
              <w:right w:val="nil"/>
            </w:tcBorders>
            <w:shd w:val="clear" w:color="auto" w:fill="FAF0F0"/>
            <w:noWrap/>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color w:val="000000"/>
                <w:sz w:val="20"/>
                <w:szCs w:val="20"/>
              </w:rPr>
              <w:t>8342</w:t>
            </w:r>
          </w:p>
        </w:tc>
        <w:tc>
          <w:tcPr>
            <w:tcW w:w="5974" w:type="dxa"/>
            <w:tcBorders>
              <w:top w:val="nil"/>
              <w:left w:val="single" w:sz="4" w:space="0" w:color="auto"/>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color w:val="000000"/>
                <w:sz w:val="20"/>
                <w:szCs w:val="20"/>
              </w:rPr>
              <w:t>Obsluha železničních, zemních a příbuzných strojů a zařízení</w:t>
            </w:r>
          </w:p>
        </w:tc>
        <w:tc>
          <w:tcPr>
            <w:tcW w:w="853" w:type="dxa"/>
            <w:tcBorders>
              <w:top w:val="nil"/>
              <w:left w:val="nil"/>
              <w:bottom w:val="nil"/>
              <w:right w:val="single" w:sz="4" w:space="0" w:color="auto"/>
            </w:tcBorders>
            <w:shd w:val="clear" w:color="auto" w:fill="FAF0F0"/>
            <w:noWrap/>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color w:val="000000"/>
                <w:sz w:val="20"/>
                <w:szCs w:val="20"/>
              </w:rPr>
              <w:t>396</w:t>
            </w:r>
          </w:p>
        </w:tc>
        <w:tc>
          <w:tcPr>
            <w:tcW w:w="711" w:type="dxa"/>
            <w:tcBorders>
              <w:top w:val="nil"/>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170</w:t>
            </w:r>
          </w:p>
        </w:tc>
        <w:tc>
          <w:tcPr>
            <w:tcW w:w="711" w:type="dxa"/>
            <w:tcBorders>
              <w:top w:val="nil"/>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0,4</w:t>
            </w:r>
          </w:p>
        </w:tc>
      </w:tr>
      <w:tr w:rsidR="00FC6987" w:rsidTr="00615826">
        <w:trPr>
          <w:trHeight w:val="111"/>
        </w:trPr>
        <w:tc>
          <w:tcPr>
            <w:tcW w:w="711" w:type="dxa"/>
            <w:tcBorders>
              <w:top w:val="nil"/>
              <w:left w:val="single" w:sz="4" w:space="0" w:color="auto"/>
              <w:bottom w:val="nil"/>
              <w:right w:val="nil"/>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bCs/>
                <w:color w:val="000000"/>
                <w:sz w:val="20"/>
                <w:szCs w:val="20"/>
              </w:rPr>
            </w:pPr>
            <w:r w:rsidRPr="00620597">
              <w:rPr>
                <w:rFonts w:cs="Arial"/>
                <w:color w:val="000000"/>
                <w:sz w:val="20"/>
                <w:szCs w:val="20"/>
              </w:rPr>
              <w:t>8343</w:t>
            </w:r>
          </w:p>
        </w:tc>
        <w:tc>
          <w:tcPr>
            <w:tcW w:w="5974" w:type="dxa"/>
            <w:tcBorders>
              <w:top w:val="nil"/>
              <w:left w:val="single" w:sz="4" w:space="0" w:color="auto"/>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Obsluha jeřábů, zdvihacích a podobných manipulačních zařízení</w:t>
            </w:r>
          </w:p>
        </w:tc>
        <w:tc>
          <w:tcPr>
            <w:tcW w:w="853" w:type="dxa"/>
            <w:tcBorders>
              <w:top w:val="nil"/>
              <w:left w:val="nil"/>
              <w:bottom w:val="nil"/>
              <w:right w:val="single" w:sz="4" w:space="0" w:color="auto"/>
            </w:tcBorders>
            <w:shd w:val="clear" w:color="auto" w:fill="FAF0F0"/>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285</w:t>
            </w:r>
          </w:p>
        </w:tc>
        <w:tc>
          <w:tcPr>
            <w:tcW w:w="711" w:type="dxa"/>
            <w:tcBorders>
              <w:top w:val="nil"/>
              <w:left w:val="nil"/>
              <w:bottom w:val="nil"/>
              <w:right w:val="single" w:sz="4" w:space="0" w:color="auto"/>
            </w:tcBorders>
            <w:shd w:val="clear" w:color="auto" w:fill="FAF0F0"/>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260</w:t>
            </w:r>
          </w:p>
        </w:tc>
        <w:tc>
          <w:tcPr>
            <w:tcW w:w="711" w:type="dxa"/>
            <w:tcBorders>
              <w:top w:val="nil"/>
              <w:left w:val="nil"/>
              <w:bottom w:val="nil"/>
              <w:right w:val="single" w:sz="4" w:space="0" w:color="auto"/>
            </w:tcBorders>
            <w:shd w:val="clear" w:color="auto" w:fill="FAF0F0"/>
            <w:vAlign w:val="center"/>
          </w:tcPr>
          <w:p w:rsidR="00FC6987" w:rsidRPr="00FC6987" w:rsidRDefault="00FC6987" w:rsidP="00696DB7">
            <w:pPr>
              <w:spacing w:line="240" w:lineRule="auto"/>
              <w:jc w:val="center"/>
              <w:rPr>
                <w:sz w:val="20"/>
                <w:szCs w:val="20"/>
              </w:rPr>
            </w:pPr>
            <w:r w:rsidRPr="00FC6987">
              <w:rPr>
                <w:sz w:val="20"/>
                <w:szCs w:val="20"/>
              </w:rPr>
              <w:t>0,9</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8344</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Obsluha vysokozdvižných a jiných vozíků a skladníci</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3 270</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4 887</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1,5</w:t>
            </w:r>
          </w:p>
        </w:tc>
      </w:tr>
      <w:tr w:rsidR="00FC6987" w:rsidTr="00FC6987">
        <w:trPr>
          <w:trHeight w:val="111"/>
        </w:trPr>
        <w:tc>
          <w:tcPr>
            <w:tcW w:w="711" w:type="dxa"/>
            <w:tcBorders>
              <w:top w:val="single" w:sz="4" w:space="0" w:color="auto"/>
              <w:left w:val="single" w:sz="4" w:space="0" w:color="auto"/>
              <w:bottom w:val="nil"/>
              <w:right w:val="nil"/>
            </w:tcBorders>
            <w:shd w:val="clear" w:color="auto" w:fill="auto"/>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b/>
                <w:color w:val="000000"/>
                <w:sz w:val="20"/>
                <w:szCs w:val="20"/>
              </w:rPr>
              <w:t>522</w:t>
            </w:r>
          </w:p>
        </w:tc>
        <w:tc>
          <w:tcPr>
            <w:tcW w:w="5974"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sidRPr="00620597">
              <w:rPr>
                <w:rFonts w:cs="Arial"/>
                <w:b/>
                <w:color w:val="000000"/>
                <w:sz w:val="20"/>
                <w:szCs w:val="20"/>
              </w:rPr>
              <w:t>Provozovatelé maloobchodních a velkoobchodních prodejen, prodavači a příbuzní pracovníci v prodejnách</w:t>
            </w:r>
          </w:p>
        </w:tc>
        <w:tc>
          <w:tcPr>
            <w:tcW w:w="853"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sidRPr="00620597">
              <w:rPr>
                <w:rFonts w:cs="Arial"/>
                <w:b/>
                <w:color w:val="000000"/>
                <w:sz w:val="20"/>
                <w:szCs w:val="20"/>
              </w:rPr>
              <w:t>4 047</w:t>
            </w:r>
          </w:p>
        </w:tc>
        <w:tc>
          <w:tcPr>
            <w:tcW w:w="711" w:type="dxa"/>
            <w:tcBorders>
              <w:top w:val="single" w:sz="4" w:space="0" w:color="auto"/>
              <w:left w:val="nil"/>
              <w:bottom w:val="nil"/>
              <w:right w:val="single" w:sz="4" w:space="0" w:color="auto"/>
            </w:tcBorders>
            <w:vAlign w:val="center"/>
          </w:tcPr>
          <w:p w:rsidR="00FC6987" w:rsidRPr="00620597" w:rsidRDefault="00FC6987" w:rsidP="00696DB7">
            <w:pPr>
              <w:spacing w:line="240" w:lineRule="auto"/>
              <w:jc w:val="right"/>
              <w:rPr>
                <w:rFonts w:cs="Arial"/>
                <w:b/>
                <w:color w:val="000000"/>
                <w:sz w:val="20"/>
                <w:szCs w:val="20"/>
              </w:rPr>
            </w:pPr>
            <w:r>
              <w:rPr>
                <w:rFonts w:cs="Arial"/>
                <w:b/>
                <w:color w:val="000000"/>
                <w:sz w:val="20"/>
                <w:szCs w:val="20"/>
              </w:rPr>
              <w:t>28 482</w:t>
            </w:r>
          </w:p>
        </w:tc>
        <w:tc>
          <w:tcPr>
            <w:tcW w:w="711" w:type="dxa"/>
            <w:tcBorders>
              <w:top w:val="single" w:sz="4" w:space="0" w:color="auto"/>
              <w:left w:val="nil"/>
              <w:bottom w:val="nil"/>
              <w:right w:val="single" w:sz="4" w:space="0" w:color="auto"/>
            </w:tcBorders>
            <w:vAlign w:val="center"/>
          </w:tcPr>
          <w:p w:rsidR="00FC6987" w:rsidRPr="00FC6987" w:rsidRDefault="00FC6987" w:rsidP="00696DB7">
            <w:pPr>
              <w:spacing w:line="240" w:lineRule="auto"/>
              <w:jc w:val="center"/>
              <w:rPr>
                <w:b/>
                <w:sz w:val="20"/>
                <w:szCs w:val="20"/>
              </w:rPr>
            </w:pPr>
            <w:r w:rsidRPr="00FC6987">
              <w:rPr>
                <w:b/>
                <w:sz w:val="20"/>
                <w:szCs w:val="20"/>
              </w:rPr>
              <w:t>7,0</w:t>
            </w:r>
          </w:p>
        </w:tc>
      </w:tr>
      <w:tr w:rsidR="00FC6987" w:rsidTr="00FC6987">
        <w:trPr>
          <w:trHeight w:val="111"/>
        </w:trPr>
        <w:tc>
          <w:tcPr>
            <w:tcW w:w="711" w:type="dxa"/>
            <w:tcBorders>
              <w:top w:val="nil"/>
              <w:left w:val="single" w:sz="4" w:space="0" w:color="auto"/>
              <w:bottom w:val="nil"/>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5221</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Provozovatelé maloobchodních a velkoobchodních prodejen</w:t>
            </w:r>
          </w:p>
        </w:tc>
        <w:tc>
          <w:tcPr>
            <w:tcW w:w="853"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18</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117</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6,5</w:t>
            </w:r>
          </w:p>
        </w:tc>
      </w:tr>
      <w:tr w:rsidR="00FC6987" w:rsidTr="00FC6987">
        <w:trPr>
          <w:trHeight w:val="111"/>
        </w:trPr>
        <w:tc>
          <w:tcPr>
            <w:tcW w:w="711" w:type="dxa"/>
            <w:tcBorders>
              <w:top w:val="nil"/>
              <w:left w:val="single" w:sz="4" w:space="0" w:color="auto"/>
              <w:bottom w:val="nil"/>
              <w:right w:val="nil"/>
            </w:tcBorders>
            <w:shd w:val="clear" w:color="auto" w:fill="auto"/>
            <w:noWrap/>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color w:val="000000"/>
                <w:sz w:val="20"/>
                <w:szCs w:val="20"/>
              </w:rPr>
              <w:t>5222</w:t>
            </w:r>
          </w:p>
        </w:tc>
        <w:tc>
          <w:tcPr>
            <w:tcW w:w="5974"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b/>
                <w:color w:val="000000"/>
                <w:sz w:val="20"/>
                <w:szCs w:val="20"/>
              </w:rPr>
            </w:pPr>
            <w:r w:rsidRPr="00620597">
              <w:rPr>
                <w:rFonts w:cs="Arial"/>
                <w:color w:val="000000"/>
                <w:sz w:val="20"/>
                <w:szCs w:val="20"/>
              </w:rPr>
              <w:t>Vedoucí pracovních týmů v prodejnách</w:t>
            </w:r>
          </w:p>
        </w:tc>
        <w:tc>
          <w:tcPr>
            <w:tcW w:w="853"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color w:val="000000"/>
                <w:sz w:val="20"/>
                <w:szCs w:val="20"/>
              </w:rPr>
            </w:pPr>
            <w:r w:rsidRPr="00620597">
              <w:rPr>
                <w:rFonts w:cs="Arial"/>
                <w:color w:val="000000"/>
                <w:sz w:val="20"/>
                <w:szCs w:val="20"/>
              </w:rPr>
              <w:t>392</w:t>
            </w:r>
          </w:p>
        </w:tc>
        <w:tc>
          <w:tcPr>
            <w:tcW w:w="711" w:type="dxa"/>
            <w:tcBorders>
              <w:top w:val="nil"/>
              <w:left w:val="nil"/>
              <w:bottom w:val="nil"/>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678</w:t>
            </w:r>
          </w:p>
        </w:tc>
        <w:tc>
          <w:tcPr>
            <w:tcW w:w="711" w:type="dxa"/>
            <w:tcBorders>
              <w:top w:val="nil"/>
              <w:left w:val="nil"/>
              <w:bottom w:val="nil"/>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1,7</w:t>
            </w:r>
          </w:p>
        </w:tc>
      </w:tr>
      <w:tr w:rsidR="00FC6987" w:rsidTr="00FC6987">
        <w:trPr>
          <w:trHeight w:val="111"/>
        </w:trPr>
        <w:tc>
          <w:tcPr>
            <w:tcW w:w="711"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b/>
                <w:bCs/>
                <w:color w:val="000000"/>
                <w:sz w:val="20"/>
                <w:szCs w:val="20"/>
              </w:rPr>
            </w:pPr>
            <w:r w:rsidRPr="00620597">
              <w:rPr>
                <w:rFonts w:cs="Arial"/>
                <w:color w:val="000000"/>
                <w:sz w:val="20"/>
                <w:szCs w:val="20"/>
              </w:rPr>
              <w:t>5223</w:t>
            </w:r>
          </w:p>
        </w:tc>
        <w:tc>
          <w:tcPr>
            <w:tcW w:w="59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rPr>
                <w:rFonts w:cs="Arial"/>
                <w:color w:val="000000"/>
                <w:sz w:val="20"/>
                <w:szCs w:val="20"/>
              </w:rPr>
            </w:pPr>
            <w:r w:rsidRPr="00620597">
              <w:rPr>
                <w:rFonts w:cs="Arial"/>
                <w:color w:val="000000"/>
                <w:sz w:val="20"/>
                <w:szCs w:val="20"/>
              </w:rPr>
              <w:t>Prodavači v prodejnách</w:t>
            </w:r>
          </w:p>
        </w:tc>
        <w:tc>
          <w:tcPr>
            <w:tcW w:w="85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C6987" w:rsidRPr="00620597" w:rsidRDefault="00FC6987" w:rsidP="00696DB7">
            <w:pPr>
              <w:spacing w:line="240" w:lineRule="auto"/>
              <w:jc w:val="right"/>
              <w:rPr>
                <w:rFonts w:cs="Arial"/>
                <w:color w:val="000000"/>
                <w:sz w:val="20"/>
                <w:szCs w:val="20"/>
              </w:rPr>
            </w:pPr>
            <w:r w:rsidRPr="00620597">
              <w:rPr>
                <w:rFonts w:cs="Arial"/>
                <w:color w:val="000000"/>
                <w:sz w:val="20"/>
                <w:szCs w:val="20"/>
              </w:rPr>
              <w:t>3 634</w:t>
            </w:r>
          </w:p>
        </w:tc>
        <w:tc>
          <w:tcPr>
            <w:tcW w:w="711" w:type="dxa"/>
            <w:tcBorders>
              <w:top w:val="nil"/>
              <w:left w:val="nil"/>
              <w:bottom w:val="single" w:sz="4" w:space="0" w:color="auto"/>
              <w:right w:val="single" w:sz="4" w:space="0" w:color="auto"/>
            </w:tcBorders>
            <w:vAlign w:val="center"/>
          </w:tcPr>
          <w:p w:rsidR="00FC6987" w:rsidRPr="00620597" w:rsidRDefault="00FC6987" w:rsidP="00696DB7">
            <w:pPr>
              <w:spacing w:line="240" w:lineRule="auto"/>
              <w:jc w:val="right"/>
              <w:rPr>
                <w:rFonts w:cs="Arial"/>
                <w:color w:val="000000"/>
                <w:sz w:val="20"/>
                <w:szCs w:val="20"/>
              </w:rPr>
            </w:pPr>
            <w:r>
              <w:rPr>
                <w:rFonts w:cs="Arial"/>
                <w:color w:val="000000"/>
                <w:sz w:val="20"/>
                <w:szCs w:val="20"/>
              </w:rPr>
              <w:t>27 515</w:t>
            </w:r>
          </w:p>
        </w:tc>
        <w:tc>
          <w:tcPr>
            <w:tcW w:w="711" w:type="dxa"/>
            <w:tcBorders>
              <w:top w:val="nil"/>
              <w:left w:val="nil"/>
              <w:bottom w:val="single" w:sz="4" w:space="0" w:color="auto"/>
              <w:right w:val="single" w:sz="4" w:space="0" w:color="auto"/>
            </w:tcBorders>
            <w:vAlign w:val="center"/>
          </w:tcPr>
          <w:p w:rsidR="00FC6987" w:rsidRPr="00FC6987" w:rsidRDefault="00FC6987" w:rsidP="00696DB7">
            <w:pPr>
              <w:spacing w:line="240" w:lineRule="auto"/>
              <w:jc w:val="center"/>
              <w:rPr>
                <w:sz w:val="20"/>
                <w:szCs w:val="20"/>
              </w:rPr>
            </w:pPr>
            <w:r w:rsidRPr="00FC6987">
              <w:rPr>
                <w:sz w:val="20"/>
                <w:szCs w:val="20"/>
              </w:rPr>
              <w:t>7,6</w:t>
            </w:r>
          </w:p>
        </w:tc>
      </w:tr>
      <w:tr w:rsidR="00FC6987" w:rsidTr="00FC6987">
        <w:trPr>
          <w:trHeight w:val="111"/>
        </w:trPr>
        <w:tc>
          <w:tcPr>
            <w:tcW w:w="6685" w:type="dxa"/>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C6987" w:rsidRPr="00620597" w:rsidRDefault="00FC6987" w:rsidP="00696DB7">
            <w:pPr>
              <w:spacing w:line="240" w:lineRule="auto"/>
              <w:rPr>
                <w:rFonts w:cs="Arial"/>
                <w:color w:val="000000"/>
                <w:sz w:val="20"/>
                <w:szCs w:val="20"/>
              </w:rPr>
            </w:pPr>
            <w:r>
              <w:rPr>
                <w:rFonts w:cs="Arial"/>
                <w:b/>
                <w:bCs/>
                <w:color w:val="000000"/>
                <w:sz w:val="20"/>
                <w:szCs w:val="20"/>
              </w:rPr>
              <w:t>Celkem</w:t>
            </w:r>
            <w:r w:rsidRPr="00620597">
              <w:rPr>
                <w:rFonts w:cs="Arial"/>
                <w:b/>
                <w:bCs/>
                <w:color w:val="000000"/>
                <w:sz w:val="20"/>
                <w:szCs w:val="20"/>
              </w:rPr>
              <w:t> </w:t>
            </w:r>
          </w:p>
        </w:tc>
        <w:tc>
          <w:tcPr>
            <w:tcW w:w="85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C6987" w:rsidRPr="00620597" w:rsidRDefault="00FC6987" w:rsidP="00696DB7">
            <w:pPr>
              <w:spacing w:line="240" w:lineRule="auto"/>
              <w:jc w:val="right"/>
              <w:rPr>
                <w:rFonts w:cs="Arial"/>
                <w:color w:val="000000"/>
                <w:sz w:val="20"/>
                <w:szCs w:val="20"/>
              </w:rPr>
            </w:pPr>
            <w:r>
              <w:rPr>
                <w:rFonts w:cs="Arial"/>
                <w:b/>
                <w:bCs/>
                <w:color w:val="000000"/>
                <w:sz w:val="20"/>
                <w:szCs w:val="20"/>
              </w:rPr>
              <w:t xml:space="preserve">140 </w:t>
            </w:r>
            <w:r w:rsidRPr="00620597">
              <w:rPr>
                <w:rFonts w:cs="Arial"/>
                <w:b/>
                <w:bCs/>
                <w:color w:val="000000"/>
                <w:sz w:val="20"/>
                <w:szCs w:val="20"/>
              </w:rPr>
              <w:t>993</w:t>
            </w:r>
          </w:p>
        </w:tc>
        <w:tc>
          <w:tcPr>
            <w:tcW w:w="711" w:type="dxa"/>
            <w:tcBorders>
              <w:top w:val="nil"/>
              <w:left w:val="nil"/>
              <w:bottom w:val="single" w:sz="4" w:space="0" w:color="auto"/>
              <w:right w:val="single" w:sz="4" w:space="0" w:color="auto"/>
            </w:tcBorders>
            <w:vAlign w:val="center"/>
          </w:tcPr>
          <w:p w:rsidR="00FC6987" w:rsidRPr="00620597" w:rsidRDefault="00FC6987" w:rsidP="00696DB7">
            <w:pPr>
              <w:spacing w:line="240" w:lineRule="auto"/>
              <w:jc w:val="right"/>
              <w:rPr>
                <w:rFonts w:cs="Arial"/>
                <w:b/>
                <w:bCs/>
                <w:color w:val="000000"/>
                <w:sz w:val="20"/>
                <w:szCs w:val="20"/>
              </w:rPr>
            </w:pPr>
          </w:p>
        </w:tc>
        <w:tc>
          <w:tcPr>
            <w:tcW w:w="711" w:type="dxa"/>
            <w:tcBorders>
              <w:top w:val="nil"/>
              <w:left w:val="nil"/>
              <w:bottom w:val="single" w:sz="4" w:space="0" w:color="auto"/>
              <w:right w:val="single" w:sz="4" w:space="0" w:color="auto"/>
            </w:tcBorders>
            <w:vAlign w:val="center"/>
          </w:tcPr>
          <w:p w:rsidR="00FC6987" w:rsidRPr="00FC6987" w:rsidRDefault="00FC6987" w:rsidP="00696DB7">
            <w:pPr>
              <w:spacing w:line="240" w:lineRule="auto"/>
              <w:jc w:val="center"/>
              <w:rPr>
                <w:rFonts w:cs="Arial"/>
                <w:b/>
                <w:bCs/>
                <w:color w:val="000000"/>
                <w:sz w:val="20"/>
                <w:szCs w:val="20"/>
              </w:rPr>
            </w:pPr>
          </w:p>
        </w:tc>
      </w:tr>
    </w:tbl>
    <w:p w:rsidR="00620597" w:rsidRDefault="00620597" w:rsidP="00696DB7">
      <w:pPr>
        <w:spacing w:after="200" w:line="240" w:lineRule="auto"/>
        <w:jc w:val="left"/>
        <w:rPr>
          <w:rFonts w:cs="Arial"/>
          <w:b/>
          <w:szCs w:val="24"/>
        </w:rPr>
      </w:pPr>
      <w:r>
        <w:rPr>
          <w:rFonts w:cs="Arial"/>
          <w:b/>
          <w:szCs w:val="24"/>
        </w:rPr>
        <w:br w:type="page"/>
      </w:r>
    </w:p>
    <w:p w:rsidR="000951F9" w:rsidRDefault="000951F9" w:rsidP="000951F9">
      <w:pPr>
        <w:pStyle w:val="Titulek"/>
        <w:keepNext/>
      </w:pPr>
      <w:bookmarkStart w:id="13" w:name="_Toc465674534"/>
      <w:r>
        <w:t xml:space="preserve">Tabulka </w:t>
      </w:r>
      <w:r w:rsidR="006C5B50">
        <w:fldChar w:fldCharType="begin"/>
      </w:r>
      <w:r w:rsidR="006C5B50">
        <w:instrText xml:space="preserve"> SEQ Tabulka \* ARABIC </w:instrText>
      </w:r>
      <w:r w:rsidR="006C5B50">
        <w:fldChar w:fldCharType="separate"/>
      </w:r>
      <w:r w:rsidR="005B254A">
        <w:rPr>
          <w:noProof/>
        </w:rPr>
        <w:t>4</w:t>
      </w:r>
      <w:r w:rsidR="006C5B50">
        <w:rPr>
          <w:noProof/>
        </w:rPr>
        <w:fldChar w:fldCharType="end"/>
      </w:r>
      <w:r w:rsidR="00277A1D">
        <w:t xml:space="preserve">: Nejčastěji zastoupené skupiny zaměstnání a jejich podskupiny mezi </w:t>
      </w:r>
      <w:proofErr w:type="spellStart"/>
      <w:r w:rsidR="00277A1D">
        <w:t>UoZ</w:t>
      </w:r>
      <w:proofErr w:type="spellEnd"/>
      <w:r w:rsidR="00277A1D">
        <w:t xml:space="preserve"> k 30. 9. 2016</w:t>
      </w:r>
      <w:bookmarkEnd w:id="13"/>
    </w:p>
    <w:tbl>
      <w:tblPr>
        <w:tblW w:w="9370" w:type="dxa"/>
        <w:tblInd w:w="55" w:type="dxa"/>
        <w:tblLayout w:type="fixed"/>
        <w:tblCellMar>
          <w:left w:w="70" w:type="dxa"/>
          <w:right w:w="70" w:type="dxa"/>
        </w:tblCellMar>
        <w:tblLook w:val="04A0" w:firstRow="1" w:lastRow="0" w:firstColumn="1" w:lastColumn="0" w:noHBand="0" w:noVBand="1"/>
      </w:tblPr>
      <w:tblGrid>
        <w:gridCol w:w="724"/>
        <w:gridCol w:w="5954"/>
        <w:gridCol w:w="992"/>
        <w:gridCol w:w="850"/>
        <w:gridCol w:w="850"/>
      </w:tblGrid>
      <w:tr w:rsidR="002F49AA" w:rsidRPr="00F75F84" w:rsidTr="002F49AA">
        <w:trPr>
          <w:trHeight w:val="708"/>
        </w:trPr>
        <w:tc>
          <w:tcPr>
            <w:tcW w:w="724" w:type="dxa"/>
            <w:tcBorders>
              <w:top w:val="single" w:sz="4" w:space="0" w:color="auto"/>
              <w:left w:val="single" w:sz="4" w:space="0" w:color="auto"/>
              <w:bottom w:val="nil"/>
              <w:right w:val="nil"/>
            </w:tcBorders>
            <w:shd w:val="clear" w:color="auto" w:fill="auto"/>
            <w:noWrap/>
            <w:vAlign w:val="center"/>
            <w:hideMark/>
          </w:tcPr>
          <w:p w:rsidR="002F49AA" w:rsidRPr="00146299" w:rsidRDefault="002F49AA" w:rsidP="00696DB7">
            <w:pPr>
              <w:spacing w:line="240" w:lineRule="auto"/>
              <w:jc w:val="center"/>
              <w:rPr>
                <w:rFonts w:eastAsia="Times New Roman" w:cs="Arial"/>
                <w:color w:val="000000"/>
                <w:sz w:val="20"/>
                <w:szCs w:val="20"/>
                <w:lang w:eastAsia="cs-CZ"/>
              </w:rPr>
            </w:pPr>
            <w:r w:rsidRPr="00146299">
              <w:rPr>
                <w:rFonts w:eastAsia="Times New Roman" w:cs="Arial"/>
                <w:color w:val="000000"/>
                <w:sz w:val="20"/>
                <w:szCs w:val="20"/>
                <w:lang w:eastAsia="cs-CZ"/>
              </w:rPr>
              <w:t>CZ ISCO</w:t>
            </w:r>
          </w:p>
        </w:tc>
        <w:tc>
          <w:tcPr>
            <w:tcW w:w="5954" w:type="dxa"/>
            <w:tcBorders>
              <w:top w:val="single" w:sz="4" w:space="0" w:color="auto"/>
              <w:left w:val="single" w:sz="4" w:space="0" w:color="auto"/>
              <w:bottom w:val="nil"/>
              <w:right w:val="single" w:sz="4" w:space="0" w:color="auto"/>
            </w:tcBorders>
            <w:shd w:val="clear" w:color="auto" w:fill="auto"/>
            <w:noWrap/>
            <w:vAlign w:val="center"/>
            <w:hideMark/>
          </w:tcPr>
          <w:p w:rsidR="002F49AA" w:rsidRPr="00146299" w:rsidRDefault="002F49AA" w:rsidP="00696DB7">
            <w:pPr>
              <w:spacing w:line="240" w:lineRule="auto"/>
              <w:jc w:val="center"/>
              <w:rPr>
                <w:rFonts w:eastAsia="Times New Roman" w:cs="Arial"/>
                <w:color w:val="000000"/>
                <w:sz w:val="20"/>
                <w:szCs w:val="20"/>
                <w:lang w:eastAsia="cs-CZ"/>
              </w:rPr>
            </w:pPr>
            <w:r w:rsidRPr="00146299">
              <w:rPr>
                <w:rFonts w:eastAsia="Times New Roman" w:cs="Arial"/>
                <w:color w:val="000000"/>
                <w:sz w:val="20"/>
                <w:szCs w:val="20"/>
                <w:lang w:eastAsia="cs-CZ"/>
              </w:rPr>
              <w:t>CZ ISCO POPIS</w:t>
            </w:r>
          </w:p>
        </w:tc>
        <w:tc>
          <w:tcPr>
            <w:tcW w:w="992" w:type="dxa"/>
            <w:tcBorders>
              <w:top w:val="single" w:sz="4" w:space="0" w:color="auto"/>
              <w:left w:val="nil"/>
              <w:bottom w:val="nil"/>
              <w:right w:val="single" w:sz="4" w:space="0" w:color="auto"/>
            </w:tcBorders>
            <w:shd w:val="clear" w:color="auto" w:fill="auto"/>
            <w:vAlign w:val="center"/>
            <w:hideMark/>
          </w:tcPr>
          <w:p w:rsidR="002F49AA" w:rsidRPr="00146299" w:rsidRDefault="002F49AA" w:rsidP="00696DB7">
            <w:pPr>
              <w:spacing w:line="240" w:lineRule="auto"/>
              <w:jc w:val="center"/>
              <w:rPr>
                <w:rFonts w:eastAsia="Times New Roman" w:cs="Arial"/>
                <w:color w:val="000000"/>
                <w:sz w:val="20"/>
                <w:szCs w:val="20"/>
                <w:lang w:eastAsia="cs-CZ"/>
              </w:rPr>
            </w:pPr>
            <w:proofErr w:type="spellStart"/>
            <w:r>
              <w:rPr>
                <w:rFonts w:eastAsia="Times New Roman" w:cs="Arial"/>
                <w:color w:val="000000"/>
                <w:sz w:val="20"/>
                <w:szCs w:val="20"/>
                <w:lang w:eastAsia="cs-CZ"/>
              </w:rPr>
              <w:t>UoZ</w:t>
            </w:r>
            <w:proofErr w:type="spellEnd"/>
          </w:p>
        </w:tc>
        <w:tc>
          <w:tcPr>
            <w:tcW w:w="850" w:type="dxa"/>
            <w:tcBorders>
              <w:top w:val="single" w:sz="4" w:space="0" w:color="auto"/>
              <w:left w:val="nil"/>
              <w:bottom w:val="nil"/>
              <w:right w:val="single" w:sz="4" w:space="0" w:color="auto"/>
            </w:tcBorders>
            <w:vAlign w:val="center"/>
          </w:tcPr>
          <w:p w:rsidR="002F49AA" w:rsidRDefault="002F49AA" w:rsidP="00696DB7">
            <w:pPr>
              <w:spacing w:line="240" w:lineRule="auto"/>
              <w:jc w:val="right"/>
              <w:rPr>
                <w:rFonts w:eastAsia="Times New Roman" w:cs="Arial"/>
                <w:color w:val="000000"/>
                <w:sz w:val="20"/>
                <w:szCs w:val="20"/>
                <w:lang w:eastAsia="cs-CZ"/>
              </w:rPr>
            </w:pPr>
            <w:r>
              <w:rPr>
                <w:rFonts w:eastAsia="Times New Roman" w:cs="Arial"/>
                <w:color w:val="000000"/>
                <w:sz w:val="20"/>
                <w:szCs w:val="20"/>
                <w:lang w:eastAsia="cs-CZ"/>
              </w:rPr>
              <w:t>VPM</w:t>
            </w:r>
          </w:p>
        </w:tc>
        <w:tc>
          <w:tcPr>
            <w:tcW w:w="850" w:type="dxa"/>
            <w:tcBorders>
              <w:top w:val="single" w:sz="4" w:space="0" w:color="auto"/>
              <w:left w:val="nil"/>
              <w:bottom w:val="nil"/>
              <w:right w:val="single" w:sz="4" w:space="0" w:color="auto"/>
            </w:tcBorders>
          </w:tcPr>
          <w:p w:rsidR="002F49AA" w:rsidRDefault="002F49AA" w:rsidP="00696DB7">
            <w:pPr>
              <w:spacing w:line="240" w:lineRule="auto"/>
              <w:jc w:val="right"/>
              <w:rPr>
                <w:rFonts w:eastAsia="Times New Roman" w:cs="Arial"/>
                <w:color w:val="000000"/>
                <w:sz w:val="20"/>
                <w:szCs w:val="20"/>
                <w:lang w:eastAsia="cs-CZ"/>
              </w:rPr>
            </w:pPr>
            <w:proofErr w:type="spellStart"/>
            <w:r>
              <w:rPr>
                <w:rFonts w:eastAsia="Times New Roman" w:cs="Arial"/>
                <w:color w:val="000000"/>
                <w:sz w:val="20"/>
                <w:szCs w:val="20"/>
                <w:lang w:eastAsia="cs-CZ"/>
              </w:rPr>
              <w:t>UoZ</w:t>
            </w:r>
            <w:proofErr w:type="spellEnd"/>
            <w:r>
              <w:rPr>
                <w:rFonts w:eastAsia="Times New Roman" w:cs="Arial"/>
                <w:color w:val="000000"/>
                <w:sz w:val="20"/>
                <w:szCs w:val="20"/>
                <w:lang w:eastAsia="cs-CZ"/>
              </w:rPr>
              <w:t>/ VPM</w:t>
            </w:r>
          </w:p>
        </w:tc>
      </w:tr>
      <w:tr w:rsidR="002F49AA" w:rsidRPr="00F75F84" w:rsidTr="00E60DEE">
        <w:trPr>
          <w:trHeight w:val="113"/>
        </w:trPr>
        <w:tc>
          <w:tcPr>
            <w:tcW w:w="724" w:type="dxa"/>
            <w:tcBorders>
              <w:top w:val="single" w:sz="4" w:space="0" w:color="auto"/>
              <w:left w:val="single" w:sz="4" w:space="0" w:color="auto"/>
              <w:bottom w:val="nil"/>
              <w:right w:val="nil"/>
            </w:tcBorders>
            <w:shd w:val="clear" w:color="auto" w:fill="auto"/>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932</w:t>
            </w:r>
          </w:p>
        </w:tc>
        <w:tc>
          <w:tcPr>
            <w:tcW w:w="5954" w:type="dxa"/>
            <w:tcBorders>
              <w:top w:val="single" w:sz="4" w:space="0" w:color="auto"/>
              <w:left w:val="single" w:sz="4" w:space="0" w:color="auto"/>
              <w:bottom w:val="nil"/>
              <w:right w:val="single" w:sz="4" w:space="0" w:color="auto"/>
            </w:tcBorders>
            <w:shd w:val="clear" w:color="auto" w:fill="auto"/>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Pomocní pracovníci ve výrobě</w:t>
            </w:r>
          </w:p>
        </w:tc>
        <w:tc>
          <w:tcPr>
            <w:tcW w:w="992" w:type="dxa"/>
            <w:tcBorders>
              <w:top w:val="single" w:sz="4" w:space="0" w:color="auto"/>
              <w:left w:val="nil"/>
              <w:bottom w:val="nil"/>
              <w:right w:val="single" w:sz="4" w:space="0" w:color="auto"/>
            </w:tcBorders>
            <w:shd w:val="clear" w:color="auto" w:fill="auto"/>
            <w:vAlign w:val="center"/>
            <w:hideMark/>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35 368</w:t>
            </w:r>
          </w:p>
        </w:tc>
        <w:tc>
          <w:tcPr>
            <w:tcW w:w="850" w:type="dxa"/>
            <w:tcBorders>
              <w:top w:val="single" w:sz="4" w:space="0" w:color="auto"/>
              <w:left w:val="nil"/>
              <w:bottom w:val="nil"/>
              <w:right w:val="single" w:sz="4" w:space="0" w:color="auto"/>
            </w:tcBorders>
            <w:vAlign w:val="center"/>
          </w:tcPr>
          <w:p w:rsidR="002F49AA" w:rsidRPr="00146299" w:rsidRDefault="002F49AA" w:rsidP="00696DB7">
            <w:pPr>
              <w:spacing w:line="240" w:lineRule="auto"/>
              <w:jc w:val="right"/>
              <w:rPr>
                <w:rFonts w:cs="Arial"/>
                <w:b/>
                <w:color w:val="000000"/>
                <w:sz w:val="20"/>
                <w:szCs w:val="20"/>
              </w:rPr>
            </w:pPr>
            <w:r>
              <w:rPr>
                <w:rFonts w:cs="Arial"/>
                <w:b/>
                <w:color w:val="000000"/>
                <w:sz w:val="20"/>
                <w:szCs w:val="20"/>
              </w:rPr>
              <w:t>10 041</w:t>
            </w:r>
          </w:p>
        </w:tc>
        <w:tc>
          <w:tcPr>
            <w:tcW w:w="850" w:type="dxa"/>
            <w:tcBorders>
              <w:top w:val="single" w:sz="4" w:space="0" w:color="auto"/>
              <w:left w:val="nil"/>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3,5</w:t>
            </w:r>
          </w:p>
        </w:tc>
      </w:tr>
      <w:tr w:rsidR="002F49AA" w:rsidRPr="00F75F84" w:rsidTr="00E60DEE">
        <w:trPr>
          <w:trHeight w:val="113"/>
        </w:trPr>
        <w:tc>
          <w:tcPr>
            <w:tcW w:w="724" w:type="dxa"/>
            <w:tcBorders>
              <w:top w:val="nil"/>
              <w:left w:val="single" w:sz="4" w:space="0" w:color="auto"/>
              <w:bottom w:val="nil"/>
              <w:right w:val="nil"/>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9321</w:t>
            </w:r>
          </w:p>
        </w:tc>
        <w:tc>
          <w:tcPr>
            <w:tcW w:w="5954" w:type="dxa"/>
            <w:tcBorders>
              <w:top w:val="nil"/>
              <w:left w:val="single" w:sz="4" w:space="0" w:color="auto"/>
              <w:bottom w:val="nil"/>
              <w:right w:val="single" w:sz="4" w:space="0" w:color="auto"/>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Ruční baliči</w:t>
            </w:r>
          </w:p>
        </w:tc>
        <w:tc>
          <w:tcPr>
            <w:tcW w:w="992" w:type="dxa"/>
            <w:tcBorders>
              <w:top w:val="nil"/>
              <w:left w:val="nil"/>
              <w:bottom w:val="nil"/>
              <w:right w:val="single" w:sz="4" w:space="0" w:color="auto"/>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232</w:t>
            </w:r>
          </w:p>
        </w:tc>
        <w:tc>
          <w:tcPr>
            <w:tcW w:w="850" w:type="dxa"/>
            <w:tcBorders>
              <w:top w:val="nil"/>
              <w:left w:val="nil"/>
              <w:bottom w:val="nil"/>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939</w:t>
            </w:r>
          </w:p>
        </w:tc>
        <w:tc>
          <w:tcPr>
            <w:tcW w:w="850" w:type="dxa"/>
            <w:tcBorders>
              <w:top w:val="nil"/>
              <w:left w:val="nil"/>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0,2</w:t>
            </w:r>
          </w:p>
        </w:tc>
      </w:tr>
      <w:tr w:rsidR="002F49AA" w:rsidRPr="00F75F84" w:rsidTr="00E60DEE">
        <w:trPr>
          <w:trHeight w:val="113"/>
        </w:trPr>
        <w:tc>
          <w:tcPr>
            <w:tcW w:w="724" w:type="dxa"/>
            <w:tcBorders>
              <w:top w:val="nil"/>
              <w:left w:val="single" w:sz="4" w:space="0" w:color="auto"/>
              <w:bottom w:val="single" w:sz="4" w:space="0" w:color="auto"/>
              <w:right w:val="nil"/>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9329</w:t>
            </w:r>
          </w:p>
        </w:tc>
        <w:tc>
          <w:tcPr>
            <w:tcW w:w="5954" w:type="dxa"/>
            <w:tcBorders>
              <w:top w:val="nil"/>
              <w:left w:val="single" w:sz="4" w:space="0" w:color="auto"/>
              <w:bottom w:val="single" w:sz="4" w:space="0" w:color="auto"/>
              <w:right w:val="single" w:sz="4" w:space="0" w:color="auto"/>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Ostatní pomocní pracovníci ve výrobě</w:t>
            </w:r>
          </w:p>
        </w:tc>
        <w:tc>
          <w:tcPr>
            <w:tcW w:w="992" w:type="dxa"/>
            <w:tcBorders>
              <w:top w:val="nil"/>
              <w:left w:val="nil"/>
              <w:bottom w:val="single" w:sz="4" w:space="0" w:color="auto"/>
              <w:right w:val="single" w:sz="4" w:space="0" w:color="auto"/>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31 811</w:t>
            </w:r>
          </w:p>
        </w:tc>
        <w:tc>
          <w:tcPr>
            <w:tcW w:w="850" w:type="dxa"/>
            <w:tcBorders>
              <w:top w:val="nil"/>
              <w:left w:val="nil"/>
              <w:bottom w:val="single" w:sz="4" w:space="0" w:color="auto"/>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8 652</w:t>
            </w:r>
          </w:p>
        </w:tc>
        <w:tc>
          <w:tcPr>
            <w:tcW w:w="850" w:type="dxa"/>
            <w:tcBorders>
              <w:top w:val="nil"/>
              <w:left w:val="nil"/>
              <w:bottom w:val="single" w:sz="4" w:space="0" w:color="auto"/>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3,7</w:t>
            </w:r>
          </w:p>
        </w:tc>
      </w:tr>
      <w:tr w:rsidR="002F49AA" w:rsidRPr="00F75F84" w:rsidTr="0084502B">
        <w:trPr>
          <w:trHeight w:val="113"/>
        </w:trPr>
        <w:tc>
          <w:tcPr>
            <w:tcW w:w="724" w:type="dxa"/>
            <w:tcBorders>
              <w:top w:val="nil"/>
              <w:left w:val="single" w:sz="4" w:space="0" w:color="auto"/>
              <w:bottom w:val="nil"/>
              <w:right w:val="nil"/>
            </w:tcBorders>
            <w:shd w:val="clear" w:color="auto" w:fill="C6D9F1" w:themeFill="text2" w:themeFillTint="33"/>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411</w:t>
            </w:r>
          </w:p>
        </w:tc>
        <w:tc>
          <w:tcPr>
            <w:tcW w:w="5954" w:type="dxa"/>
            <w:tcBorders>
              <w:top w:val="nil"/>
              <w:left w:val="single" w:sz="4" w:space="0" w:color="auto"/>
              <w:bottom w:val="nil"/>
              <w:right w:val="single" w:sz="4" w:space="0" w:color="auto"/>
            </w:tcBorders>
            <w:shd w:val="clear" w:color="auto" w:fill="C6D9F1" w:themeFill="text2" w:themeFillTint="33"/>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Všeobecní administrativní pracovníci</w:t>
            </w:r>
          </w:p>
        </w:tc>
        <w:tc>
          <w:tcPr>
            <w:tcW w:w="992" w:type="dxa"/>
            <w:tcBorders>
              <w:top w:val="nil"/>
              <w:left w:val="nil"/>
              <w:bottom w:val="nil"/>
              <w:right w:val="single" w:sz="4" w:space="0" w:color="auto"/>
            </w:tcBorders>
            <w:shd w:val="clear" w:color="auto" w:fill="C6D9F1" w:themeFill="text2" w:themeFillTint="33"/>
            <w:vAlign w:val="center"/>
            <w:hideMark/>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28 913</w:t>
            </w:r>
          </w:p>
        </w:tc>
        <w:tc>
          <w:tcPr>
            <w:tcW w:w="850" w:type="dxa"/>
            <w:tcBorders>
              <w:top w:val="nil"/>
              <w:left w:val="nil"/>
              <w:bottom w:val="nil"/>
              <w:right w:val="single" w:sz="4" w:space="0" w:color="auto"/>
            </w:tcBorders>
            <w:shd w:val="clear" w:color="auto" w:fill="C6D9F1" w:themeFill="text2" w:themeFillTint="33"/>
            <w:vAlign w:val="center"/>
          </w:tcPr>
          <w:p w:rsidR="002F49AA" w:rsidRPr="00146299" w:rsidRDefault="002F49AA" w:rsidP="00696DB7">
            <w:pPr>
              <w:spacing w:line="240" w:lineRule="auto"/>
              <w:jc w:val="right"/>
              <w:rPr>
                <w:rFonts w:cs="Arial"/>
                <w:b/>
                <w:color w:val="000000"/>
                <w:sz w:val="20"/>
                <w:szCs w:val="20"/>
              </w:rPr>
            </w:pPr>
            <w:r w:rsidRPr="002F49AA">
              <w:rPr>
                <w:rFonts w:cs="Arial"/>
                <w:b/>
                <w:color w:val="000000"/>
                <w:sz w:val="20"/>
                <w:szCs w:val="20"/>
              </w:rPr>
              <w:t>1 085</w:t>
            </w:r>
          </w:p>
        </w:tc>
        <w:tc>
          <w:tcPr>
            <w:tcW w:w="850" w:type="dxa"/>
            <w:tcBorders>
              <w:top w:val="nil"/>
              <w:left w:val="nil"/>
              <w:bottom w:val="nil"/>
              <w:right w:val="single" w:sz="4" w:space="0" w:color="auto"/>
            </w:tcBorders>
            <w:shd w:val="clear" w:color="auto" w:fill="C6D9F1" w:themeFill="text2"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26,6</w:t>
            </w:r>
          </w:p>
        </w:tc>
      </w:tr>
      <w:tr w:rsidR="002F49AA" w:rsidRPr="00F75F84" w:rsidTr="0084502B">
        <w:trPr>
          <w:trHeight w:val="113"/>
        </w:trPr>
        <w:tc>
          <w:tcPr>
            <w:tcW w:w="724" w:type="dxa"/>
            <w:tcBorders>
              <w:top w:val="nil"/>
              <w:left w:val="single" w:sz="4" w:space="0" w:color="auto"/>
              <w:bottom w:val="single" w:sz="4" w:space="0" w:color="auto"/>
              <w:right w:val="nil"/>
            </w:tcBorders>
            <w:shd w:val="clear" w:color="auto" w:fill="DBE5F1" w:themeFill="accent1" w:themeFillTint="33"/>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4110</w:t>
            </w:r>
          </w:p>
        </w:tc>
        <w:tc>
          <w:tcPr>
            <w:tcW w:w="5954" w:type="dxa"/>
            <w:tcBorders>
              <w:top w:val="nil"/>
              <w:left w:val="single" w:sz="4" w:space="0" w:color="auto"/>
              <w:bottom w:val="single" w:sz="4" w:space="0" w:color="auto"/>
              <w:right w:val="single" w:sz="4" w:space="0" w:color="auto"/>
            </w:tcBorders>
            <w:shd w:val="clear" w:color="auto" w:fill="DBE5F1" w:themeFill="accent1" w:themeFillTint="33"/>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Všeobecní administrativní pracovníci</w:t>
            </w:r>
          </w:p>
        </w:tc>
        <w:tc>
          <w:tcPr>
            <w:tcW w:w="992" w:type="dxa"/>
            <w:tcBorders>
              <w:top w:val="nil"/>
              <w:left w:val="nil"/>
              <w:bottom w:val="single" w:sz="4" w:space="0" w:color="auto"/>
              <w:right w:val="single" w:sz="4" w:space="0" w:color="auto"/>
            </w:tcBorders>
            <w:shd w:val="clear" w:color="auto" w:fill="DBE5F1" w:themeFill="accent1" w:themeFillTint="33"/>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21 870</w:t>
            </w:r>
          </w:p>
        </w:tc>
        <w:tc>
          <w:tcPr>
            <w:tcW w:w="850" w:type="dxa"/>
            <w:tcBorders>
              <w:top w:val="nil"/>
              <w:left w:val="nil"/>
              <w:bottom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1 023</w:t>
            </w:r>
          </w:p>
        </w:tc>
        <w:tc>
          <w:tcPr>
            <w:tcW w:w="850" w:type="dxa"/>
            <w:tcBorders>
              <w:top w:val="nil"/>
              <w:left w:val="nil"/>
              <w:bottom w:val="single" w:sz="4" w:space="0" w:color="auto"/>
              <w:right w:val="single" w:sz="4" w:space="0" w:color="auto"/>
            </w:tcBorders>
            <w:shd w:val="clear" w:color="auto" w:fill="DBE5F1" w:themeFill="accent1"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21,4</w:t>
            </w:r>
          </w:p>
        </w:tc>
      </w:tr>
      <w:tr w:rsidR="002F49AA" w:rsidRPr="00F75F84" w:rsidTr="0084502B">
        <w:trPr>
          <w:trHeight w:val="113"/>
        </w:trPr>
        <w:tc>
          <w:tcPr>
            <w:tcW w:w="724" w:type="dxa"/>
            <w:tcBorders>
              <w:top w:val="single" w:sz="4" w:space="0" w:color="auto"/>
              <w:left w:val="single" w:sz="4" w:space="0" w:color="auto"/>
              <w:bottom w:val="nil"/>
              <w:right w:val="nil"/>
            </w:tcBorders>
            <w:shd w:val="clear" w:color="auto" w:fill="C6D9F1" w:themeFill="text2" w:themeFillTint="33"/>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522</w:t>
            </w:r>
          </w:p>
        </w:tc>
        <w:tc>
          <w:tcPr>
            <w:tcW w:w="5954" w:type="dxa"/>
            <w:tcBorders>
              <w:top w:val="single" w:sz="4" w:space="0" w:color="auto"/>
              <w:left w:val="single" w:sz="4" w:space="0" w:color="auto"/>
              <w:bottom w:val="nil"/>
              <w:right w:val="single" w:sz="4" w:space="0" w:color="auto"/>
            </w:tcBorders>
            <w:shd w:val="clear" w:color="auto" w:fill="C6D9F1" w:themeFill="text2" w:themeFillTint="33"/>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Provozovatelé maloobchodních a velkoobchodních prodejen, prodavači a příbuzní pracovníci v prodejnách</w:t>
            </w:r>
          </w:p>
        </w:tc>
        <w:tc>
          <w:tcPr>
            <w:tcW w:w="992" w:type="dxa"/>
            <w:tcBorders>
              <w:top w:val="single" w:sz="4" w:space="0" w:color="auto"/>
              <w:left w:val="nil"/>
              <w:bottom w:val="nil"/>
              <w:right w:val="single" w:sz="4" w:space="0" w:color="auto"/>
            </w:tcBorders>
            <w:shd w:val="clear" w:color="auto" w:fill="C6D9F1" w:themeFill="text2" w:themeFillTint="33"/>
            <w:vAlign w:val="center"/>
            <w:hideMark/>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28 482</w:t>
            </w:r>
          </w:p>
        </w:tc>
        <w:tc>
          <w:tcPr>
            <w:tcW w:w="850" w:type="dxa"/>
            <w:tcBorders>
              <w:top w:val="single" w:sz="4" w:space="0" w:color="auto"/>
              <w:left w:val="nil"/>
              <w:bottom w:val="nil"/>
              <w:right w:val="single" w:sz="4" w:space="0" w:color="auto"/>
            </w:tcBorders>
            <w:shd w:val="clear" w:color="auto" w:fill="C6D9F1" w:themeFill="text2" w:themeFillTint="33"/>
            <w:vAlign w:val="center"/>
          </w:tcPr>
          <w:p w:rsidR="002F49AA" w:rsidRPr="00620597" w:rsidRDefault="002F49AA" w:rsidP="00696DB7">
            <w:pPr>
              <w:spacing w:line="240" w:lineRule="auto"/>
              <w:jc w:val="right"/>
              <w:rPr>
                <w:rFonts w:cs="Arial"/>
                <w:color w:val="000000"/>
                <w:sz w:val="20"/>
                <w:szCs w:val="20"/>
              </w:rPr>
            </w:pPr>
            <w:r w:rsidRPr="00620597">
              <w:rPr>
                <w:rFonts w:cs="Arial"/>
                <w:b/>
                <w:color w:val="000000"/>
                <w:sz w:val="20"/>
                <w:szCs w:val="20"/>
              </w:rPr>
              <w:t>4 047</w:t>
            </w:r>
          </w:p>
        </w:tc>
        <w:tc>
          <w:tcPr>
            <w:tcW w:w="850" w:type="dxa"/>
            <w:tcBorders>
              <w:top w:val="single" w:sz="4" w:space="0" w:color="auto"/>
              <w:left w:val="nil"/>
              <w:bottom w:val="nil"/>
              <w:right w:val="single" w:sz="4" w:space="0" w:color="auto"/>
            </w:tcBorders>
            <w:shd w:val="clear" w:color="auto" w:fill="C6D9F1" w:themeFill="text2"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7,0</w:t>
            </w:r>
          </w:p>
        </w:tc>
      </w:tr>
      <w:tr w:rsidR="002F49AA" w:rsidRPr="00F75F84" w:rsidTr="0084502B">
        <w:trPr>
          <w:trHeight w:val="113"/>
        </w:trPr>
        <w:tc>
          <w:tcPr>
            <w:tcW w:w="724" w:type="dxa"/>
            <w:tcBorders>
              <w:top w:val="nil"/>
              <w:left w:val="single" w:sz="4" w:space="0" w:color="auto"/>
              <w:right w:val="nil"/>
            </w:tcBorders>
            <w:shd w:val="clear" w:color="auto" w:fill="DBE5F1" w:themeFill="accent1" w:themeFillTint="33"/>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5221</w:t>
            </w:r>
          </w:p>
        </w:tc>
        <w:tc>
          <w:tcPr>
            <w:tcW w:w="5954" w:type="dxa"/>
            <w:tcBorders>
              <w:top w:val="nil"/>
              <w:left w:val="single" w:sz="4" w:space="0" w:color="auto"/>
              <w:right w:val="single" w:sz="4" w:space="0" w:color="auto"/>
            </w:tcBorders>
            <w:shd w:val="clear" w:color="auto" w:fill="DBE5F1" w:themeFill="accent1" w:themeFillTint="33"/>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Provozovatelé maloobchodních a velkoobchodních prodejen</w:t>
            </w:r>
          </w:p>
        </w:tc>
        <w:tc>
          <w:tcPr>
            <w:tcW w:w="992" w:type="dxa"/>
            <w:tcBorders>
              <w:top w:val="nil"/>
              <w:left w:val="nil"/>
              <w:right w:val="single" w:sz="4" w:space="0" w:color="auto"/>
            </w:tcBorders>
            <w:shd w:val="clear" w:color="auto" w:fill="DBE5F1" w:themeFill="accent1" w:themeFillTint="33"/>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117</w:t>
            </w:r>
          </w:p>
        </w:tc>
        <w:tc>
          <w:tcPr>
            <w:tcW w:w="850" w:type="dxa"/>
            <w:tcBorders>
              <w:top w:val="nil"/>
              <w:left w:val="nil"/>
              <w:right w:val="single" w:sz="4" w:space="0" w:color="auto"/>
            </w:tcBorders>
            <w:shd w:val="clear" w:color="auto" w:fill="DBE5F1" w:themeFill="accent1" w:themeFillTint="33"/>
            <w:vAlign w:val="center"/>
          </w:tcPr>
          <w:p w:rsidR="002F49AA" w:rsidRPr="00620597" w:rsidRDefault="002F49AA" w:rsidP="00696DB7">
            <w:pPr>
              <w:spacing w:line="240" w:lineRule="auto"/>
              <w:jc w:val="right"/>
              <w:rPr>
                <w:rFonts w:cs="Arial"/>
                <w:color w:val="000000"/>
                <w:sz w:val="20"/>
                <w:szCs w:val="20"/>
              </w:rPr>
            </w:pPr>
            <w:r w:rsidRPr="00620597">
              <w:rPr>
                <w:rFonts w:cs="Arial"/>
                <w:color w:val="000000"/>
                <w:sz w:val="20"/>
                <w:szCs w:val="20"/>
              </w:rPr>
              <w:t>18</w:t>
            </w:r>
          </w:p>
        </w:tc>
        <w:tc>
          <w:tcPr>
            <w:tcW w:w="850" w:type="dxa"/>
            <w:tcBorders>
              <w:top w:val="nil"/>
              <w:left w:val="nil"/>
              <w:right w:val="single" w:sz="4" w:space="0" w:color="auto"/>
            </w:tcBorders>
            <w:shd w:val="clear" w:color="auto" w:fill="DBE5F1" w:themeFill="accent1"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6,5</w:t>
            </w:r>
          </w:p>
        </w:tc>
      </w:tr>
      <w:tr w:rsidR="002F49AA" w:rsidRPr="00F75F84" w:rsidTr="00E60DEE">
        <w:trPr>
          <w:trHeight w:val="113"/>
        </w:trPr>
        <w:tc>
          <w:tcPr>
            <w:tcW w:w="724" w:type="dxa"/>
            <w:tcBorders>
              <w:top w:val="nil"/>
              <w:left w:val="single" w:sz="4" w:space="0" w:color="auto"/>
              <w:right w:val="nil"/>
            </w:tcBorders>
            <w:shd w:val="clear" w:color="auto" w:fill="auto"/>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5222</w:t>
            </w:r>
          </w:p>
        </w:tc>
        <w:tc>
          <w:tcPr>
            <w:tcW w:w="5954" w:type="dxa"/>
            <w:tcBorders>
              <w:top w:val="nil"/>
              <w:left w:val="single" w:sz="4" w:space="0" w:color="auto"/>
              <w:right w:val="single" w:sz="4" w:space="0" w:color="auto"/>
            </w:tcBorders>
            <w:shd w:val="clear" w:color="auto" w:fill="auto"/>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Vedoucí pracovních týmů v prodejnách</w:t>
            </w:r>
          </w:p>
        </w:tc>
        <w:tc>
          <w:tcPr>
            <w:tcW w:w="992" w:type="dxa"/>
            <w:tcBorders>
              <w:top w:val="nil"/>
              <w:left w:val="nil"/>
              <w:right w:val="single" w:sz="4" w:space="0" w:color="auto"/>
            </w:tcBorders>
            <w:shd w:val="clear" w:color="auto" w:fill="auto"/>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678</w:t>
            </w:r>
          </w:p>
        </w:tc>
        <w:tc>
          <w:tcPr>
            <w:tcW w:w="850" w:type="dxa"/>
            <w:tcBorders>
              <w:top w:val="nil"/>
              <w:left w:val="nil"/>
              <w:right w:val="single" w:sz="4" w:space="0" w:color="auto"/>
            </w:tcBorders>
            <w:vAlign w:val="center"/>
          </w:tcPr>
          <w:p w:rsidR="002F49AA" w:rsidRPr="00620597" w:rsidRDefault="002F49AA" w:rsidP="00696DB7">
            <w:pPr>
              <w:spacing w:line="240" w:lineRule="auto"/>
              <w:jc w:val="right"/>
              <w:rPr>
                <w:rFonts w:cs="Arial"/>
                <w:b/>
                <w:color w:val="000000"/>
                <w:sz w:val="20"/>
                <w:szCs w:val="20"/>
              </w:rPr>
            </w:pPr>
            <w:r w:rsidRPr="00620597">
              <w:rPr>
                <w:rFonts w:cs="Arial"/>
                <w:color w:val="000000"/>
                <w:sz w:val="20"/>
                <w:szCs w:val="20"/>
              </w:rPr>
              <w:t>392</w:t>
            </w:r>
          </w:p>
        </w:tc>
        <w:tc>
          <w:tcPr>
            <w:tcW w:w="850" w:type="dxa"/>
            <w:tcBorders>
              <w:top w:val="nil"/>
              <w:left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1,7</w:t>
            </w:r>
          </w:p>
        </w:tc>
      </w:tr>
      <w:tr w:rsidR="002F49AA" w:rsidRPr="00F75F84" w:rsidTr="0084502B">
        <w:trPr>
          <w:trHeight w:val="113"/>
        </w:trPr>
        <w:tc>
          <w:tcPr>
            <w:tcW w:w="724" w:type="dxa"/>
            <w:tcBorders>
              <w:top w:val="nil"/>
              <w:left w:val="single" w:sz="4" w:space="0" w:color="auto"/>
              <w:bottom w:val="single" w:sz="4" w:space="0" w:color="auto"/>
              <w:right w:val="nil"/>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5223</w:t>
            </w:r>
          </w:p>
        </w:tc>
        <w:tc>
          <w:tcPr>
            <w:tcW w:w="5954" w:type="dxa"/>
            <w:tcBorders>
              <w:top w:val="nil"/>
              <w:left w:val="single" w:sz="4" w:space="0" w:color="auto"/>
              <w:bottom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Prodavači v prodejnách</w:t>
            </w:r>
          </w:p>
        </w:tc>
        <w:tc>
          <w:tcPr>
            <w:tcW w:w="992" w:type="dxa"/>
            <w:tcBorders>
              <w:top w:val="nil"/>
              <w:left w:val="nil"/>
              <w:bottom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27 515</w:t>
            </w:r>
          </w:p>
        </w:tc>
        <w:tc>
          <w:tcPr>
            <w:tcW w:w="850" w:type="dxa"/>
            <w:tcBorders>
              <w:top w:val="nil"/>
              <w:left w:val="nil"/>
              <w:bottom w:val="single" w:sz="4" w:space="0" w:color="auto"/>
              <w:right w:val="single" w:sz="4" w:space="0" w:color="auto"/>
            </w:tcBorders>
            <w:shd w:val="clear" w:color="auto" w:fill="DBE5F1" w:themeFill="accent1" w:themeFillTint="33"/>
            <w:vAlign w:val="center"/>
          </w:tcPr>
          <w:p w:rsidR="002F49AA" w:rsidRPr="00620597" w:rsidRDefault="002F49AA" w:rsidP="00696DB7">
            <w:pPr>
              <w:spacing w:line="240" w:lineRule="auto"/>
              <w:jc w:val="right"/>
              <w:rPr>
                <w:rFonts w:cs="Arial"/>
                <w:color w:val="000000"/>
                <w:sz w:val="20"/>
                <w:szCs w:val="20"/>
              </w:rPr>
            </w:pPr>
            <w:r w:rsidRPr="00620597">
              <w:rPr>
                <w:rFonts w:cs="Arial"/>
                <w:color w:val="000000"/>
                <w:sz w:val="20"/>
                <w:szCs w:val="20"/>
              </w:rPr>
              <w:t>3 634</w:t>
            </w:r>
          </w:p>
        </w:tc>
        <w:tc>
          <w:tcPr>
            <w:tcW w:w="850" w:type="dxa"/>
            <w:tcBorders>
              <w:top w:val="nil"/>
              <w:left w:val="nil"/>
              <w:bottom w:val="single" w:sz="4" w:space="0" w:color="auto"/>
              <w:right w:val="single" w:sz="4" w:space="0" w:color="auto"/>
            </w:tcBorders>
            <w:shd w:val="clear" w:color="auto" w:fill="DBE5F1" w:themeFill="accent1"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7,6</w:t>
            </w:r>
          </w:p>
        </w:tc>
      </w:tr>
      <w:tr w:rsidR="002F49AA" w:rsidRPr="00F75F84" w:rsidTr="0084502B">
        <w:trPr>
          <w:trHeight w:val="113"/>
        </w:trPr>
        <w:tc>
          <w:tcPr>
            <w:tcW w:w="724" w:type="dxa"/>
            <w:tcBorders>
              <w:top w:val="nil"/>
              <w:left w:val="single" w:sz="4" w:space="0" w:color="auto"/>
              <w:bottom w:val="nil"/>
              <w:right w:val="nil"/>
            </w:tcBorders>
            <w:shd w:val="clear" w:color="auto" w:fill="C6D9F1" w:themeFill="text2" w:themeFillTint="33"/>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911</w:t>
            </w:r>
          </w:p>
        </w:tc>
        <w:tc>
          <w:tcPr>
            <w:tcW w:w="5954" w:type="dxa"/>
            <w:tcBorders>
              <w:top w:val="nil"/>
              <w:left w:val="single" w:sz="4" w:space="0" w:color="auto"/>
              <w:bottom w:val="nil"/>
              <w:right w:val="single" w:sz="4" w:space="0" w:color="auto"/>
            </w:tcBorders>
            <w:shd w:val="clear" w:color="auto" w:fill="C6D9F1" w:themeFill="text2" w:themeFillTint="33"/>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Uklízeči a pomocníci v domácnostech, hotelích, administrativních, průmyslových a jiných objektech</w:t>
            </w:r>
          </w:p>
        </w:tc>
        <w:tc>
          <w:tcPr>
            <w:tcW w:w="992" w:type="dxa"/>
            <w:tcBorders>
              <w:top w:val="nil"/>
              <w:left w:val="nil"/>
              <w:bottom w:val="nil"/>
              <w:right w:val="single" w:sz="4" w:space="0" w:color="auto"/>
            </w:tcBorders>
            <w:shd w:val="clear" w:color="auto" w:fill="C6D9F1" w:themeFill="text2" w:themeFillTint="33"/>
            <w:vAlign w:val="center"/>
            <w:hideMark/>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18 138</w:t>
            </w:r>
          </w:p>
        </w:tc>
        <w:tc>
          <w:tcPr>
            <w:tcW w:w="850" w:type="dxa"/>
            <w:tcBorders>
              <w:top w:val="nil"/>
              <w:left w:val="nil"/>
              <w:bottom w:val="nil"/>
              <w:right w:val="single" w:sz="4" w:space="0" w:color="auto"/>
            </w:tcBorders>
            <w:shd w:val="clear" w:color="auto" w:fill="C6D9F1" w:themeFill="text2" w:themeFillTint="33"/>
            <w:vAlign w:val="center"/>
          </w:tcPr>
          <w:p w:rsidR="002F49AA" w:rsidRPr="00146299" w:rsidRDefault="002F49AA" w:rsidP="00696DB7">
            <w:pPr>
              <w:spacing w:line="240" w:lineRule="auto"/>
              <w:jc w:val="right"/>
              <w:rPr>
                <w:rFonts w:cs="Arial"/>
                <w:b/>
                <w:color w:val="000000"/>
                <w:sz w:val="20"/>
                <w:szCs w:val="20"/>
              </w:rPr>
            </w:pPr>
            <w:r w:rsidRPr="002F49AA">
              <w:rPr>
                <w:rFonts w:cs="Arial"/>
                <w:b/>
                <w:color w:val="000000"/>
                <w:sz w:val="20"/>
                <w:szCs w:val="20"/>
              </w:rPr>
              <w:t>3 896</w:t>
            </w:r>
          </w:p>
        </w:tc>
        <w:tc>
          <w:tcPr>
            <w:tcW w:w="850" w:type="dxa"/>
            <w:tcBorders>
              <w:top w:val="nil"/>
              <w:left w:val="nil"/>
              <w:bottom w:val="nil"/>
              <w:right w:val="single" w:sz="4" w:space="0" w:color="auto"/>
            </w:tcBorders>
            <w:shd w:val="clear" w:color="auto" w:fill="C6D9F1" w:themeFill="text2"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4,7</w:t>
            </w:r>
          </w:p>
        </w:tc>
      </w:tr>
      <w:tr w:rsidR="002F49AA" w:rsidRPr="00F75F84" w:rsidTr="0084502B">
        <w:trPr>
          <w:trHeight w:val="113"/>
        </w:trPr>
        <w:tc>
          <w:tcPr>
            <w:tcW w:w="724" w:type="dxa"/>
            <w:tcBorders>
              <w:top w:val="nil"/>
              <w:left w:val="single" w:sz="4" w:space="0" w:color="auto"/>
              <w:bottom w:val="nil"/>
              <w:right w:val="nil"/>
            </w:tcBorders>
            <w:shd w:val="clear" w:color="auto" w:fill="DBE5F1" w:themeFill="accent1" w:themeFillTint="33"/>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9111</w:t>
            </w:r>
          </w:p>
        </w:tc>
        <w:tc>
          <w:tcPr>
            <w:tcW w:w="5954" w:type="dxa"/>
            <w:tcBorders>
              <w:top w:val="nil"/>
              <w:left w:val="single" w:sz="4" w:space="0" w:color="auto"/>
              <w:bottom w:val="nil"/>
              <w:right w:val="single" w:sz="4" w:space="0" w:color="auto"/>
            </w:tcBorders>
            <w:shd w:val="clear" w:color="auto" w:fill="DBE5F1" w:themeFill="accent1" w:themeFillTint="33"/>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Uklízeči a pomocníci v domácnostech (kromě hospodyní)</w:t>
            </w:r>
          </w:p>
        </w:tc>
        <w:tc>
          <w:tcPr>
            <w:tcW w:w="992" w:type="dxa"/>
            <w:tcBorders>
              <w:top w:val="nil"/>
              <w:left w:val="nil"/>
              <w:bottom w:val="nil"/>
              <w:right w:val="single" w:sz="4" w:space="0" w:color="auto"/>
            </w:tcBorders>
            <w:shd w:val="clear" w:color="auto" w:fill="DBE5F1" w:themeFill="accent1" w:themeFillTint="33"/>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504</w:t>
            </w:r>
          </w:p>
        </w:tc>
        <w:tc>
          <w:tcPr>
            <w:tcW w:w="850" w:type="dxa"/>
            <w:tcBorders>
              <w:top w:val="nil"/>
              <w:left w:val="nil"/>
              <w:bottom w:val="nil"/>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75</w:t>
            </w:r>
          </w:p>
        </w:tc>
        <w:tc>
          <w:tcPr>
            <w:tcW w:w="850" w:type="dxa"/>
            <w:tcBorders>
              <w:top w:val="nil"/>
              <w:left w:val="nil"/>
              <w:bottom w:val="nil"/>
              <w:right w:val="single" w:sz="4" w:space="0" w:color="auto"/>
            </w:tcBorders>
            <w:shd w:val="clear" w:color="auto" w:fill="DBE5F1" w:themeFill="accent1"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6,7</w:t>
            </w:r>
          </w:p>
        </w:tc>
      </w:tr>
      <w:tr w:rsidR="002F49AA" w:rsidRPr="00F75F84" w:rsidTr="00E60DEE">
        <w:trPr>
          <w:trHeight w:val="113"/>
        </w:trPr>
        <w:tc>
          <w:tcPr>
            <w:tcW w:w="724" w:type="dxa"/>
            <w:tcBorders>
              <w:top w:val="nil"/>
              <w:left w:val="single" w:sz="4" w:space="0" w:color="auto"/>
              <w:bottom w:val="single" w:sz="4" w:space="0" w:color="auto"/>
              <w:right w:val="nil"/>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9112</w:t>
            </w:r>
          </w:p>
        </w:tc>
        <w:tc>
          <w:tcPr>
            <w:tcW w:w="5954" w:type="dxa"/>
            <w:tcBorders>
              <w:top w:val="nil"/>
              <w:left w:val="single" w:sz="4" w:space="0" w:color="auto"/>
              <w:bottom w:val="single" w:sz="4" w:space="0" w:color="auto"/>
              <w:right w:val="single" w:sz="4" w:space="0" w:color="auto"/>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Uklízeči a pomocníci v hotelích, administrativních, průmyslových a jiných objektech</w:t>
            </w:r>
          </w:p>
        </w:tc>
        <w:tc>
          <w:tcPr>
            <w:tcW w:w="992" w:type="dxa"/>
            <w:tcBorders>
              <w:top w:val="nil"/>
              <w:left w:val="nil"/>
              <w:bottom w:val="single" w:sz="4" w:space="0" w:color="auto"/>
              <w:right w:val="single" w:sz="4" w:space="0" w:color="auto"/>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14 778</w:t>
            </w:r>
          </w:p>
        </w:tc>
        <w:tc>
          <w:tcPr>
            <w:tcW w:w="850" w:type="dxa"/>
            <w:tcBorders>
              <w:top w:val="nil"/>
              <w:left w:val="nil"/>
              <w:bottom w:val="single" w:sz="4" w:space="0" w:color="auto"/>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3 702</w:t>
            </w:r>
          </w:p>
        </w:tc>
        <w:tc>
          <w:tcPr>
            <w:tcW w:w="850" w:type="dxa"/>
            <w:tcBorders>
              <w:top w:val="nil"/>
              <w:left w:val="nil"/>
              <w:bottom w:val="single" w:sz="4" w:space="0" w:color="auto"/>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4,0</w:t>
            </w:r>
          </w:p>
        </w:tc>
      </w:tr>
      <w:tr w:rsidR="002F49AA" w:rsidRPr="00DF5AFE" w:rsidTr="00E60DEE">
        <w:trPr>
          <w:trHeight w:val="113"/>
        </w:trPr>
        <w:tc>
          <w:tcPr>
            <w:tcW w:w="724" w:type="dxa"/>
            <w:tcBorders>
              <w:top w:val="single" w:sz="4" w:space="0" w:color="auto"/>
              <w:left w:val="single" w:sz="4" w:space="0" w:color="auto"/>
              <w:bottom w:val="nil"/>
              <w:right w:val="nil"/>
            </w:tcBorders>
            <w:shd w:val="clear" w:color="auto" w:fill="auto"/>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541</w:t>
            </w:r>
          </w:p>
        </w:tc>
        <w:tc>
          <w:tcPr>
            <w:tcW w:w="5954" w:type="dxa"/>
            <w:tcBorders>
              <w:top w:val="single" w:sz="4" w:space="0" w:color="auto"/>
              <w:left w:val="single" w:sz="4" w:space="0" w:color="auto"/>
              <w:bottom w:val="nil"/>
              <w:right w:val="nil"/>
            </w:tcBorders>
            <w:shd w:val="clear" w:color="auto" w:fill="auto"/>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Pracovníci v oblasti ochrany a ostrahy</w:t>
            </w:r>
          </w:p>
        </w:tc>
        <w:tc>
          <w:tcPr>
            <w:tcW w:w="992" w:type="dxa"/>
            <w:tcBorders>
              <w:top w:val="single" w:sz="4" w:space="0" w:color="auto"/>
              <w:left w:val="single" w:sz="4" w:space="0" w:color="auto"/>
              <w:bottom w:val="nil"/>
              <w:right w:val="single" w:sz="4" w:space="0" w:color="auto"/>
            </w:tcBorders>
            <w:shd w:val="clear" w:color="auto" w:fill="auto"/>
            <w:vAlign w:val="center"/>
            <w:hideMark/>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14 905</w:t>
            </w:r>
          </w:p>
        </w:tc>
        <w:tc>
          <w:tcPr>
            <w:tcW w:w="850" w:type="dxa"/>
            <w:tcBorders>
              <w:top w:val="single" w:sz="4" w:space="0" w:color="auto"/>
              <w:left w:val="single" w:sz="4" w:space="0" w:color="auto"/>
              <w:bottom w:val="nil"/>
              <w:right w:val="single" w:sz="4" w:space="0" w:color="auto"/>
            </w:tcBorders>
            <w:vAlign w:val="center"/>
          </w:tcPr>
          <w:p w:rsidR="002F49AA" w:rsidRPr="00620597" w:rsidRDefault="002F49AA" w:rsidP="00696DB7">
            <w:pPr>
              <w:spacing w:line="240" w:lineRule="auto"/>
              <w:jc w:val="right"/>
              <w:rPr>
                <w:rFonts w:cs="Arial"/>
                <w:b/>
                <w:color w:val="000000"/>
                <w:sz w:val="20"/>
                <w:szCs w:val="20"/>
              </w:rPr>
            </w:pPr>
            <w:r w:rsidRPr="00620597">
              <w:rPr>
                <w:rFonts w:cs="Arial"/>
                <w:b/>
                <w:color w:val="000000"/>
                <w:sz w:val="20"/>
                <w:szCs w:val="20"/>
              </w:rPr>
              <w:t>4 752</w:t>
            </w:r>
          </w:p>
        </w:tc>
        <w:tc>
          <w:tcPr>
            <w:tcW w:w="850" w:type="dxa"/>
            <w:tcBorders>
              <w:top w:val="single" w:sz="4" w:space="0" w:color="auto"/>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3,1</w:t>
            </w:r>
          </w:p>
        </w:tc>
      </w:tr>
      <w:tr w:rsidR="002F49AA" w:rsidRPr="00F75F84" w:rsidTr="0084502B">
        <w:trPr>
          <w:trHeight w:val="113"/>
        </w:trPr>
        <w:tc>
          <w:tcPr>
            <w:tcW w:w="724" w:type="dxa"/>
            <w:tcBorders>
              <w:top w:val="nil"/>
              <w:left w:val="single" w:sz="4" w:space="0" w:color="auto"/>
              <w:bottom w:val="nil"/>
              <w:right w:val="nil"/>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5411</w:t>
            </w:r>
          </w:p>
        </w:tc>
        <w:tc>
          <w:tcPr>
            <w:tcW w:w="5954" w:type="dxa"/>
            <w:tcBorders>
              <w:top w:val="nil"/>
              <w:left w:val="single" w:sz="4" w:space="0" w:color="auto"/>
              <w:bottom w:val="nil"/>
              <w:right w:val="nil"/>
            </w:tcBorders>
            <w:shd w:val="clear" w:color="auto" w:fill="DBE5F1" w:themeFill="accent1" w:themeFillTint="33"/>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 xml:space="preserve">Příslušníci </w:t>
            </w:r>
            <w:r>
              <w:rPr>
                <w:rFonts w:cs="Arial"/>
                <w:color w:val="000000"/>
                <w:sz w:val="20"/>
                <w:szCs w:val="20"/>
              </w:rPr>
              <w:t>HZS</w:t>
            </w:r>
            <w:r w:rsidRPr="00146299">
              <w:rPr>
                <w:rFonts w:cs="Arial"/>
                <w:color w:val="000000"/>
                <w:sz w:val="20"/>
                <w:szCs w:val="20"/>
              </w:rPr>
              <w:t xml:space="preserve"> ČR a hasiči ostatních jednotek požární ochrany</w:t>
            </w:r>
          </w:p>
        </w:tc>
        <w:tc>
          <w:tcPr>
            <w:tcW w:w="992" w:type="dxa"/>
            <w:tcBorders>
              <w:top w:val="nil"/>
              <w:left w:val="single" w:sz="4" w:space="0" w:color="auto"/>
              <w:bottom w:val="nil"/>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173</w:t>
            </w:r>
          </w:p>
        </w:tc>
        <w:tc>
          <w:tcPr>
            <w:tcW w:w="850" w:type="dxa"/>
            <w:tcBorders>
              <w:top w:val="nil"/>
              <w:left w:val="single" w:sz="4" w:space="0" w:color="auto"/>
              <w:bottom w:val="nil"/>
              <w:right w:val="single" w:sz="4" w:space="0" w:color="auto"/>
            </w:tcBorders>
            <w:shd w:val="clear" w:color="auto" w:fill="DBE5F1" w:themeFill="accent1" w:themeFillTint="33"/>
            <w:vAlign w:val="center"/>
          </w:tcPr>
          <w:p w:rsidR="002F49AA" w:rsidRPr="00620597" w:rsidRDefault="002F49AA" w:rsidP="00696DB7">
            <w:pPr>
              <w:spacing w:line="240" w:lineRule="auto"/>
              <w:jc w:val="right"/>
              <w:rPr>
                <w:rFonts w:cs="Arial"/>
                <w:color w:val="000000"/>
                <w:sz w:val="20"/>
                <w:szCs w:val="20"/>
              </w:rPr>
            </w:pPr>
            <w:r w:rsidRPr="00620597">
              <w:rPr>
                <w:rFonts w:cs="Arial"/>
                <w:color w:val="000000"/>
                <w:sz w:val="20"/>
                <w:szCs w:val="20"/>
              </w:rPr>
              <w:t>9</w:t>
            </w:r>
          </w:p>
        </w:tc>
        <w:tc>
          <w:tcPr>
            <w:tcW w:w="850" w:type="dxa"/>
            <w:tcBorders>
              <w:top w:val="nil"/>
              <w:left w:val="single" w:sz="4" w:space="0" w:color="auto"/>
              <w:bottom w:val="nil"/>
              <w:right w:val="single" w:sz="4" w:space="0" w:color="auto"/>
            </w:tcBorders>
            <w:shd w:val="clear" w:color="auto" w:fill="DBE5F1" w:themeFill="accent1"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19,2</w:t>
            </w:r>
          </w:p>
        </w:tc>
      </w:tr>
      <w:tr w:rsidR="002F49AA" w:rsidRPr="00F75F84" w:rsidTr="00E60DEE">
        <w:trPr>
          <w:trHeight w:val="113"/>
        </w:trPr>
        <w:tc>
          <w:tcPr>
            <w:tcW w:w="724" w:type="dxa"/>
            <w:tcBorders>
              <w:top w:val="nil"/>
              <w:left w:val="single" w:sz="4" w:space="0" w:color="auto"/>
              <w:bottom w:val="nil"/>
              <w:right w:val="nil"/>
            </w:tcBorders>
            <w:shd w:val="clear" w:color="auto" w:fill="auto"/>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5412</w:t>
            </w:r>
          </w:p>
        </w:tc>
        <w:tc>
          <w:tcPr>
            <w:tcW w:w="5954" w:type="dxa"/>
            <w:tcBorders>
              <w:top w:val="nil"/>
              <w:left w:val="single" w:sz="4" w:space="0" w:color="auto"/>
              <w:bottom w:val="nil"/>
              <w:right w:val="nil"/>
            </w:tcBorders>
            <w:shd w:val="clear" w:color="auto" w:fill="auto"/>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Policisté</w:t>
            </w:r>
          </w:p>
        </w:tc>
        <w:tc>
          <w:tcPr>
            <w:tcW w:w="992" w:type="dxa"/>
            <w:tcBorders>
              <w:top w:val="nil"/>
              <w:left w:val="single" w:sz="4" w:space="0" w:color="auto"/>
              <w:bottom w:val="nil"/>
              <w:right w:val="single" w:sz="4" w:space="0" w:color="auto"/>
            </w:tcBorders>
            <w:shd w:val="clear" w:color="auto" w:fill="auto"/>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710</w:t>
            </w:r>
          </w:p>
        </w:tc>
        <w:tc>
          <w:tcPr>
            <w:tcW w:w="850" w:type="dxa"/>
            <w:tcBorders>
              <w:top w:val="nil"/>
              <w:left w:val="single" w:sz="4" w:space="0" w:color="auto"/>
              <w:bottom w:val="nil"/>
              <w:right w:val="single" w:sz="4" w:space="0" w:color="auto"/>
            </w:tcBorders>
            <w:vAlign w:val="center"/>
          </w:tcPr>
          <w:p w:rsidR="002F49AA" w:rsidRPr="00620597" w:rsidRDefault="002F49AA" w:rsidP="00696DB7">
            <w:pPr>
              <w:spacing w:line="240" w:lineRule="auto"/>
              <w:jc w:val="right"/>
              <w:rPr>
                <w:rFonts w:cs="Arial"/>
                <w:color w:val="000000"/>
                <w:sz w:val="20"/>
                <w:szCs w:val="20"/>
              </w:rPr>
            </w:pPr>
            <w:r w:rsidRPr="00620597">
              <w:rPr>
                <w:rFonts w:cs="Arial"/>
                <w:color w:val="000000"/>
                <w:sz w:val="20"/>
                <w:szCs w:val="20"/>
              </w:rPr>
              <w:t>475</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1,5</w:t>
            </w:r>
          </w:p>
        </w:tc>
      </w:tr>
      <w:tr w:rsidR="002F49AA" w:rsidRPr="00F75F84" w:rsidTr="00E60DEE">
        <w:trPr>
          <w:trHeight w:val="113"/>
        </w:trPr>
        <w:tc>
          <w:tcPr>
            <w:tcW w:w="724" w:type="dxa"/>
            <w:tcBorders>
              <w:top w:val="nil"/>
              <w:left w:val="single" w:sz="4" w:space="0" w:color="auto"/>
              <w:bottom w:val="nil"/>
              <w:right w:val="nil"/>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5413</w:t>
            </w:r>
          </w:p>
        </w:tc>
        <w:tc>
          <w:tcPr>
            <w:tcW w:w="5954" w:type="dxa"/>
            <w:tcBorders>
              <w:top w:val="nil"/>
              <w:left w:val="single" w:sz="4" w:space="0" w:color="auto"/>
              <w:bottom w:val="nil"/>
              <w:right w:val="nil"/>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Pracovníci vězeňské služby</w:t>
            </w:r>
          </w:p>
        </w:tc>
        <w:tc>
          <w:tcPr>
            <w:tcW w:w="992" w:type="dxa"/>
            <w:tcBorders>
              <w:top w:val="nil"/>
              <w:left w:val="single" w:sz="4" w:space="0" w:color="auto"/>
              <w:bottom w:val="nil"/>
              <w:right w:val="single" w:sz="4" w:space="0" w:color="auto"/>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30</w:t>
            </w:r>
          </w:p>
        </w:tc>
        <w:tc>
          <w:tcPr>
            <w:tcW w:w="850" w:type="dxa"/>
            <w:tcBorders>
              <w:top w:val="nil"/>
              <w:left w:val="single" w:sz="4" w:space="0" w:color="auto"/>
              <w:bottom w:val="nil"/>
              <w:right w:val="single" w:sz="4" w:space="0" w:color="auto"/>
            </w:tcBorders>
            <w:vAlign w:val="center"/>
          </w:tcPr>
          <w:p w:rsidR="002F49AA" w:rsidRPr="00620597" w:rsidRDefault="002F49AA" w:rsidP="00696DB7">
            <w:pPr>
              <w:spacing w:line="240" w:lineRule="auto"/>
              <w:jc w:val="right"/>
              <w:rPr>
                <w:rFonts w:cs="Arial"/>
                <w:color w:val="000000"/>
                <w:sz w:val="20"/>
                <w:szCs w:val="20"/>
              </w:rPr>
            </w:pPr>
            <w:r w:rsidRPr="00620597">
              <w:rPr>
                <w:rFonts w:cs="Arial"/>
                <w:color w:val="000000"/>
                <w:sz w:val="20"/>
                <w:szCs w:val="20"/>
              </w:rPr>
              <w:t>104</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0,3</w:t>
            </w:r>
          </w:p>
        </w:tc>
      </w:tr>
      <w:tr w:rsidR="002F49AA" w:rsidRPr="00F75F84" w:rsidTr="00E60DEE">
        <w:trPr>
          <w:trHeight w:val="113"/>
        </w:trPr>
        <w:tc>
          <w:tcPr>
            <w:tcW w:w="724" w:type="dxa"/>
            <w:tcBorders>
              <w:top w:val="nil"/>
              <w:left w:val="single" w:sz="4" w:space="0" w:color="auto"/>
              <w:bottom w:val="single" w:sz="4" w:space="0" w:color="auto"/>
              <w:right w:val="nil"/>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5414</w:t>
            </w:r>
          </w:p>
        </w:tc>
        <w:tc>
          <w:tcPr>
            <w:tcW w:w="5954" w:type="dxa"/>
            <w:tcBorders>
              <w:top w:val="nil"/>
              <w:left w:val="single" w:sz="4" w:space="0" w:color="auto"/>
              <w:bottom w:val="single" w:sz="4" w:space="0" w:color="auto"/>
              <w:right w:val="nil"/>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Pracovníci ostrahy a bezpečnostních agentur</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13 242</w:t>
            </w:r>
          </w:p>
        </w:tc>
        <w:tc>
          <w:tcPr>
            <w:tcW w:w="850" w:type="dxa"/>
            <w:tcBorders>
              <w:top w:val="nil"/>
              <w:left w:val="single" w:sz="4" w:space="0" w:color="auto"/>
              <w:bottom w:val="single" w:sz="4" w:space="0" w:color="auto"/>
              <w:right w:val="single" w:sz="4" w:space="0" w:color="auto"/>
            </w:tcBorders>
            <w:vAlign w:val="center"/>
          </w:tcPr>
          <w:p w:rsidR="002F49AA" w:rsidRPr="00620597" w:rsidRDefault="002F49AA" w:rsidP="00696DB7">
            <w:pPr>
              <w:spacing w:line="240" w:lineRule="auto"/>
              <w:jc w:val="right"/>
              <w:rPr>
                <w:rFonts w:cs="Arial"/>
                <w:color w:val="000000"/>
                <w:sz w:val="20"/>
                <w:szCs w:val="20"/>
              </w:rPr>
            </w:pPr>
            <w:r w:rsidRPr="00620597">
              <w:rPr>
                <w:rFonts w:cs="Arial"/>
                <w:color w:val="000000"/>
                <w:sz w:val="20"/>
                <w:szCs w:val="20"/>
              </w:rPr>
              <w:t>3 958</w:t>
            </w:r>
          </w:p>
        </w:tc>
        <w:tc>
          <w:tcPr>
            <w:tcW w:w="850" w:type="dxa"/>
            <w:tcBorders>
              <w:top w:val="nil"/>
              <w:left w:val="single" w:sz="4" w:space="0" w:color="auto"/>
              <w:bottom w:val="single" w:sz="4" w:space="0" w:color="auto"/>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3,3</w:t>
            </w:r>
          </w:p>
        </w:tc>
      </w:tr>
      <w:tr w:rsidR="002F49AA" w:rsidRPr="00F75F84" w:rsidTr="0084502B">
        <w:trPr>
          <w:trHeight w:val="113"/>
        </w:trPr>
        <w:tc>
          <w:tcPr>
            <w:tcW w:w="724" w:type="dxa"/>
            <w:tcBorders>
              <w:top w:val="nil"/>
              <w:left w:val="single" w:sz="4" w:space="0" w:color="auto"/>
              <w:bottom w:val="nil"/>
              <w:right w:val="single" w:sz="4" w:space="0" w:color="auto"/>
            </w:tcBorders>
            <w:shd w:val="clear" w:color="auto" w:fill="C6D9F1" w:themeFill="text2" w:themeFillTint="33"/>
            <w:noWrap/>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832</w:t>
            </w:r>
          </w:p>
        </w:tc>
        <w:tc>
          <w:tcPr>
            <w:tcW w:w="5954" w:type="dxa"/>
            <w:tcBorders>
              <w:top w:val="nil"/>
              <w:left w:val="nil"/>
              <w:bottom w:val="nil"/>
              <w:right w:val="nil"/>
            </w:tcBorders>
            <w:shd w:val="clear" w:color="auto" w:fill="C6D9F1" w:themeFill="text2" w:themeFillTint="33"/>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Řidiči motocyklů a automobilů (kromě nákladních)</w:t>
            </w:r>
          </w:p>
        </w:tc>
        <w:tc>
          <w:tcPr>
            <w:tcW w:w="992" w:type="dxa"/>
            <w:tcBorders>
              <w:top w:val="nil"/>
              <w:left w:val="single" w:sz="4" w:space="0" w:color="auto"/>
              <w:bottom w:val="nil"/>
              <w:right w:val="single" w:sz="4" w:space="0" w:color="auto"/>
            </w:tcBorders>
            <w:shd w:val="clear" w:color="auto" w:fill="C6D9F1" w:themeFill="text2" w:themeFillTint="33"/>
            <w:noWrap/>
            <w:vAlign w:val="center"/>
            <w:hideMark/>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11 993</w:t>
            </w:r>
          </w:p>
        </w:tc>
        <w:tc>
          <w:tcPr>
            <w:tcW w:w="850" w:type="dxa"/>
            <w:tcBorders>
              <w:top w:val="nil"/>
              <w:left w:val="single" w:sz="4" w:space="0" w:color="auto"/>
              <w:bottom w:val="nil"/>
              <w:right w:val="single" w:sz="4" w:space="0" w:color="auto"/>
            </w:tcBorders>
            <w:shd w:val="clear" w:color="auto" w:fill="C6D9F1" w:themeFill="text2" w:themeFillTint="33"/>
            <w:vAlign w:val="center"/>
          </w:tcPr>
          <w:p w:rsidR="002F49AA" w:rsidRPr="002F49AA" w:rsidRDefault="002F49AA" w:rsidP="00696DB7">
            <w:pPr>
              <w:spacing w:line="240" w:lineRule="auto"/>
              <w:jc w:val="right"/>
              <w:rPr>
                <w:rFonts w:cs="Arial"/>
                <w:b/>
                <w:color w:val="000000"/>
                <w:sz w:val="20"/>
                <w:szCs w:val="20"/>
              </w:rPr>
            </w:pPr>
            <w:r w:rsidRPr="002F49AA">
              <w:rPr>
                <w:rFonts w:cs="Arial"/>
                <w:b/>
                <w:color w:val="000000"/>
                <w:sz w:val="20"/>
                <w:szCs w:val="20"/>
              </w:rPr>
              <w:t>989</w:t>
            </w:r>
          </w:p>
        </w:tc>
        <w:tc>
          <w:tcPr>
            <w:tcW w:w="850" w:type="dxa"/>
            <w:tcBorders>
              <w:top w:val="nil"/>
              <w:left w:val="single" w:sz="4" w:space="0" w:color="auto"/>
              <w:bottom w:val="nil"/>
              <w:right w:val="single" w:sz="4" w:space="0" w:color="auto"/>
            </w:tcBorders>
            <w:shd w:val="clear" w:color="auto" w:fill="C6D9F1" w:themeFill="text2"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12,1</w:t>
            </w:r>
          </w:p>
        </w:tc>
      </w:tr>
      <w:tr w:rsidR="002F49AA" w:rsidRPr="00F75F84" w:rsidTr="00E60DEE">
        <w:trPr>
          <w:trHeight w:val="113"/>
        </w:trPr>
        <w:tc>
          <w:tcPr>
            <w:tcW w:w="724" w:type="dxa"/>
            <w:tcBorders>
              <w:top w:val="nil"/>
              <w:left w:val="single" w:sz="4" w:space="0" w:color="auto"/>
              <w:bottom w:val="nil"/>
              <w:right w:val="single" w:sz="4" w:space="0" w:color="auto"/>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8321</w:t>
            </w:r>
          </w:p>
        </w:tc>
        <w:tc>
          <w:tcPr>
            <w:tcW w:w="5954" w:type="dxa"/>
            <w:tcBorders>
              <w:top w:val="nil"/>
              <w:left w:val="nil"/>
              <w:bottom w:val="nil"/>
              <w:right w:val="nil"/>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Řidiči motocyklů</w:t>
            </w:r>
          </w:p>
        </w:tc>
        <w:tc>
          <w:tcPr>
            <w:tcW w:w="992" w:type="dxa"/>
            <w:tcBorders>
              <w:top w:val="nil"/>
              <w:left w:val="single" w:sz="4" w:space="0" w:color="auto"/>
              <w:bottom w:val="nil"/>
              <w:right w:val="single" w:sz="4" w:space="0" w:color="auto"/>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4</w:t>
            </w:r>
          </w:p>
        </w:tc>
        <w:tc>
          <w:tcPr>
            <w:tcW w:w="850" w:type="dxa"/>
            <w:tcBorders>
              <w:top w:val="nil"/>
              <w:left w:val="single" w:sz="4" w:space="0" w:color="auto"/>
              <w:bottom w:val="nil"/>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0</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X</w:t>
            </w:r>
          </w:p>
        </w:tc>
      </w:tr>
      <w:tr w:rsidR="002F49AA" w:rsidRPr="00F75F84" w:rsidTr="0084502B">
        <w:trPr>
          <w:trHeight w:val="113"/>
        </w:trPr>
        <w:tc>
          <w:tcPr>
            <w:tcW w:w="724" w:type="dxa"/>
            <w:tcBorders>
              <w:top w:val="nil"/>
              <w:left w:val="single" w:sz="4" w:space="0" w:color="auto"/>
              <w:bottom w:val="single" w:sz="4" w:space="0" w:color="auto"/>
              <w:right w:val="single" w:sz="4" w:space="0" w:color="auto"/>
            </w:tcBorders>
            <w:shd w:val="clear" w:color="auto" w:fill="DBE5F1" w:themeFill="accent1" w:themeFillTint="33"/>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8322</w:t>
            </w:r>
          </w:p>
        </w:tc>
        <w:tc>
          <w:tcPr>
            <w:tcW w:w="5954" w:type="dxa"/>
            <w:tcBorders>
              <w:top w:val="nil"/>
              <w:left w:val="nil"/>
              <w:bottom w:val="single" w:sz="4" w:space="0" w:color="auto"/>
              <w:right w:val="nil"/>
            </w:tcBorders>
            <w:shd w:val="clear" w:color="auto" w:fill="DBE5F1" w:themeFill="accent1" w:themeFillTint="33"/>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Řidiči osobních a malých dodávkových automobilů, taxikáři</w:t>
            </w:r>
          </w:p>
        </w:tc>
        <w:tc>
          <w:tcPr>
            <w:tcW w:w="992" w:type="dxa"/>
            <w:tcBorders>
              <w:top w:val="nil"/>
              <w:left w:val="single" w:sz="4" w:space="0" w:color="auto"/>
              <w:bottom w:val="single" w:sz="4" w:space="0" w:color="auto"/>
              <w:right w:val="single" w:sz="4" w:space="0" w:color="auto"/>
            </w:tcBorders>
            <w:shd w:val="clear" w:color="auto" w:fill="DBE5F1" w:themeFill="accent1" w:themeFillTint="33"/>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11 553</w:t>
            </w:r>
          </w:p>
        </w:tc>
        <w:tc>
          <w:tcPr>
            <w:tcW w:w="850" w:type="dxa"/>
            <w:tcBorders>
              <w:top w:val="nil"/>
              <w:left w:val="single" w:sz="4" w:space="0" w:color="auto"/>
              <w:bottom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984</w:t>
            </w:r>
          </w:p>
        </w:tc>
        <w:tc>
          <w:tcPr>
            <w:tcW w:w="850" w:type="dxa"/>
            <w:tcBorders>
              <w:top w:val="nil"/>
              <w:left w:val="single" w:sz="4" w:space="0" w:color="auto"/>
              <w:bottom w:val="single" w:sz="4" w:space="0" w:color="auto"/>
              <w:right w:val="single" w:sz="4" w:space="0" w:color="auto"/>
            </w:tcBorders>
            <w:shd w:val="clear" w:color="auto" w:fill="DBE5F1" w:themeFill="accent1"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11,7</w:t>
            </w:r>
          </w:p>
        </w:tc>
      </w:tr>
      <w:tr w:rsidR="002F49AA" w:rsidRPr="00F75F84" w:rsidTr="00E60DEE">
        <w:trPr>
          <w:trHeight w:val="113"/>
        </w:trPr>
        <w:tc>
          <w:tcPr>
            <w:tcW w:w="724" w:type="dxa"/>
            <w:tcBorders>
              <w:top w:val="single" w:sz="4" w:space="0" w:color="auto"/>
              <w:left w:val="single" w:sz="4" w:space="0" w:color="auto"/>
              <w:bottom w:val="nil"/>
              <w:right w:val="single" w:sz="4" w:space="0" w:color="auto"/>
            </w:tcBorders>
            <w:shd w:val="clear" w:color="auto" w:fill="auto"/>
            <w:noWrap/>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711</w:t>
            </w:r>
          </w:p>
        </w:tc>
        <w:tc>
          <w:tcPr>
            <w:tcW w:w="5954" w:type="dxa"/>
            <w:tcBorders>
              <w:top w:val="single" w:sz="4" w:space="0" w:color="auto"/>
              <w:left w:val="nil"/>
              <w:bottom w:val="nil"/>
              <w:right w:val="nil"/>
            </w:tcBorders>
            <w:shd w:val="clear" w:color="auto" w:fill="auto"/>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Řemeslníci a kvalifikovaní pracovníci hlavní stavební výroby</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10 729</w:t>
            </w:r>
          </w:p>
        </w:tc>
        <w:tc>
          <w:tcPr>
            <w:tcW w:w="850" w:type="dxa"/>
            <w:tcBorders>
              <w:top w:val="single" w:sz="4" w:space="0" w:color="auto"/>
              <w:left w:val="single" w:sz="4" w:space="0" w:color="auto"/>
              <w:bottom w:val="nil"/>
              <w:right w:val="single" w:sz="4" w:space="0" w:color="auto"/>
            </w:tcBorders>
            <w:vAlign w:val="center"/>
          </w:tcPr>
          <w:p w:rsidR="002F49AA" w:rsidRPr="00146299" w:rsidRDefault="002F49AA" w:rsidP="00696DB7">
            <w:pPr>
              <w:spacing w:line="240" w:lineRule="auto"/>
              <w:jc w:val="right"/>
              <w:rPr>
                <w:rFonts w:cs="Arial"/>
                <w:b/>
                <w:color w:val="000000"/>
                <w:sz w:val="20"/>
                <w:szCs w:val="20"/>
              </w:rPr>
            </w:pPr>
            <w:r w:rsidRPr="002F49AA">
              <w:rPr>
                <w:rFonts w:cs="Arial"/>
                <w:b/>
                <w:color w:val="000000"/>
                <w:sz w:val="20"/>
                <w:szCs w:val="20"/>
              </w:rPr>
              <w:t>3 735</w:t>
            </w:r>
          </w:p>
        </w:tc>
        <w:tc>
          <w:tcPr>
            <w:tcW w:w="850" w:type="dxa"/>
            <w:tcBorders>
              <w:top w:val="single" w:sz="4" w:space="0" w:color="auto"/>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2,9</w:t>
            </w:r>
          </w:p>
        </w:tc>
      </w:tr>
      <w:tr w:rsidR="002F49AA" w:rsidRPr="00F75F84" w:rsidTr="00E60DEE">
        <w:trPr>
          <w:trHeight w:val="113"/>
        </w:trPr>
        <w:tc>
          <w:tcPr>
            <w:tcW w:w="724" w:type="dxa"/>
            <w:tcBorders>
              <w:top w:val="nil"/>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7111</w:t>
            </w:r>
          </w:p>
        </w:tc>
        <w:tc>
          <w:tcPr>
            <w:tcW w:w="5954" w:type="dxa"/>
            <w:tcBorders>
              <w:top w:val="nil"/>
              <w:left w:val="nil"/>
              <w:bottom w:val="nil"/>
              <w:right w:val="nil"/>
            </w:tcBorders>
            <w:shd w:val="clear" w:color="auto" w:fill="auto"/>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Pracovníci montovaných staveb</w:t>
            </w:r>
          </w:p>
        </w:tc>
        <w:tc>
          <w:tcPr>
            <w:tcW w:w="992" w:type="dxa"/>
            <w:tcBorders>
              <w:top w:val="nil"/>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62</w:t>
            </w:r>
          </w:p>
        </w:tc>
        <w:tc>
          <w:tcPr>
            <w:tcW w:w="850" w:type="dxa"/>
            <w:tcBorders>
              <w:top w:val="nil"/>
              <w:left w:val="single" w:sz="4" w:space="0" w:color="auto"/>
              <w:bottom w:val="nil"/>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53</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1,2</w:t>
            </w:r>
          </w:p>
        </w:tc>
      </w:tr>
      <w:tr w:rsidR="002F49AA" w:rsidRPr="00F75F84" w:rsidTr="00E60DEE">
        <w:trPr>
          <w:trHeight w:val="113"/>
        </w:trPr>
        <w:tc>
          <w:tcPr>
            <w:tcW w:w="724" w:type="dxa"/>
            <w:tcBorders>
              <w:top w:val="nil"/>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7112</w:t>
            </w:r>
          </w:p>
        </w:tc>
        <w:tc>
          <w:tcPr>
            <w:tcW w:w="5954" w:type="dxa"/>
            <w:tcBorders>
              <w:top w:val="nil"/>
              <w:left w:val="nil"/>
              <w:bottom w:val="nil"/>
              <w:right w:val="nil"/>
            </w:tcBorders>
            <w:shd w:val="clear" w:color="auto" w:fill="auto"/>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Zedníci, kamnáři, dlaždiči a montéři suchých staveb</w:t>
            </w:r>
          </w:p>
        </w:tc>
        <w:tc>
          <w:tcPr>
            <w:tcW w:w="992" w:type="dxa"/>
            <w:tcBorders>
              <w:top w:val="nil"/>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7 607</w:t>
            </w:r>
          </w:p>
        </w:tc>
        <w:tc>
          <w:tcPr>
            <w:tcW w:w="850" w:type="dxa"/>
            <w:tcBorders>
              <w:top w:val="nil"/>
              <w:left w:val="single" w:sz="4" w:space="0" w:color="auto"/>
              <w:bottom w:val="nil"/>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2 459</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3,1</w:t>
            </w:r>
          </w:p>
        </w:tc>
      </w:tr>
      <w:tr w:rsidR="002F49AA" w:rsidRPr="00F75F84" w:rsidTr="00E60DEE">
        <w:trPr>
          <w:trHeight w:val="113"/>
        </w:trPr>
        <w:tc>
          <w:tcPr>
            <w:tcW w:w="724" w:type="dxa"/>
            <w:tcBorders>
              <w:top w:val="nil"/>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7113</w:t>
            </w:r>
          </w:p>
        </w:tc>
        <w:tc>
          <w:tcPr>
            <w:tcW w:w="5954" w:type="dxa"/>
            <w:tcBorders>
              <w:top w:val="nil"/>
              <w:left w:val="nil"/>
              <w:bottom w:val="nil"/>
              <w:right w:val="nil"/>
            </w:tcBorders>
            <w:shd w:val="clear" w:color="auto" w:fill="auto"/>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Kameníci, řezači a brusiči kamene</w:t>
            </w:r>
          </w:p>
        </w:tc>
        <w:tc>
          <w:tcPr>
            <w:tcW w:w="992" w:type="dxa"/>
            <w:tcBorders>
              <w:top w:val="nil"/>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109</w:t>
            </w:r>
          </w:p>
        </w:tc>
        <w:tc>
          <w:tcPr>
            <w:tcW w:w="850" w:type="dxa"/>
            <w:tcBorders>
              <w:top w:val="nil"/>
              <w:left w:val="single" w:sz="4" w:space="0" w:color="auto"/>
              <w:bottom w:val="nil"/>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78</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1,4</w:t>
            </w:r>
          </w:p>
        </w:tc>
      </w:tr>
      <w:tr w:rsidR="002F49AA" w:rsidRPr="00F75F84" w:rsidTr="00E60DEE">
        <w:trPr>
          <w:trHeight w:val="113"/>
        </w:trPr>
        <w:tc>
          <w:tcPr>
            <w:tcW w:w="724" w:type="dxa"/>
            <w:tcBorders>
              <w:top w:val="nil"/>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7114</w:t>
            </w:r>
          </w:p>
        </w:tc>
        <w:tc>
          <w:tcPr>
            <w:tcW w:w="5954" w:type="dxa"/>
            <w:tcBorders>
              <w:top w:val="nil"/>
              <w:left w:val="nil"/>
              <w:bottom w:val="nil"/>
              <w:right w:val="nil"/>
            </w:tcBorders>
            <w:shd w:val="clear" w:color="auto" w:fill="auto"/>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Betonáři, železobetonáři a příbuzní pracovníci</w:t>
            </w:r>
          </w:p>
        </w:tc>
        <w:tc>
          <w:tcPr>
            <w:tcW w:w="992" w:type="dxa"/>
            <w:tcBorders>
              <w:top w:val="nil"/>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61</w:t>
            </w:r>
          </w:p>
        </w:tc>
        <w:tc>
          <w:tcPr>
            <w:tcW w:w="850" w:type="dxa"/>
            <w:tcBorders>
              <w:top w:val="nil"/>
              <w:left w:val="single" w:sz="4" w:space="0" w:color="auto"/>
              <w:bottom w:val="nil"/>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159</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0,4</w:t>
            </w:r>
          </w:p>
        </w:tc>
      </w:tr>
      <w:tr w:rsidR="002F49AA" w:rsidRPr="00F75F84" w:rsidTr="00E60DEE">
        <w:trPr>
          <w:trHeight w:val="113"/>
        </w:trPr>
        <w:tc>
          <w:tcPr>
            <w:tcW w:w="724" w:type="dxa"/>
            <w:tcBorders>
              <w:top w:val="nil"/>
              <w:left w:val="single" w:sz="4" w:space="0" w:color="auto"/>
              <w:bottom w:val="nil"/>
              <w:right w:val="single" w:sz="4" w:space="0" w:color="auto"/>
            </w:tcBorders>
            <w:shd w:val="clear" w:color="auto" w:fill="auto"/>
            <w:noWrap/>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7115</w:t>
            </w:r>
          </w:p>
        </w:tc>
        <w:tc>
          <w:tcPr>
            <w:tcW w:w="5954" w:type="dxa"/>
            <w:tcBorders>
              <w:top w:val="nil"/>
              <w:left w:val="nil"/>
              <w:bottom w:val="nil"/>
              <w:right w:val="nil"/>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Tesaři a stavební truhláři</w:t>
            </w:r>
          </w:p>
        </w:tc>
        <w:tc>
          <w:tcPr>
            <w:tcW w:w="992" w:type="dxa"/>
            <w:tcBorders>
              <w:top w:val="nil"/>
              <w:left w:val="single" w:sz="4" w:space="0" w:color="auto"/>
              <w:bottom w:val="nil"/>
              <w:right w:val="single" w:sz="4" w:space="0" w:color="auto"/>
            </w:tcBorders>
            <w:shd w:val="clear" w:color="auto" w:fill="auto"/>
            <w:noWrap/>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1 386</w:t>
            </w:r>
          </w:p>
        </w:tc>
        <w:tc>
          <w:tcPr>
            <w:tcW w:w="850" w:type="dxa"/>
            <w:tcBorders>
              <w:top w:val="nil"/>
              <w:left w:val="single" w:sz="4" w:space="0" w:color="auto"/>
              <w:bottom w:val="nil"/>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449</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3,1</w:t>
            </w:r>
          </w:p>
        </w:tc>
      </w:tr>
      <w:tr w:rsidR="002F49AA" w:rsidRPr="00F75F84" w:rsidTr="00E60DEE">
        <w:trPr>
          <w:trHeight w:val="113"/>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7119</w:t>
            </w:r>
          </w:p>
        </w:tc>
        <w:tc>
          <w:tcPr>
            <w:tcW w:w="5954" w:type="dxa"/>
            <w:tcBorders>
              <w:top w:val="nil"/>
              <w:left w:val="nil"/>
              <w:bottom w:val="single" w:sz="4" w:space="0" w:color="auto"/>
              <w:right w:val="nil"/>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Ostatní řemeslníci a kvalifikovaní pracovníci hlavní stavební výroby</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1 345</w:t>
            </w:r>
          </w:p>
        </w:tc>
        <w:tc>
          <w:tcPr>
            <w:tcW w:w="850" w:type="dxa"/>
            <w:tcBorders>
              <w:top w:val="nil"/>
              <w:left w:val="single" w:sz="4" w:space="0" w:color="auto"/>
              <w:bottom w:val="single" w:sz="4" w:space="0" w:color="auto"/>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510</w:t>
            </w:r>
          </w:p>
        </w:tc>
        <w:tc>
          <w:tcPr>
            <w:tcW w:w="850" w:type="dxa"/>
            <w:tcBorders>
              <w:top w:val="nil"/>
              <w:left w:val="single" w:sz="4" w:space="0" w:color="auto"/>
              <w:bottom w:val="single" w:sz="4" w:space="0" w:color="auto"/>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2,6</w:t>
            </w:r>
          </w:p>
        </w:tc>
      </w:tr>
      <w:tr w:rsidR="002F49AA" w:rsidRPr="00F75F84" w:rsidTr="00E60DEE">
        <w:trPr>
          <w:trHeight w:val="113"/>
        </w:trPr>
        <w:tc>
          <w:tcPr>
            <w:tcW w:w="724" w:type="dxa"/>
            <w:tcBorders>
              <w:top w:val="nil"/>
              <w:left w:val="single" w:sz="4" w:space="0" w:color="auto"/>
              <w:bottom w:val="nil"/>
              <w:right w:val="single" w:sz="4" w:space="0" w:color="auto"/>
            </w:tcBorders>
            <w:shd w:val="clear" w:color="auto" w:fill="auto"/>
            <w:noWrap/>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513</w:t>
            </w:r>
          </w:p>
        </w:tc>
        <w:tc>
          <w:tcPr>
            <w:tcW w:w="5954" w:type="dxa"/>
            <w:tcBorders>
              <w:top w:val="nil"/>
              <w:left w:val="nil"/>
              <w:bottom w:val="nil"/>
              <w:right w:val="nil"/>
            </w:tcBorders>
            <w:shd w:val="clear" w:color="auto" w:fill="auto"/>
            <w:vAlign w:val="center"/>
            <w:hideMark/>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Číšníci, servírky a barmani</w:t>
            </w:r>
          </w:p>
        </w:tc>
        <w:tc>
          <w:tcPr>
            <w:tcW w:w="992" w:type="dxa"/>
            <w:tcBorders>
              <w:top w:val="nil"/>
              <w:left w:val="single" w:sz="4" w:space="0" w:color="auto"/>
              <w:bottom w:val="nil"/>
              <w:right w:val="single" w:sz="4" w:space="0" w:color="auto"/>
            </w:tcBorders>
            <w:shd w:val="clear" w:color="auto" w:fill="auto"/>
            <w:noWrap/>
            <w:vAlign w:val="center"/>
            <w:hideMark/>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9 938</w:t>
            </w:r>
          </w:p>
        </w:tc>
        <w:tc>
          <w:tcPr>
            <w:tcW w:w="850" w:type="dxa"/>
            <w:tcBorders>
              <w:top w:val="nil"/>
              <w:left w:val="single" w:sz="4" w:space="0" w:color="auto"/>
              <w:bottom w:val="nil"/>
              <w:right w:val="single" w:sz="4" w:space="0" w:color="auto"/>
            </w:tcBorders>
            <w:vAlign w:val="center"/>
          </w:tcPr>
          <w:p w:rsidR="002F49AA" w:rsidRPr="00146299" w:rsidRDefault="002F49AA" w:rsidP="00696DB7">
            <w:pPr>
              <w:spacing w:line="240" w:lineRule="auto"/>
              <w:jc w:val="right"/>
              <w:rPr>
                <w:rFonts w:cs="Arial"/>
                <w:b/>
                <w:color w:val="000000"/>
                <w:sz w:val="20"/>
                <w:szCs w:val="20"/>
              </w:rPr>
            </w:pPr>
            <w:r w:rsidRPr="002F49AA">
              <w:rPr>
                <w:rFonts w:cs="Arial"/>
                <w:b/>
                <w:color w:val="000000"/>
                <w:sz w:val="20"/>
                <w:szCs w:val="20"/>
              </w:rPr>
              <w:t>3 135</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3,2</w:t>
            </w:r>
          </w:p>
        </w:tc>
      </w:tr>
      <w:tr w:rsidR="002F49AA" w:rsidRPr="00F75F84" w:rsidTr="00E60DEE">
        <w:trPr>
          <w:trHeight w:val="113"/>
        </w:trPr>
        <w:tc>
          <w:tcPr>
            <w:tcW w:w="724" w:type="dxa"/>
            <w:tcBorders>
              <w:top w:val="nil"/>
              <w:left w:val="single" w:sz="4" w:space="0" w:color="auto"/>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5131</w:t>
            </w:r>
          </w:p>
        </w:tc>
        <w:tc>
          <w:tcPr>
            <w:tcW w:w="5954" w:type="dxa"/>
            <w:tcBorders>
              <w:top w:val="nil"/>
              <w:left w:val="nil"/>
              <w:right w:val="nil"/>
            </w:tcBorders>
            <w:shd w:val="clear" w:color="auto" w:fill="auto"/>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Číšníci a servírky</w:t>
            </w:r>
          </w:p>
        </w:tc>
        <w:tc>
          <w:tcPr>
            <w:tcW w:w="992" w:type="dxa"/>
            <w:tcBorders>
              <w:top w:val="nil"/>
              <w:left w:val="single" w:sz="4" w:space="0" w:color="auto"/>
              <w:right w:val="single" w:sz="4" w:space="0" w:color="auto"/>
            </w:tcBorders>
            <w:shd w:val="clear" w:color="auto" w:fill="auto"/>
            <w:noWrap/>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7 529</w:t>
            </w:r>
          </w:p>
        </w:tc>
        <w:tc>
          <w:tcPr>
            <w:tcW w:w="850" w:type="dxa"/>
            <w:tcBorders>
              <w:top w:val="nil"/>
              <w:left w:val="single" w:sz="4" w:space="0" w:color="auto"/>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2 758</w:t>
            </w:r>
          </w:p>
        </w:tc>
        <w:tc>
          <w:tcPr>
            <w:tcW w:w="850" w:type="dxa"/>
            <w:tcBorders>
              <w:top w:val="nil"/>
              <w:left w:val="single" w:sz="4" w:space="0" w:color="auto"/>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2,7</w:t>
            </w:r>
          </w:p>
        </w:tc>
      </w:tr>
      <w:tr w:rsidR="002F49AA" w:rsidRPr="00F75F84" w:rsidTr="00E60DEE">
        <w:trPr>
          <w:trHeight w:val="113"/>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5132</w:t>
            </w:r>
          </w:p>
        </w:tc>
        <w:tc>
          <w:tcPr>
            <w:tcW w:w="5954" w:type="dxa"/>
            <w:tcBorders>
              <w:top w:val="nil"/>
              <w:left w:val="nil"/>
              <w:bottom w:val="single" w:sz="4" w:space="0" w:color="auto"/>
              <w:right w:val="nil"/>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Barmani</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965</w:t>
            </w:r>
          </w:p>
        </w:tc>
        <w:tc>
          <w:tcPr>
            <w:tcW w:w="850" w:type="dxa"/>
            <w:tcBorders>
              <w:top w:val="nil"/>
              <w:left w:val="single" w:sz="4" w:space="0" w:color="auto"/>
              <w:bottom w:val="single" w:sz="4" w:space="0" w:color="auto"/>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266</w:t>
            </w:r>
          </w:p>
        </w:tc>
        <w:tc>
          <w:tcPr>
            <w:tcW w:w="850" w:type="dxa"/>
            <w:tcBorders>
              <w:top w:val="nil"/>
              <w:left w:val="single" w:sz="4" w:space="0" w:color="auto"/>
              <w:bottom w:val="single" w:sz="4" w:space="0" w:color="auto"/>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3,6</w:t>
            </w:r>
          </w:p>
        </w:tc>
      </w:tr>
      <w:tr w:rsidR="002F49AA" w:rsidRPr="00F75F84" w:rsidTr="00E60DEE">
        <w:trPr>
          <w:trHeight w:val="113"/>
        </w:trPr>
        <w:tc>
          <w:tcPr>
            <w:tcW w:w="724" w:type="dxa"/>
            <w:tcBorders>
              <w:top w:val="single" w:sz="4" w:space="0" w:color="auto"/>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512</w:t>
            </w:r>
          </w:p>
        </w:tc>
        <w:tc>
          <w:tcPr>
            <w:tcW w:w="5954" w:type="dxa"/>
            <w:tcBorders>
              <w:top w:val="single" w:sz="4" w:space="0" w:color="auto"/>
              <w:left w:val="nil"/>
              <w:bottom w:val="nil"/>
              <w:right w:val="nil"/>
            </w:tcBorders>
            <w:shd w:val="clear" w:color="auto" w:fill="auto"/>
            <w:vAlign w:val="center"/>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Kuchaři (kromě šéfkuchařů), pomocní kuchaři</w:t>
            </w:r>
          </w:p>
        </w:tc>
        <w:tc>
          <w:tcPr>
            <w:tcW w:w="992" w:type="dxa"/>
            <w:tcBorders>
              <w:top w:val="single" w:sz="4" w:space="0" w:color="auto"/>
              <w:left w:val="single" w:sz="4" w:space="0" w:color="auto"/>
              <w:bottom w:val="nil"/>
              <w:right w:val="single" w:sz="4" w:space="0" w:color="auto"/>
            </w:tcBorders>
            <w:shd w:val="clear" w:color="auto" w:fill="auto"/>
            <w:noWrap/>
            <w:vAlign w:val="center"/>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8 967</w:t>
            </w:r>
          </w:p>
        </w:tc>
        <w:tc>
          <w:tcPr>
            <w:tcW w:w="850" w:type="dxa"/>
            <w:tcBorders>
              <w:top w:val="single" w:sz="4" w:space="0" w:color="auto"/>
              <w:left w:val="single" w:sz="4" w:space="0" w:color="auto"/>
              <w:bottom w:val="nil"/>
              <w:right w:val="single" w:sz="4" w:space="0" w:color="auto"/>
            </w:tcBorders>
            <w:vAlign w:val="center"/>
          </w:tcPr>
          <w:p w:rsidR="002F49AA" w:rsidRPr="00620597" w:rsidRDefault="002F49AA" w:rsidP="00696DB7">
            <w:pPr>
              <w:spacing w:line="240" w:lineRule="auto"/>
              <w:jc w:val="right"/>
              <w:rPr>
                <w:rFonts w:cs="Arial"/>
                <w:color w:val="000000"/>
                <w:sz w:val="20"/>
                <w:szCs w:val="20"/>
              </w:rPr>
            </w:pPr>
            <w:r w:rsidRPr="00620597">
              <w:rPr>
                <w:rFonts w:cs="Arial"/>
                <w:b/>
                <w:color w:val="000000"/>
                <w:sz w:val="20"/>
                <w:szCs w:val="20"/>
              </w:rPr>
              <w:t>4 430</w:t>
            </w:r>
          </w:p>
        </w:tc>
        <w:tc>
          <w:tcPr>
            <w:tcW w:w="850" w:type="dxa"/>
            <w:tcBorders>
              <w:top w:val="single" w:sz="4" w:space="0" w:color="auto"/>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2,0</w:t>
            </w:r>
          </w:p>
        </w:tc>
      </w:tr>
      <w:tr w:rsidR="002F49AA" w:rsidRPr="00F75F84" w:rsidTr="00E60DEE">
        <w:trPr>
          <w:trHeight w:val="113"/>
        </w:trPr>
        <w:tc>
          <w:tcPr>
            <w:tcW w:w="724" w:type="dxa"/>
            <w:tcBorders>
              <w:top w:val="nil"/>
              <w:left w:val="single" w:sz="4" w:space="0" w:color="auto"/>
              <w:bottom w:val="nil"/>
              <w:right w:val="single" w:sz="4" w:space="0" w:color="auto"/>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5120</w:t>
            </w:r>
          </w:p>
        </w:tc>
        <w:tc>
          <w:tcPr>
            <w:tcW w:w="5954" w:type="dxa"/>
            <w:tcBorders>
              <w:top w:val="nil"/>
              <w:left w:val="nil"/>
              <w:bottom w:val="nil"/>
              <w:right w:val="nil"/>
            </w:tcBorders>
            <w:shd w:val="clear" w:color="auto" w:fill="auto"/>
            <w:vAlign w:val="center"/>
            <w:hideMark/>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Kuchaři (kromě šéfkuchařů), pomocní kuchaři</w:t>
            </w:r>
          </w:p>
        </w:tc>
        <w:tc>
          <w:tcPr>
            <w:tcW w:w="992" w:type="dxa"/>
            <w:tcBorders>
              <w:top w:val="nil"/>
              <w:left w:val="single" w:sz="4" w:space="0" w:color="auto"/>
              <w:bottom w:val="nil"/>
              <w:right w:val="single" w:sz="4" w:space="0" w:color="auto"/>
            </w:tcBorders>
            <w:shd w:val="clear" w:color="auto" w:fill="auto"/>
            <w:vAlign w:val="center"/>
            <w:hideMark/>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7 320</w:t>
            </w:r>
          </w:p>
        </w:tc>
        <w:tc>
          <w:tcPr>
            <w:tcW w:w="850" w:type="dxa"/>
            <w:tcBorders>
              <w:top w:val="nil"/>
              <w:left w:val="single" w:sz="4" w:space="0" w:color="auto"/>
              <w:bottom w:val="nil"/>
              <w:right w:val="single" w:sz="4" w:space="0" w:color="auto"/>
            </w:tcBorders>
            <w:vAlign w:val="center"/>
          </w:tcPr>
          <w:p w:rsidR="002F49AA" w:rsidRPr="00620597" w:rsidRDefault="002F49AA" w:rsidP="00696DB7">
            <w:pPr>
              <w:spacing w:line="240" w:lineRule="auto"/>
              <w:jc w:val="right"/>
              <w:rPr>
                <w:rFonts w:cs="Arial"/>
                <w:color w:val="000000"/>
                <w:sz w:val="20"/>
                <w:szCs w:val="20"/>
              </w:rPr>
            </w:pPr>
            <w:r w:rsidRPr="00620597">
              <w:rPr>
                <w:rFonts w:cs="Arial"/>
                <w:color w:val="000000"/>
                <w:sz w:val="20"/>
                <w:szCs w:val="20"/>
              </w:rPr>
              <w:t>4 327</w:t>
            </w:r>
          </w:p>
        </w:tc>
        <w:tc>
          <w:tcPr>
            <w:tcW w:w="850" w:type="dxa"/>
            <w:tcBorders>
              <w:top w:val="nil"/>
              <w:left w:val="single" w:sz="4" w:space="0" w:color="auto"/>
              <w:bottom w:val="nil"/>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1,7</w:t>
            </w:r>
          </w:p>
        </w:tc>
      </w:tr>
      <w:tr w:rsidR="002F49AA" w:rsidRPr="00F75F84" w:rsidTr="00E60DEE">
        <w:trPr>
          <w:trHeight w:val="113"/>
        </w:trPr>
        <w:tc>
          <w:tcPr>
            <w:tcW w:w="724" w:type="dxa"/>
            <w:tcBorders>
              <w:top w:val="single" w:sz="4" w:space="0" w:color="auto"/>
              <w:left w:val="single" w:sz="4" w:space="0" w:color="auto"/>
              <w:right w:val="single" w:sz="4" w:space="0" w:color="auto"/>
            </w:tcBorders>
            <w:shd w:val="clear" w:color="auto" w:fill="auto"/>
            <w:vAlign w:val="center"/>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933</w:t>
            </w:r>
          </w:p>
        </w:tc>
        <w:tc>
          <w:tcPr>
            <w:tcW w:w="5954" w:type="dxa"/>
            <w:tcBorders>
              <w:top w:val="single" w:sz="4" w:space="0" w:color="auto"/>
              <w:left w:val="nil"/>
              <w:right w:val="nil"/>
            </w:tcBorders>
            <w:shd w:val="clear" w:color="auto" w:fill="auto"/>
            <w:vAlign w:val="center"/>
          </w:tcPr>
          <w:p w:rsidR="002F49AA" w:rsidRPr="00146299" w:rsidRDefault="002F49AA" w:rsidP="00696DB7">
            <w:pPr>
              <w:spacing w:line="240" w:lineRule="auto"/>
              <w:rPr>
                <w:rFonts w:cs="Arial"/>
                <w:b/>
                <w:color w:val="000000"/>
                <w:sz w:val="20"/>
                <w:szCs w:val="20"/>
              </w:rPr>
            </w:pPr>
            <w:r w:rsidRPr="00146299">
              <w:rPr>
                <w:rFonts w:cs="Arial"/>
                <w:b/>
                <w:color w:val="000000"/>
                <w:sz w:val="20"/>
                <w:szCs w:val="20"/>
              </w:rPr>
              <w:t>Pomocní pracovníci v dopravě a skladování</w:t>
            </w:r>
          </w:p>
        </w:tc>
        <w:tc>
          <w:tcPr>
            <w:tcW w:w="992" w:type="dxa"/>
            <w:tcBorders>
              <w:top w:val="single" w:sz="4" w:space="0" w:color="auto"/>
              <w:left w:val="single" w:sz="4" w:space="0" w:color="auto"/>
              <w:right w:val="single" w:sz="4" w:space="0" w:color="auto"/>
            </w:tcBorders>
            <w:shd w:val="clear" w:color="auto" w:fill="auto"/>
            <w:vAlign w:val="center"/>
          </w:tcPr>
          <w:p w:rsidR="002F49AA" w:rsidRPr="00146299" w:rsidRDefault="002F49AA" w:rsidP="00696DB7">
            <w:pPr>
              <w:spacing w:line="240" w:lineRule="auto"/>
              <w:jc w:val="right"/>
              <w:rPr>
                <w:rFonts w:cs="Arial"/>
                <w:b/>
                <w:color w:val="000000"/>
                <w:sz w:val="20"/>
                <w:szCs w:val="20"/>
              </w:rPr>
            </w:pPr>
            <w:r w:rsidRPr="00146299">
              <w:rPr>
                <w:rFonts w:cs="Arial"/>
                <w:b/>
                <w:color w:val="000000"/>
                <w:sz w:val="20"/>
                <w:szCs w:val="20"/>
              </w:rPr>
              <w:t>7 282</w:t>
            </w:r>
          </w:p>
        </w:tc>
        <w:tc>
          <w:tcPr>
            <w:tcW w:w="850" w:type="dxa"/>
            <w:tcBorders>
              <w:top w:val="single" w:sz="4" w:space="0" w:color="auto"/>
              <w:left w:val="single" w:sz="4" w:space="0" w:color="auto"/>
              <w:right w:val="single" w:sz="4" w:space="0" w:color="auto"/>
            </w:tcBorders>
            <w:vAlign w:val="center"/>
          </w:tcPr>
          <w:p w:rsidR="002F49AA" w:rsidRPr="00146299" w:rsidRDefault="002F49AA" w:rsidP="00696DB7">
            <w:pPr>
              <w:spacing w:line="240" w:lineRule="auto"/>
              <w:jc w:val="right"/>
              <w:rPr>
                <w:rFonts w:cs="Arial"/>
                <w:b/>
                <w:color w:val="000000"/>
                <w:sz w:val="20"/>
                <w:szCs w:val="20"/>
              </w:rPr>
            </w:pPr>
            <w:r w:rsidRPr="002F49AA">
              <w:rPr>
                <w:rFonts w:cs="Arial"/>
                <w:b/>
                <w:color w:val="000000"/>
                <w:sz w:val="20"/>
                <w:szCs w:val="20"/>
              </w:rPr>
              <w:t>2 384</w:t>
            </w:r>
          </w:p>
        </w:tc>
        <w:tc>
          <w:tcPr>
            <w:tcW w:w="850" w:type="dxa"/>
            <w:tcBorders>
              <w:top w:val="single" w:sz="4" w:space="0" w:color="auto"/>
              <w:left w:val="single" w:sz="4" w:space="0" w:color="auto"/>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3,1</w:t>
            </w:r>
          </w:p>
        </w:tc>
      </w:tr>
      <w:tr w:rsidR="002F49AA" w:rsidRPr="00F75F84" w:rsidTr="0084502B">
        <w:trPr>
          <w:trHeight w:val="113"/>
        </w:trPr>
        <w:tc>
          <w:tcPr>
            <w:tcW w:w="724" w:type="dxa"/>
            <w:tcBorders>
              <w:top w:val="nil"/>
              <w:left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9331</w:t>
            </w:r>
          </w:p>
        </w:tc>
        <w:tc>
          <w:tcPr>
            <w:tcW w:w="5954" w:type="dxa"/>
            <w:tcBorders>
              <w:top w:val="nil"/>
              <w:left w:val="nil"/>
              <w:right w:val="nil"/>
            </w:tcBorders>
            <w:shd w:val="clear" w:color="auto" w:fill="DBE5F1" w:themeFill="accent1" w:themeFillTint="33"/>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Řidiči nemotorových vozidel</w:t>
            </w:r>
          </w:p>
        </w:tc>
        <w:tc>
          <w:tcPr>
            <w:tcW w:w="992" w:type="dxa"/>
            <w:tcBorders>
              <w:top w:val="nil"/>
              <w:left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29</w:t>
            </w:r>
          </w:p>
        </w:tc>
        <w:tc>
          <w:tcPr>
            <w:tcW w:w="850" w:type="dxa"/>
            <w:tcBorders>
              <w:top w:val="nil"/>
              <w:left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1</w:t>
            </w:r>
          </w:p>
        </w:tc>
        <w:tc>
          <w:tcPr>
            <w:tcW w:w="850" w:type="dxa"/>
            <w:tcBorders>
              <w:top w:val="nil"/>
              <w:left w:val="single" w:sz="4" w:space="0" w:color="auto"/>
              <w:right w:val="single" w:sz="4" w:space="0" w:color="auto"/>
            </w:tcBorders>
            <w:shd w:val="clear" w:color="auto" w:fill="DBE5F1" w:themeFill="accent1"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29,0</w:t>
            </w:r>
          </w:p>
        </w:tc>
      </w:tr>
      <w:tr w:rsidR="002F49AA" w:rsidRPr="00F75F84" w:rsidTr="00E60DEE">
        <w:trPr>
          <w:trHeight w:val="113"/>
        </w:trPr>
        <w:tc>
          <w:tcPr>
            <w:tcW w:w="724" w:type="dxa"/>
            <w:tcBorders>
              <w:top w:val="nil"/>
              <w:left w:val="single" w:sz="4" w:space="0" w:color="auto"/>
              <w:right w:val="single" w:sz="4" w:space="0" w:color="auto"/>
            </w:tcBorders>
            <w:shd w:val="clear" w:color="auto" w:fill="auto"/>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9332</w:t>
            </w:r>
          </w:p>
        </w:tc>
        <w:tc>
          <w:tcPr>
            <w:tcW w:w="5954" w:type="dxa"/>
            <w:tcBorders>
              <w:top w:val="nil"/>
              <w:left w:val="nil"/>
              <w:right w:val="nil"/>
            </w:tcBorders>
            <w:shd w:val="clear" w:color="auto" w:fill="auto"/>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Kočí</w:t>
            </w:r>
          </w:p>
        </w:tc>
        <w:tc>
          <w:tcPr>
            <w:tcW w:w="992" w:type="dxa"/>
            <w:tcBorders>
              <w:top w:val="nil"/>
              <w:left w:val="single" w:sz="4" w:space="0" w:color="auto"/>
              <w:right w:val="single" w:sz="4" w:space="0" w:color="auto"/>
            </w:tcBorders>
            <w:shd w:val="clear" w:color="auto" w:fill="auto"/>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w:t>
            </w:r>
          </w:p>
        </w:tc>
        <w:tc>
          <w:tcPr>
            <w:tcW w:w="850" w:type="dxa"/>
            <w:tcBorders>
              <w:top w:val="nil"/>
              <w:left w:val="single" w:sz="4" w:space="0" w:color="auto"/>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3</w:t>
            </w:r>
          </w:p>
        </w:tc>
        <w:tc>
          <w:tcPr>
            <w:tcW w:w="850" w:type="dxa"/>
            <w:tcBorders>
              <w:top w:val="nil"/>
              <w:left w:val="single" w:sz="4" w:space="0" w:color="auto"/>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3,0</w:t>
            </w:r>
          </w:p>
        </w:tc>
      </w:tr>
      <w:tr w:rsidR="002F49AA" w:rsidRPr="00F75F84" w:rsidTr="00E60DEE">
        <w:trPr>
          <w:trHeight w:val="113"/>
        </w:trPr>
        <w:tc>
          <w:tcPr>
            <w:tcW w:w="724" w:type="dxa"/>
            <w:tcBorders>
              <w:top w:val="nil"/>
              <w:left w:val="single" w:sz="4" w:space="0" w:color="auto"/>
              <w:right w:val="single" w:sz="4" w:space="0" w:color="auto"/>
            </w:tcBorders>
            <w:shd w:val="clear" w:color="auto" w:fill="auto"/>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9333</w:t>
            </w:r>
          </w:p>
        </w:tc>
        <w:tc>
          <w:tcPr>
            <w:tcW w:w="5954" w:type="dxa"/>
            <w:tcBorders>
              <w:top w:val="nil"/>
              <w:left w:val="nil"/>
              <w:right w:val="nil"/>
            </w:tcBorders>
            <w:shd w:val="clear" w:color="auto" w:fill="auto"/>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Pomocní manipulační pracovníci (kromě výroby)</w:t>
            </w:r>
          </w:p>
        </w:tc>
        <w:tc>
          <w:tcPr>
            <w:tcW w:w="992" w:type="dxa"/>
            <w:tcBorders>
              <w:top w:val="nil"/>
              <w:left w:val="single" w:sz="4" w:space="0" w:color="auto"/>
              <w:right w:val="single" w:sz="4" w:space="0" w:color="auto"/>
            </w:tcBorders>
            <w:shd w:val="clear" w:color="auto" w:fill="auto"/>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6 638</w:t>
            </w:r>
          </w:p>
        </w:tc>
        <w:tc>
          <w:tcPr>
            <w:tcW w:w="850" w:type="dxa"/>
            <w:tcBorders>
              <w:top w:val="nil"/>
              <w:left w:val="single" w:sz="4" w:space="0" w:color="auto"/>
              <w:right w:val="single" w:sz="4" w:space="0" w:color="auto"/>
            </w:tcBorders>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2 259</w:t>
            </w:r>
          </w:p>
        </w:tc>
        <w:tc>
          <w:tcPr>
            <w:tcW w:w="850" w:type="dxa"/>
            <w:tcBorders>
              <w:top w:val="nil"/>
              <w:left w:val="single" w:sz="4" w:space="0" w:color="auto"/>
              <w:right w:val="single" w:sz="4" w:space="0" w:color="auto"/>
            </w:tcBorders>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2,9</w:t>
            </w:r>
          </w:p>
        </w:tc>
      </w:tr>
      <w:tr w:rsidR="002F49AA" w:rsidRPr="00F75F84" w:rsidTr="0084502B">
        <w:trPr>
          <w:trHeight w:val="113"/>
        </w:trPr>
        <w:tc>
          <w:tcPr>
            <w:tcW w:w="724" w:type="dxa"/>
            <w:tcBorders>
              <w:top w:val="nil"/>
              <w:left w:val="single" w:sz="4" w:space="0" w:color="auto"/>
              <w:bottom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9334</w:t>
            </w:r>
          </w:p>
        </w:tc>
        <w:tc>
          <w:tcPr>
            <w:tcW w:w="5954" w:type="dxa"/>
            <w:tcBorders>
              <w:top w:val="nil"/>
              <w:left w:val="nil"/>
              <w:bottom w:val="single" w:sz="4" w:space="0" w:color="auto"/>
              <w:right w:val="nil"/>
            </w:tcBorders>
            <w:shd w:val="clear" w:color="auto" w:fill="DBE5F1" w:themeFill="accent1" w:themeFillTint="33"/>
            <w:vAlign w:val="center"/>
          </w:tcPr>
          <w:p w:rsidR="002F49AA" w:rsidRPr="00146299" w:rsidRDefault="002F49AA" w:rsidP="00696DB7">
            <w:pPr>
              <w:spacing w:line="240" w:lineRule="auto"/>
              <w:rPr>
                <w:rFonts w:cs="Arial"/>
                <w:color w:val="000000"/>
                <w:sz w:val="20"/>
                <w:szCs w:val="20"/>
              </w:rPr>
            </w:pPr>
            <w:r w:rsidRPr="00146299">
              <w:rPr>
                <w:rFonts w:cs="Arial"/>
                <w:color w:val="000000"/>
                <w:sz w:val="20"/>
                <w:szCs w:val="20"/>
              </w:rPr>
              <w:t>Doplňovači zboží</w:t>
            </w:r>
          </w:p>
        </w:tc>
        <w:tc>
          <w:tcPr>
            <w:tcW w:w="992" w:type="dxa"/>
            <w:tcBorders>
              <w:top w:val="nil"/>
              <w:left w:val="single" w:sz="4" w:space="0" w:color="auto"/>
              <w:bottom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sidRPr="00146299">
              <w:rPr>
                <w:rFonts w:cs="Arial"/>
                <w:color w:val="000000"/>
                <w:sz w:val="20"/>
                <w:szCs w:val="20"/>
              </w:rPr>
              <w:t>383</w:t>
            </w:r>
          </w:p>
        </w:tc>
        <w:tc>
          <w:tcPr>
            <w:tcW w:w="850" w:type="dxa"/>
            <w:tcBorders>
              <w:top w:val="nil"/>
              <w:left w:val="single" w:sz="4" w:space="0" w:color="auto"/>
              <w:bottom w:val="single" w:sz="4" w:space="0" w:color="auto"/>
              <w:right w:val="single" w:sz="4" w:space="0" w:color="auto"/>
            </w:tcBorders>
            <w:shd w:val="clear" w:color="auto" w:fill="DBE5F1" w:themeFill="accent1" w:themeFillTint="33"/>
            <w:vAlign w:val="center"/>
          </w:tcPr>
          <w:p w:rsidR="002F49AA" w:rsidRPr="00146299" w:rsidRDefault="002F49AA" w:rsidP="00696DB7">
            <w:pPr>
              <w:spacing w:line="240" w:lineRule="auto"/>
              <w:jc w:val="right"/>
              <w:rPr>
                <w:rFonts w:cs="Arial"/>
                <w:color w:val="000000"/>
                <w:sz w:val="20"/>
                <w:szCs w:val="20"/>
              </w:rPr>
            </w:pPr>
            <w:r>
              <w:rPr>
                <w:rFonts w:cs="Arial"/>
                <w:color w:val="000000"/>
                <w:sz w:val="20"/>
                <w:szCs w:val="20"/>
              </w:rPr>
              <w:t>63</w:t>
            </w:r>
          </w:p>
        </w:tc>
        <w:tc>
          <w:tcPr>
            <w:tcW w:w="850" w:type="dxa"/>
            <w:tcBorders>
              <w:top w:val="nil"/>
              <w:left w:val="single" w:sz="4" w:space="0" w:color="auto"/>
              <w:bottom w:val="single" w:sz="4" w:space="0" w:color="auto"/>
              <w:right w:val="single" w:sz="4" w:space="0" w:color="auto"/>
            </w:tcBorders>
            <w:shd w:val="clear" w:color="auto" w:fill="DBE5F1" w:themeFill="accent1" w:themeFillTint="33"/>
            <w:vAlign w:val="bottom"/>
          </w:tcPr>
          <w:p w:rsidR="002F49AA" w:rsidRDefault="002F49AA" w:rsidP="00696DB7">
            <w:pPr>
              <w:spacing w:line="240" w:lineRule="auto"/>
              <w:jc w:val="right"/>
              <w:rPr>
                <w:rFonts w:ascii="Calibri" w:hAnsi="Calibri"/>
                <w:color w:val="000000"/>
                <w:sz w:val="22"/>
              </w:rPr>
            </w:pPr>
            <w:r>
              <w:rPr>
                <w:rFonts w:ascii="Calibri" w:hAnsi="Calibri"/>
                <w:color w:val="000000"/>
                <w:sz w:val="22"/>
              </w:rPr>
              <w:t>6,1</w:t>
            </w:r>
          </w:p>
        </w:tc>
      </w:tr>
      <w:tr w:rsidR="002F49AA" w:rsidRPr="00F75F84" w:rsidTr="002F49AA">
        <w:trPr>
          <w:trHeight w:val="113"/>
        </w:trPr>
        <w:tc>
          <w:tcPr>
            <w:tcW w:w="6678" w:type="dxa"/>
            <w:gridSpan w:val="2"/>
            <w:tcBorders>
              <w:top w:val="nil"/>
              <w:left w:val="single" w:sz="4" w:space="0" w:color="auto"/>
              <w:bottom w:val="single" w:sz="4" w:space="0" w:color="auto"/>
              <w:right w:val="single" w:sz="4" w:space="0" w:color="auto"/>
            </w:tcBorders>
            <w:shd w:val="clear" w:color="auto" w:fill="auto"/>
            <w:vAlign w:val="center"/>
            <w:hideMark/>
          </w:tcPr>
          <w:p w:rsidR="002F49AA" w:rsidRPr="00146299" w:rsidRDefault="002F49AA" w:rsidP="00696DB7">
            <w:pPr>
              <w:spacing w:after="100" w:afterAutospacing="1" w:line="240" w:lineRule="auto"/>
              <w:jc w:val="left"/>
              <w:rPr>
                <w:rFonts w:eastAsia="Times New Roman" w:cs="Arial"/>
                <w:b/>
                <w:bCs/>
                <w:color w:val="000000"/>
                <w:sz w:val="20"/>
                <w:szCs w:val="20"/>
                <w:lang w:eastAsia="cs-CZ"/>
              </w:rPr>
            </w:pPr>
            <w:r w:rsidRPr="00146299">
              <w:rPr>
                <w:rFonts w:eastAsia="Times New Roman" w:cs="Arial"/>
                <w:b/>
                <w:bCs/>
                <w:color w:val="000000"/>
                <w:sz w:val="20"/>
                <w:szCs w:val="20"/>
                <w:lang w:eastAsia="cs-CZ"/>
              </w:rPr>
              <w:t>Celkem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F49AA" w:rsidRPr="00146299" w:rsidRDefault="002F49AA" w:rsidP="00696DB7">
            <w:pPr>
              <w:spacing w:after="100" w:afterAutospacing="1" w:line="240" w:lineRule="auto"/>
              <w:jc w:val="right"/>
              <w:rPr>
                <w:rFonts w:eastAsia="Times New Roman" w:cs="Arial"/>
                <w:b/>
                <w:bCs/>
                <w:color w:val="000000"/>
                <w:sz w:val="20"/>
                <w:szCs w:val="20"/>
                <w:lang w:eastAsia="cs-CZ"/>
              </w:rPr>
            </w:pPr>
            <w:r w:rsidRPr="00146299">
              <w:rPr>
                <w:rFonts w:eastAsia="Times New Roman" w:cs="Arial"/>
                <w:b/>
                <w:bCs/>
                <w:color w:val="000000"/>
                <w:sz w:val="20"/>
                <w:szCs w:val="20"/>
                <w:lang w:eastAsia="cs-CZ"/>
              </w:rPr>
              <w:t>378 258</w:t>
            </w:r>
          </w:p>
        </w:tc>
        <w:tc>
          <w:tcPr>
            <w:tcW w:w="850" w:type="dxa"/>
            <w:tcBorders>
              <w:top w:val="nil"/>
              <w:left w:val="single" w:sz="4" w:space="0" w:color="auto"/>
              <w:bottom w:val="single" w:sz="4" w:space="0" w:color="auto"/>
              <w:right w:val="single" w:sz="4" w:space="0" w:color="auto"/>
            </w:tcBorders>
            <w:vAlign w:val="center"/>
          </w:tcPr>
          <w:p w:rsidR="002F49AA" w:rsidRPr="00146299" w:rsidRDefault="002F49AA" w:rsidP="00696DB7">
            <w:pPr>
              <w:spacing w:after="100" w:afterAutospacing="1" w:line="240" w:lineRule="auto"/>
              <w:jc w:val="right"/>
              <w:rPr>
                <w:rFonts w:eastAsia="Times New Roman" w:cs="Arial"/>
                <w:b/>
                <w:bCs/>
                <w:color w:val="000000"/>
                <w:sz w:val="20"/>
                <w:szCs w:val="20"/>
                <w:lang w:eastAsia="cs-CZ"/>
              </w:rPr>
            </w:pPr>
          </w:p>
        </w:tc>
        <w:tc>
          <w:tcPr>
            <w:tcW w:w="850" w:type="dxa"/>
            <w:tcBorders>
              <w:top w:val="nil"/>
              <w:left w:val="single" w:sz="4" w:space="0" w:color="auto"/>
              <w:bottom w:val="single" w:sz="4" w:space="0" w:color="auto"/>
              <w:right w:val="single" w:sz="4" w:space="0" w:color="auto"/>
            </w:tcBorders>
          </w:tcPr>
          <w:p w:rsidR="002F49AA" w:rsidRPr="00146299" w:rsidRDefault="002F49AA" w:rsidP="00696DB7">
            <w:pPr>
              <w:spacing w:after="100" w:afterAutospacing="1" w:line="240" w:lineRule="auto"/>
              <w:jc w:val="right"/>
              <w:rPr>
                <w:rFonts w:eastAsia="Times New Roman" w:cs="Arial"/>
                <w:b/>
                <w:bCs/>
                <w:color w:val="000000"/>
                <w:sz w:val="20"/>
                <w:szCs w:val="20"/>
                <w:lang w:eastAsia="cs-CZ"/>
              </w:rPr>
            </w:pPr>
          </w:p>
        </w:tc>
      </w:tr>
    </w:tbl>
    <w:p w:rsidR="000951F9" w:rsidRDefault="000951F9" w:rsidP="000951F9">
      <w:pPr>
        <w:spacing w:line="240" w:lineRule="auto"/>
        <w:rPr>
          <w:rFonts w:cs="Arial"/>
          <w:szCs w:val="24"/>
        </w:rPr>
      </w:pPr>
    </w:p>
    <w:p w:rsidR="0084502B" w:rsidRPr="00FE453E" w:rsidRDefault="0084502B" w:rsidP="000951F9">
      <w:pPr>
        <w:spacing w:line="240" w:lineRule="auto"/>
        <w:rPr>
          <w:rFonts w:cs="Arial"/>
          <w:szCs w:val="24"/>
        </w:rPr>
      </w:pPr>
      <w:r>
        <w:rPr>
          <w:rFonts w:cs="Arial"/>
          <w:szCs w:val="24"/>
        </w:rPr>
        <w:t xml:space="preserve">Nejvýraznější </w:t>
      </w:r>
      <w:r w:rsidRPr="0084502B">
        <w:rPr>
          <w:rFonts w:cs="Arial"/>
          <w:b/>
          <w:szCs w:val="24"/>
        </w:rPr>
        <w:t xml:space="preserve">nadbytek pracovní síly </w:t>
      </w:r>
      <w:r>
        <w:rPr>
          <w:rFonts w:cs="Arial"/>
          <w:szCs w:val="24"/>
        </w:rPr>
        <w:t xml:space="preserve">lze vysledovat v početných skupinách zaměstnání </w:t>
      </w:r>
      <w:r>
        <w:rPr>
          <w:rFonts w:cs="Arial"/>
          <w:b/>
          <w:szCs w:val="24"/>
        </w:rPr>
        <w:t>všeobecní administrativní pracovníci</w:t>
      </w:r>
      <w:r w:rsidR="00FE453E">
        <w:rPr>
          <w:rFonts w:cs="Arial"/>
          <w:b/>
          <w:szCs w:val="24"/>
        </w:rPr>
        <w:t xml:space="preserve"> </w:t>
      </w:r>
      <w:r w:rsidR="00FE453E">
        <w:rPr>
          <w:rFonts w:cs="Arial"/>
          <w:szCs w:val="24"/>
        </w:rPr>
        <w:t xml:space="preserve">(podíl na </w:t>
      </w:r>
      <w:proofErr w:type="spellStart"/>
      <w:r w:rsidR="00FE453E">
        <w:rPr>
          <w:rFonts w:cs="Arial"/>
          <w:szCs w:val="24"/>
        </w:rPr>
        <w:t>UoZ</w:t>
      </w:r>
      <w:proofErr w:type="spellEnd"/>
      <w:r w:rsidR="00FE453E">
        <w:rPr>
          <w:rFonts w:cs="Arial"/>
          <w:szCs w:val="24"/>
        </w:rPr>
        <w:t xml:space="preserve"> činí 7,6 %, podíl na VPM 0,8 %)</w:t>
      </w:r>
      <w:r>
        <w:rPr>
          <w:rFonts w:cs="Arial"/>
          <w:szCs w:val="24"/>
        </w:rPr>
        <w:t xml:space="preserve"> a v oblasti prodeje, tedy </w:t>
      </w:r>
      <w:r>
        <w:rPr>
          <w:rFonts w:cs="Arial"/>
          <w:b/>
          <w:szCs w:val="24"/>
        </w:rPr>
        <w:t>u prodavačů</w:t>
      </w:r>
      <w:r w:rsidR="00FE453E">
        <w:rPr>
          <w:rFonts w:cs="Arial"/>
          <w:szCs w:val="24"/>
        </w:rPr>
        <w:t xml:space="preserve">. Přes výrazný nedostatek řidičů v oblasti nákladní dopravy, autobusů a tramvají, existuje přebytek pracovní síly mezi </w:t>
      </w:r>
      <w:r w:rsidR="00FE453E">
        <w:rPr>
          <w:rFonts w:cs="Arial"/>
          <w:b/>
          <w:szCs w:val="24"/>
        </w:rPr>
        <w:t xml:space="preserve">řidiči osobních automobilů. </w:t>
      </w:r>
      <w:r w:rsidR="00FE453E">
        <w:rPr>
          <w:rFonts w:cs="Arial"/>
          <w:szCs w:val="24"/>
        </w:rPr>
        <w:t xml:space="preserve">Nejpočetnější skupinou </w:t>
      </w:r>
      <w:proofErr w:type="spellStart"/>
      <w:r w:rsidR="00291EC0">
        <w:rPr>
          <w:rFonts w:cs="Arial"/>
          <w:szCs w:val="24"/>
        </w:rPr>
        <w:t>UoZ</w:t>
      </w:r>
      <w:proofErr w:type="spellEnd"/>
      <w:r w:rsidR="00FE453E">
        <w:rPr>
          <w:rFonts w:cs="Arial"/>
          <w:szCs w:val="24"/>
        </w:rPr>
        <w:t xml:space="preserve"> jsou </w:t>
      </w:r>
      <w:r w:rsidR="00FE453E">
        <w:rPr>
          <w:rFonts w:cs="Arial"/>
          <w:b/>
          <w:szCs w:val="24"/>
        </w:rPr>
        <w:t xml:space="preserve">pomocní pracovníci ve výrobě </w:t>
      </w:r>
      <w:r w:rsidR="00FE453E" w:rsidRPr="00FE453E">
        <w:rPr>
          <w:rFonts w:cs="Arial"/>
          <w:szCs w:val="24"/>
        </w:rPr>
        <w:t xml:space="preserve">(9,35 % </w:t>
      </w:r>
      <w:proofErr w:type="spellStart"/>
      <w:r w:rsidR="00FE453E" w:rsidRPr="00FE453E">
        <w:rPr>
          <w:rFonts w:cs="Arial"/>
          <w:szCs w:val="24"/>
        </w:rPr>
        <w:t>UoZ</w:t>
      </w:r>
      <w:proofErr w:type="spellEnd"/>
      <w:r w:rsidR="00FE453E" w:rsidRPr="00FE453E">
        <w:rPr>
          <w:rFonts w:cs="Arial"/>
          <w:szCs w:val="24"/>
        </w:rPr>
        <w:t>)</w:t>
      </w:r>
      <w:r w:rsidR="00FE453E">
        <w:rPr>
          <w:rFonts w:cs="Arial"/>
          <w:szCs w:val="24"/>
        </w:rPr>
        <w:t xml:space="preserve">, pro něž je však rovněž evidován vysoký podíl hlášených </w:t>
      </w:r>
      <w:r w:rsidR="00291EC0">
        <w:rPr>
          <w:rFonts w:cs="Arial"/>
          <w:szCs w:val="24"/>
        </w:rPr>
        <w:t>VPM</w:t>
      </w:r>
      <w:r w:rsidR="00FE453E">
        <w:rPr>
          <w:rFonts w:cs="Arial"/>
          <w:szCs w:val="24"/>
        </w:rPr>
        <w:t xml:space="preserve"> (7,1 % hlášených VPM)</w:t>
      </w:r>
    </w:p>
    <w:p w:rsidR="00E337FD" w:rsidRPr="000E3262" w:rsidRDefault="00E337FD" w:rsidP="001F4C42">
      <w:pPr>
        <w:pStyle w:val="Nadpis2"/>
        <w:numPr>
          <w:ilvl w:val="1"/>
          <w:numId w:val="6"/>
        </w:numPr>
      </w:pPr>
      <w:bookmarkStart w:id="14" w:name="_Toc465674771"/>
      <w:r w:rsidRPr="000E3262">
        <w:t>Struktura uchazečů o zaměstnání</w:t>
      </w:r>
      <w:bookmarkEnd w:id="14"/>
    </w:p>
    <w:p w:rsidR="00E337FD" w:rsidRDefault="00E60DEE" w:rsidP="00696DB7">
      <w:pPr>
        <w:spacing w:before="120" w:line="240" w:lineRule="auto"/>
        <w:rPr>
          <w:rFonts w:cs="Arial"/>
          <w:szCs w:val="24"/>
        </w:rPr>
      </w:pPr>
      <w:r w:rsidRPr="00E60DEE">
        <w:rPr>
          <w:rFonts w:cs="Arial"/>
          <w:szCs w:val="24"/>
        </w:rPr>
        <w:t xml:space="preserve">Významnou roli v umísťování </w:t>
      </w:r>
      <w:proofErr w:type="spellStart"/>
      <w:r w:rsidR="00291EC0">
        <w:rPr>
          <w:rFonts w:cs="Arial"/>
          <w:szCs w:val="24"/>
        </w:rPr>
        <w:t>UoZ</w:t>
      </w:r>
      <w:proofErr w:type="spellEnd"/>
      <w:r w:rsidRPr="00E60DEE">
        <w:rPr>
          <w:rFonts w:cs="Arial"/>
          <w:szCs w:val="24"/>
        </w:rPr>
        <w:t xml:space="preserve"> nebo obsazování </w:t>
      </w:r>
      <w:r w:rsidR="00291EC0">
        <w:rPr>
          <w:rFonts w:cs="Arial"/>
          <w:szCs w:val="24"/>
        </w:rPr>
        <w:t>VPM</w:t>
      </w:r>
      <w:r w:rsidRPr="00E60DEE">
        <w:rPr>
          <w:rFonts w:cs="Arial"/>
          <w:szCs w:val="24"/>
        </w:rPr>
        <w:t xml:space="preserve"> sehrává i fakt, že mezi evidovanými </w:t>
      </w:r>
      <w:proofErr w:type="spellStart"/>
      <w:r w:rsidR="00291EC0">
        <w:rPr>
          <w:rFonts w:cs="Arial"/>
          <w:szCs w:val="24"/>
        </w:rPr>
        <w:t>UoZ</w:t>
      </w:r>
      <w:proofErr w:type="spellEnd"/>
      <w:r w:rsidRPr="00E60DEE">
        <w:rPr>
          <w:rFonts w:cs="Arial"/>
          <w:szCs w:val="24"/>
        </w:rPr>
        <w:t xml:space="preserve"> je vysoký podíl těch, kteří jsou znevýhodněni při hledání pracovního uplatnění zejména kvůli jejich zdravotnímu stavu, věku či péči o dítě. </w:t>
      </w:r>
      <w:r w:rsidR="00291EC0">
        <w:rPr>
          <w:rFonts w:cs="Arial"/>
          <w:szCs w:val="24"/>
        </w:rPr>
        <w:br/>
      </w:r>
      <w:r w:rsidRPr="00E60DEE">
        <w:rPr>
          <w:rFonts w:cs="Arial"/>
          <w:szCs w:val="24"/>
        </w:rPr>
        <w:t xml:space="preserve">U nich existuje důvodný předpoklad delšího setrvání v evidenci </w:t>
      </w:r>
      <w:proofErr w:type="spellStart"/>
      <w:r w:rsidR="00291EC0">
        <w:rPr>
          <w:rFonts w:cs="Arial"/>
          <w:szCs w:val="24"/>
        </w:rPr>
        <w:t>UoZ</w:t>
      </w:r>
      <w:proofErr w:type="spellEnd"/>
      <w:r w:rsidRPr="00E60DEE">
        <w:rPr>
          <w:rFonts w:cs="Arial"/>
          <w:szCs w:val="24"/>
        </w:rPr>
        <w:t xml:space="preserve"> i z důvodu nezájmu zaměstnavatelů.</w:t>
      </w:r>
    </w:p>
    <w:p w:rsidR="002F443B" w:rsidRDefault="002F443B" w:rsidP="00696DB7">
      <w:pPr>
        <w:spacing w:before="120" w:line="240" w:lineRule="auto"/>
        <w:rPr>
          <w:rFonts w:cs="Arial"/>
          <w:szCs w:val="24"/>
        </w:rPr>
      </w:pPr>
    </w:p>
    <w:p w:rsidR="000951F9" w:rsidRDefault="000951F9" w:rsidP="000951F9">
      <w:pPr>
        <w:pStyle w:val="Titulek"/>
        <w:keepNext/>
        <w:spacing w:before="120" w:after="120"/>
      </w:pPr>
      <w:bookmarkStart w:id="15" w:name="_Toc465674535"/>
      <w:r>
        <w:t xml:space="preserve">Tabulka </w:t>
      </w:r>
      <w:r w:rsidR="006C5B50">
        <w:fldChar w:fldCharType="begin"/>
      </w:r>
      <w:r w:rsidR="006C5B50">
        <w:instrText xml:space="preserve"> SEQ Tabulka \* ARABIC </w:instrText>
      </w:r>
      <w:r w:rsidR="006C5B50">
        <w:fldChar w:fldCharType="separate"/>
      </w:r>
      <w:r w:rsidR="005B254A">
        <w:rPr>
          <w:noProof/>
        </w:rPr>
        <w:t>5</w:t>
      </w:r>
      <w:r w:rsidR="006C5B50">
        <w:rPr>
          <w:noProof/>
        </w:rPr>
        <w:fldChar w:fldCharType="end"/>
      </w:r>
      <w:r w:rsidR="002F443B">
        <w:t xml:space="preserve">: Počty a podíly znevýhodněných </w:t>
      </w:r>
      <w:proofErr w:type="spellStart"/>
      <w:r w:rsidR="002F443B">
        <w:t>UoZ</w:t>
      </w:r>
      <w:proofErr w:type="spellEnd"/>
      <w:r w:rsidR="002F443B">
        <w:t xml:space="preserve"> v ČR a krajích k 30. 9. 2016</w:t>
      </w:r>
      <w:bookmarkEnd w:id="15"/>
    </w:p>
    <w:tbl>
      <w:tblPr>
        <w:tblW w:w="9654" w:type="dxa"/>
        <w:tblInd w:w="55" w:type="dxa"/>
        <w:tblLayout w:type="fixed"/>
        <w:tblCellMar>
          <w:left w:w="70" w:type="dxa"/>
          <w:right w:w="70" w:type="dxa"/>
        </w:tblCellMar>
        <w:tblLook w:val="04A0" w:firstRow="1" w:lastRow="0" w:firstColumn="1" w:lastColumn="0" w:noHBand="0" w:noVBand="1"/>
      </w:tblPr>
      <w:tblGrid>
        <w:gridCol w:w="940"/>
        <w:gridCol w:w="209"/>
        <w:gridCol w:w="791"/>
        <w:gridCol w:w="485"/>
        <w:gridCol w:w="475"/>
        <w:gridCol w:w="659"/>
        <w:gridCol w:w="301"/>
        <w:gridCol w:w="691"/>
        <w:gridCol w:w="269"/>
        <w:gridCol w:w="724"/>
        <w:gridCol w:w="236"/>
        <w:gridCol w:w="756"/>
        <w:gridCol w:w="204"/>
        <w:gridCol w:w="788"/>
        <w:gridCol w:w="172"/>
        <w:gridCol w:w="820"/>
        <w:gridCol w:w="140"/>
        <w:gridCol w:w="994"/>
      </w:tblGrid>
      <w:tr w:rsidR="00696DB7" w:rsidRPr="00696DB7" w:rsidTr="00AE1346">
        <w:trPr>
          <w:trHeight w:val="315"/>
        </w:trPr>
        <w:tc>
          <w:tcPr>
            <w:tcW w:w="9654" w:type="dxa"/>
            <w:gridSpan w:val="1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96DB7" w:rsidRPr="00696DB7" w:rsidRDefault="00696DB7" w:rsidP="002F443B">
            <w:pPr>
              <w:spacing w:line="240" w:lineRule="auto"/>
              <w:jc w:val="center"/>
              <w:rPr>
                <w:rFonts w:ascii="Calibri" w:eastAsia="Times New Roman" w:hAnsi="Calibri" w:cs="Times New Roman"/>
                <w:b/>
                <w:bCs/>
                <w:color w:val="000000"/>
                <w:sz w:val="22"/>
                <w:lang w:eastAsia="cs-CZ"/>
              </w:rPr>
            </w:pPr>
            <w:r w:rsidRPr="00696DB7">
              <w:rPr>
                <w:rFonts w:ascii="Calibri" w:eastAsia="Times New Roman" w:hAnsi="Calibri" w:cs="Times New Roman"/>
                <w:b/>
                <w:bCs/>
                <w:color w:val="000000"/>
                <w:sz w:val="22"/>
                <w:lang w:eastAsia="cs-CZ"/>
              </w:rPr>
              <w:t>Počty znevýhodněných</w:t>
            </w:r>
          </w:p>
        </w:tc>
      </w:tr>
      <w:tr w:rsidR="00586FAC" w:rsidRPr="00696DB7" w:rsidTr="00AE1346">
        <w:trPr>
          <w:trHeight w:val="300"/>
        </w:trPr>
        <w:tc>
          <w:tcPr>
            <w:tcW w:w="940" w:type="dxa"/>
            <w:vMerge w:val="restart"/>
            <w:tcBorders>
              <w:top w:val="nil"/>
              <w:left w:val="single" w:sz="8"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b/>
                <w:bCs/>
                <w:color w:val="000000"/>
                <w:sz w:val="20"/>
                <w:szCs w:val="20"/>
                <w:lang w:eastAsia="cs-CZ"/>
              </w:rPr>
            </w:pPr>
            <w:r w:rsidRPr="00696DB7">
              <w:rPr>
                <w:rFonts w:eastAsia="Times New Roman" w:cs="Arial"/>
                <w:b/>
                <w:bCs/>
                <w:color w:val="000000"/>
                <w:sz w:val="20"/>
                <w:szCs w:val="20"/>
                <w:lang w:eastAsia="cs-CZ"/>
              </w:rPr>
              <w:t>kraj</w:t>
            </w:r>
          </w:p>
        </w:tc>
        <w:tc>
          <w:tcPr>
            <w:tcW w:w="1000" w:type="dxa"/>
            <w:gridSpan w:val="2"/>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696DB7" w:rsidRPr="00696DB7" w:rsidRDefault="00696DB7" w:rsidP="00696DB7">
            <w:pPr>
              <w:spacing w:line="240" w:lineRule="auto"/>
              <w:jc w:val="center"/>
              <w:rPr>
                <w:rFonts w:eastAsia="Times New Roman" w:cs="Arial"/>
                <w:b/>
                <w:bCs/>
                <w:color w:val="000000"/>
                <w:sz w:val="20"/>
                <w:szCs w:val="20"/>
                <w:lang w:eastAsia="cs-CZ"/>
              </w:rPr>
            </w:pPr>
            <w:r w:rsidRPr="00696DB7">
              <w:rPr>
                <w:rFonts w:eastAsia="Times New Roman" w:cs="Arial"/>
                <w:b/>
                <w:bCs/>
                <w:color w:val="000000"/>
                <w:sz w:val="20"/>
                <w:szCs w:val="20"/>
                <w:lang w:eastAsia="cs-CZ"/>
              </w:rPr>
              <w:t xml:space="preserve">celkem </w:t>
            </w:r>
            <w:proofErr w:type="spellStart"/>
            <w:r w:rsidRPr="00696DB7">
              <w:rPr>
                <w:rFonts w:eastAsia="Times New Roman" w:cs="Arial"/>
                <w:b/>
                <w:bCs/>
                <w:color w:val="000000"/>
                <w:sz w:val="20"/>
                <w:szCs w:val="20"/>
                <w:lang w:eastAsia="cs-CZ"/>
              </w:rPr>
              <w:t>UoZ</w:t>
            </w:r>
            <w:proofErr w:type="spellEnd"/>
          </w:p>
        </w:tc>
        <w:tc>
          <w:tcPr>
            <w:tcW w:w="960" w:type="dxa"/>
            <w:gridSpan w:val="2"/>
            <w:vMerge w:val="restart"/>
            <w:tcBorders>
              <w:top w:val="nil"/>
              <w:left w:val="nil"/>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OZP</w:t>
            </w:r>
          </w:p>
        </w:tc>
        <w:tc>
          <w:tcPr>
            <w:tcW w:w="9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pečující o děti do 15 let</w:t>
            </w:r>
          </w:p>
        </w:tc>
        <w:tc>
          <w:tcPr>
            <w:tcW w:w="9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po MD/RD 9m po por.</w:t>
            </w:r>
          </w:p>
        </w:tc>
        <w:tc>
          <w:tcPr>
            <w:tcW w:w="9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do 25 let</w:t>
            </w:r>
          </w:p>
        </w:tc>
        <w:tc>
          <w:tcPr>
            <w:tcW w:w="9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nad 50 let</w:t>
            </w:r>
          </w:p>
        </w:tc>
        <w:tc>
          <w:tcPr>
            <w:tcW w:w="9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 xml:space="preserve">bez </w:t>
            </w:r>
            <w:proofErr w:type="spellStart"/>
            <w:r w:rsidRPr="00696DB7">
              <w:rPr>
                <w:rFonts w:eastAsia="Times New Roman" w:cs="Arial"/>
                <w:color w:val="000000"/>
                <w:sz w:val="20"/>
                <w:szCs w:val="20"/>
                <w:lang w:eastAsia="cs-CZ"/>
              </w:rPr>
              <w:t>vzděl</w:t>
            </w:r>
            <w:proofErr w:type="spellEnd"/>
            <w:r w:rsidRPr="00696DB7">
              <w:rPr>
                <w:rFonts w:eastAsia="Times New Roman" w:cs="Arial"/>
                <w:color w:val="000000"/>
                <w:sz w:val="20"/>
                <w:szCs w:val="20"/>
                <w:lang w:eastAsia="cs-CZ"/>
              </w:rPr>
              <w:t>. nebo se ZŠ</w:t>
            </w:r>
          </w:p>
        </w:tc>
        <w:tc>
          <w:tcPr>
            <w:tcW w:w="1954" w:type="dxa"/>
            <w:gridSpan w:val="3"/>
            <w:tcBorders>
              <w:top w:val="nil"/>
              <w:left w:val="single" w:sz="4" w:space="0" w:color="auto"/>
              <w:bottom w:val="single" w:sz="4" w:space="0" w:color="auto"/>
              <w:right w:val="single" w:sz="8" w:space="0" w:color="000000"/>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 xml:space="preserve">evidence </w:t>
            </w:r>
          </w:p>
        </w:tc>
      </w:tr>
      <w:tr w:rsidR="00586FAC" w:rsidRPr="00696DB7" w:rsidTr="00AE1346">
        <w:trPr>
          <w:trHeight w:val="705"/>
        </w:trPr>
        <w:tc>
          <w:tcPr>
            <w:tcW w:w="940" w:type="dxa"/>
            <w:vMerge/>
            <w:tcBorders>
              <w:top w:val="nil"/>
              <w:left w:val="single" w:sz="8"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b/>
                <w:bCs/>
                <w:color w:val="000000"/>
                <w:sz w:val="20"/>
                <w:szCs w:val="20"/>
                <w:lang w:eastAsia="cs-CZ"/>
              </w:rPr>
            </w:pPr>
          </w:p>
        </w:tc>
        <w:tc>
          <w:tcPr>
            <w:tcW w:w="1000" w:type="dxa"/>
            <w:gridSpan w:val="2"/>
            <w:vMerge/>
            <w:tcBorders>
              <w:top w:val="single" w:sz="8" w:space="0" w:color="auto"/>
              <w:left w:val="single" w:sz="4" w:space="0" w:color="auto"/>
              <w:bottom w:val="single" w:sz="4" w:space="0" w:color="auto"/>
              <w:right w:val="single" w:sz="8" w:space="0" w:color="auto"/>
            </w:tcBorders>
            <w:vAlign w:val="center"/>
            <w:hideMark/>
          </w:tcPr>
          <w:p w:rsidR="00696DB7" w:rsidRPr="00696DB7" w:rsidRDefault="00696DB7" w:rsidP="00696DB7">
            <w:pPr>
              <w:spacing w:line="240" w:lineRule="auto"/>
              <w:jc w:val="left"/>
              <w:rPr>
                <w:rFonts w:eastAsia="Times New Roman" w:cs="Arial"/>
                <w:b/>
                <w:bCs/>
                <w:color w:val="000000"/>
                <w:sz w:val="20"/>
                <w:szCs w:val="20"/>
                <w:lang w:eastAsia="cs-CZ"/>
              </w:rPr>
            </w:pPr>
          </w:p>
        </w:tc>
        <w:tc>
          <w:tcPr>
            <w:tcW w:w="960" w:type="dxa"/>
            <w:gridSpan w:val="2"/>
            <w:vMerge/>
            <w:tcBorders>
              <w:top w:val="nil"/>
              <w:left w:val="nil"/>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60" w:type="dxa"/>
            <w:gridSpan w:val="2"/>
            <w:vMerge/>
            <w:tcBorders>
              <w:top w:val="nil"/>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60" w:type="dxa"/>
            <w:gridSpan w:val="2"/>
            <w:vMerge/>
            <w:tcBorders>
              <w:top w:val="nil"/>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60" w:type="dxa"/>
            <w:gridSpan w:val="2"/>
            <w:vMerge/>
            <w:tcBorders>
              <w:top w:val="nil"/>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60" w:type="dxa"/>
            <w:gridSpan w:val="2"/>
            <w:vMerge/>
            <w:tcBorders>
              <w:top w:val="nil"/>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60" w:type="dxa"/>
            <w:gridSpan w:val="2"/>
            <w:vMerge/>
            <w:tcBorders>
              <w:top w:val="nil"/>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60" w:type="dxa"/>
            <w:gridSpan w:val="2"/>
            <w:tcBorders>
              <w:top w:val="nil"/>
              <w:left w:val="nil"/>
              <w:bottom w:val="nil"/>
              <w:right w:val="single" w:sz="4" w:space="0" w:color="auto"/>
            </w:tcBorders>
            <w:shd w:val="clear" w:color="auto" w:fill="auto"/>
            <w:vAlign w:val="center"/>
            <w:hideMark/>
          </w:tcPr>
          <w:p w:rsidR="00696DB7" w:rsidRPr="00696DB7" w:rsidRDefault="00696DB7" w:rsidP="00696DB7">
            <w:pPr>
              <w:spacing w:line="240" w:lineRule="auto"/>
              <w:jc w:val="left"/>
              <w:rPr>
                <w:rFonts w:eastAsia="Times New Roman" w:cs="Arial"/>
                <w:color w:val="000000"/>
                <w:sz w:val="20"/>
                <w:szCs w:val="20"/>
                <w:lang w:eastAsia="cs-CZ"/>
              </w:rPr>
            </w:pPr>
            <w:r w:rsidRPr="00696DB7">
              <w:rPr>
                <w:rFonts w:eastAsia="Times New Roman" w:cs="Arial"/>
                <w:color w:val="000000"/>
                <w:sz w:val="20"/>
                <w:szCs w:val="20"/>
                <w:lang w:eastAsia="cs-CZ"/>
              </w:rPr>
              <w:t>nad 12M</w:t>
            </w:r>
          </w:p>
        </w:tc>
        <w:tc>
          <w:tcPr>
            <w:tcW w:w="994" w:type="dxa"/>
            <w:tcBorders>
              <w:top w:val="nil"/>
              <w:left w:val="nil"/>
              <w:bottom w:val="nil"/>
              <w:right w:val="single" w:sz="8" w:space="0" w:color="auto"/>
            </w:tcBorders>
            <w:shd w:val="clear" w:color="auto" w:fill="auto"/>
            <w:vAlign w:val="center"/>
            <w:hideMark/>
          </w:tcPr>
          <w:p w:rsidR="00696DB7" w:rsidRPr="00696DB7" w:rsidRDefault="00696DB7" w:rsidP="00696DB7">
            <w:pPr>
              <w:spacing w:line="240" w:lineRule="auto"/>
              <w:jc w:val="left"/>
              <w:rPr>
                <w:rFonts w:eastAsia="Times New Roman" w:cs="Arial"/>
                <w:color w:val="000000"/>
                <w:sz w:val="20"/>
                <w:szCs w:val="20"/>
                <w:lang w:eastAsia="cs-CZ"/>
              </w:rPr>
            </w:pPr>
            <w:r w:rsidRPr="00696DB7">
              <w:rPr>
                <w:rFonts w:eastAsia="Times New Roman" w:cs="Arial"/>
                <w:color w:val="000000"/>
                <w:sz w:val="20"/>
                <w:szCs w:val="20"/>
                <w:lang w:eastAsia="cs-CZ"/>
              </w:rPr>
              <w:t>nad 24M</w:t>
            </w:r>
          </w:p>
        </w:tc>
      </w:tr>
      <w:tr w:rsidR="00696DB7" w:rsidRPr="00696DB7" w:rsidTr="00AE1346">
        <w:trPr>
          <w:trHeight w:val="330"/>
        </w:trPr>
        <w:tc>
          <w:tcPr>
            <w:tcW w:w="940"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rsidR="00696DB7" w:rsidRPr="00696DB7" w:rsidRDefault="00696DB7" w:rsidP="00696DB7">
            <w:pPr>
              <w:spacing w:line="240" w:lineRule="auto"/>
              <w:jc w:val="left"/>
              <w:rPr>
                <w:rFonts w:eastAsia="Times New Roman" w:cs="Arial"/>
                <w:b/>
                <w:bCs/>
                <w:color w:val="000000"/>
                <w:sz w:val="20"/>
                <w:szCs w:val="20"/>
                <w:lang w:eastAsia="cs-CZ"/>
              </w:rPr>
            </w:pPr>
            <w:r w:rsidRPr="00696DB7">
              <w:rPr>
                <w:rFonts w:eastAsia="Times New Roman" w:cs="Arial"/>
                <w:b/>
                <w:bCs/>
                <w:color w:val="000000"/>
                <w:sz w:val="20"/>
                <w:szCs w:val="20"/>
                <w:lang w:eastAsia="cs-CZ"/>
              </w:rPr>
              <w:t xml:space="preserve"> ČR</w:t>
            </w:r>
          </w:p>
        </w:tc>
        <w:tc>
          <w:tcPr>
            <w:tcW w:w="1000" w:type="dxa"/>
            <w:gridSpan w:val="2"/>
            <w:tcBorders>
              <w:top w:val="double" w:sz="6" w:space="0" w:color="auto"/>
              <w:left w:val="single" w:sz="4" w:space="0" w:color="auto"/>
              <w:bottom w:val="double" w:sz="6"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378 258</w:t>
            </w:r>
          </w:p>
        </w:tc>
        <w:tc>
          <w:tcPr>
            <w:tcW w:w="960" w:type="dxa"/>
            <w:gridSpan w:val="2"/>
            <w:tcBorders>
              <w:top w:val="double" w:sz="6" w:space="0" w:color="auto"/>
              <w:left w:val="nil"/>
              <w:bottom w:val="double" w:sz="6"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54 385</w:t>
            </w:r>
          </w:p>
        </w:tc>
        <w:tc>
          <w:tcPr>
            <w:tcW w:w="960" w:type="dxa"/>
            <w:gridSpan w:val="2"/>
            <w:tcBorders>
              <w:top w:val="double" w:sz="6" w:space="0" w:color="auto"/>
              <w:left w:val="nil"/>
              <w:bottom w:val="double" w:sz="6"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49 386</w:t>
            </w:r>
          </w:p>
        </w:tc>
        <w:tc>
          <w:tcPr>
            <w:tcW w:w="960" w:type="dxa"/>
            <w:gridSpan w:val="2"/>
            <w:tcBorders>
              <w:top w:val="double" w:sz="6" w:space="0" w:color="auto"/>
              <w:left w:val="nil"/>
              <w:bottom w:val="double" w:sz="6"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4 133</w:t>
            </w:r>
          </w:p>
        </w:tc>
        <w:tc>
          <w:tcPr>
            <w:tcW w:w="960" w:type="dxa"/>
            <w:gridSpan w:val="2"/>
            <w:tcBorders>
              <w:top w:val="double" w:sz="6" w:space="0" w:color="auto"/>
              <w:left w:val="nil"/>
              <w:bottom w:val="double" w:sz="6"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54 962</w:t>
            </w:r>
          </w:p>
        </w:tc>
        <w:tc>
          <w:tcPr>
            <w:tcW w:w="960" w:type="dxa"/>
            <w:gridSpan w:val="2"/>
            <w:tcBorders>
              <w:top w:val="double" w:sz="6" w:space="0" w:color="auto"/>
              <w:left w:val="nil"/>
              <w:bottom w:val="double" w:sz="6"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121 354</w:t>
            </w:r>
          </w:p>
        </w:tc>
        <w:tc>
          <w:tcPr>
            <w:tcW w:w="960" w:type="dxa"/>
            <w:gridSpan w:val="2"/>
            <w:tcBorders>
              <w:top w:val="double" w:sz="6" w:space="0" w:color="auto"/>
              <w:left w:val="nil"/>
              <w:bottom w:val="double" w:sz="6"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114 901</w:t>
            </w:r>
          </w:p>
        </w:tc>
        <w:tc>
          <w:tcPr>
            <w:tcW w:w="960" w:type="dxa"/>
            <w:gridSpan w:val="2"/>
            <w:tcBorders>
              <w:top w:val="double" w:sz="6" w:space="0" w:color="auto"/>
              <w:left w:val="nil"/>
              <w:bottom w:val="double" w:sz="6"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154 273</w:t>
            </w:r>
          </w:p>
        </w:tc>
        <w:tc>
          <w:tcPr>
            <w:tcW w:w="994" w:type="dxa"/>
            <w:tcBorders>
              <w:top w:val="double" w:sz="6" w:space="0" w:color="auto"/>
              <w:left w:val="single" w:sz="4" w:space="0" w:color="auto"/>
              <w:bottom w:val="double" w:sz="6" w:space="0" w:color="auto"/>
              <w:right w:val="double" w:sz="6"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106 843</w:t>
            </w:r>
          </w:p>
        </w:tc>
      </w:tr>
      <w:tr w:rsidR="00696DB7" w:rsidRPr="00696DB7" w:rsidTr="00AE1346">
        <w:trPr>
          <w:trHeight w:val="315"/>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Praha</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33 069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2 872</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2 440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3 559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9 848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6 682</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12 161</w:t>
            </w:r>
          </w:p>
        </w:tc>
        <w:tc>
          <w:tcPr>
            <w:tcW w:w="994" w:type="dxa"/>
            <w:tcBorders>
              <w:top w:val="nil"/>
              <w:left w:val="single" w:sz="4" w:space="0" w:color="auto"/>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7 074</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SČK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39 811</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5 178</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6 591</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418</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6 064</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12 507</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11 269</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14 853</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10 091</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JČK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17 265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3 172</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2 314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275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2 686</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5 785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4 583</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5 206</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3 407</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PLK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14 723</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2 833</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2 227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239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2 165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4 994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4 590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5 219</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3 608</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KVK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11 783</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1 375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2 241</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166</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1 722</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3 856</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5 904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5 366</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3 902</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ULK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46 086</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6 517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7 159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621</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7 035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13 596</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21 229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21 509</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15 421</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LBK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16 225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2 248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2 788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206</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2 615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4 824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5 372</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6 105</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4 135</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KHK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14 079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2 133</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1 625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112</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2 304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4 390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4 258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4 720</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3 047</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PBK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13 434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2 494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2 324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228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2 307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4 438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3 767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4 195</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2 824</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VYS</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16 358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3 169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2 350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221</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2 546</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5 478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3 237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6 642</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4 758</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JMK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47 249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6 941</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4 860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7 027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14 567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11 937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20 269</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13 941</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OLK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24 974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3 587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2 805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237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3 494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8 396</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6 998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10 138</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7 348</w:t>
            </w:r>
          </w:p>
        </w:tc>
      </w:tr>
      <w:tr w:rsidR="00696DB7" w:rsidRPr="00696DB7" w:rsidTr="00AE1346">
        <w:trPr>
          <w:trHeight w:val="300"/>
        </w:trPr>
        <w:tc>
          <w:tcPr>
            <w:tcW w:w="940" w:type="dxa"/>
            <w:tcBorders>
              <w:top w:val="nil"/>
              <w:left w:val="single" w:sz="8" w:space="0" w:color="auto"/>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ZLK</w:t>
            </w:r>
          </w:p>
        </w:tc>
        <w:tc>
          <w:tcPr>
            <w:tcW w:w="1000" w:type="dxa"/>
            <w:gridSpan w:val="2"/>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18 905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3 156</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3 320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207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2 828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6 422</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3 615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6 904</w:t>
            </w:r>
          </w:p>
        </w:tc>
        <w:tc>
          <w:tcPr>
            <w:tcW w:w="994" w:type="dxa"/>
            <w:tcBorders>
              <w:top w:val="nil"/>
              <w:left w:val="nil"/>
              <w:bottom w:val="single" w:sz="4"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4 672</w:t>
            </w:r>
          </w:p>
        </w:tc>
      </w:tr>
      <w:tr w:rsidR="00696DB7" w:rsidRPr="00696DB7" w:rsidTr="00AE1346">
        <w:trPr>
          <w:trHeight w:val="315"/>
        </w:trPr>
        <w:tc>
          <w:tcPr>
            <w:tcW w:w="940" w:type="dxa"/>
            <w:tcBorders>
              <w:top w:val="nil"/>
              <w:left w:val="single" w:sz="8" w:space="0" w:color="auto"/>
              <w:bottom w:val="nil"/>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MSK</w:t>
            </w:r>
          </w:p>
        </w:tc>
        <w:tc>
          <w:tcPr>
            <w:tcW w:w="1000" w:type="dxa"/>
            <w:gridSpan w:val="2"/>
            <w:tcBorders>
              <w:top w:val="nil"/>
              <w:left w:val="single" w:sz="4" w:space="0" w:color="auto"/>
              <w:bottom w:val="single" w:sz="8" w:space="0" w:color="auto"/>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64 297</w:t>
            </w:r>
          </w:p>
        </w:tc>
        <w:tc>
          <w:tcPr>
            <w:tcW w:w="960" w:type="dxa"/>
            <w:gridSpan w:val="2"/>
            <w:tcBorders>
              <w:top w:val="nil"/>
              <w:left w:val="nil"/>
              <w:bottom w:val="nil"/>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8 710</w:t>
            </w:r>
          </w:p>
        </w:tc>
        <w:tc>
          <w:tcPr>
            <w:tcW w:w="960" w:type="dxa"/>
            <w:gridSpan w:val="2"/>
            <w:tcBorders>
              <w:top w:val="nil"/>
              <w:left w:val="nil"/>
              <w:bottom w:val="nil"/>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6 342</w:t>
            </w:r>
          </w:p>
        </w:tc>
        <w:tc>
          <w:tcPr>
            <w:tcW w:w="960" w:type="dxa"/>
            <w:gridSpan w:val="2"/>
            <w:tcBorders>
              <w:top w:val="nil"/>
              <w:left w:val="nil"/>
              <w:bottom w:val="nil"/>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548</w:t>
            </w:r>
          </w:p>
        </w:tc>
        <w:tc>
          <w:tcPr>
            <w:tcW w:w="960" w:type="dxa"/>
            <w:gridSpan w:val="2"/>
            <w:tcBorders>
              <w:top w:val="nil"/>
              <w:left w:val="nil"/>
              <w:bottom w:val="nil"/>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8 610</w:t>
            </w:r>
          </w:p>
        </w:tc>
        <w:tc>
          <w:tcPr>
            <w:tcW w:w="960" w:type="dxa"/>
            <w:gridSpan w:val="2"/>
            <w:tcBorders>
              <w:top w:val="nil"/>
              <w:left w:val="nil"/>
              <w:bottom w:val="nil"/>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22 253</w:t>
            </w:r>
          </w:p>
        </w:tc>
        <w:tc>
          <w:tcPr>
            <w:tcW w:w="960" w:type="dxa"/>
            <w:gridSpan w:val="2"/>
            <w:tcBorders>
              <w:top w:val="nil"/>
              <w:left w:val="nil"/>
              <w:bottom w:val="nil"/>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21 460</w:t>
            </w:r>
          </w:p>
        </w:tc>
        <w:tc>
          <w:tcPr>
            <w:tcW w:w="960" w:type="dxa"/>
            <w:gridSpan w:val="2"/>
            <w:tcBorders>
              <w:top w:val="nil"/>
              <w:left w:val="nil"/>
              <w:bottom w:val="nil"/>
              <w:right w:val="single" w:sz="4"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30 986</w:t>
            </w:r>
          </w:p>
        </w:tc>
        <w:tc>
          <w:tcPr>
            <w:tcW w:w="994" w:type="dxa"/>
            <w:tcBorders>
              <w:top w:val="nil"/>
              <w:left w:val="nil"/>
              <w:bottom w:val="nil"/>
              <w:right w:val="single" w:sz="8" w:space="0" w:color="auto"/>
            </w:tcBorders>
            <w:shd w:val="clear" w:color="auto" w:fill="auto"/>
            <w:noWrap/>
            <w:vAlign w:val="bottom"/>
            <w:hideMark/>
          </w:tcPr>
          <w:p w:rsidR="00696DB7" w:rsidRPr="00696DB7" w:rsidRDefault="00696DB7"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22 615</w:t>
            </w:r>
          </w:p>
        </w:tc>
      </w:tr>
      <w:tr w:rsidR="00696DB7" w:rsidRPr="00696DB7" w:rsidTr="00AE1346">
        <w:trPr>
          <w:trHeight w:val="315"/>
        </w:trPr>
        <w:tc>
          <w:tcPr>
            <w:tcW w:w="940" w:type="dxa"/>
            <w:tcBorders>
              <w:top w:val="single" w:sz="8" w:space="0" w:color="auto"/>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c>
          <w:tcPr>
            <w:tcW w:w="1000" w:type="dxa"/>
            <w:gridSpan w:val="2"/>
            <w:tcBorders>
              <w:top w:val="nil"/>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c>
          <w:tcPr>
            <w:tcW w:w="960" w:type="dxa"/>
            <w:gridSpan w:val="2"/>
            <w:tcBorders>
              <w:top w:val="single" w:sz="8" w:space="0" w:color="auto"/>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c>
          <w:tcPr>
            <w:tcW w:w="960" w:type="dxa"/>
            <w:gridSpan w:val="2"/>
            <w:tcBorders>
              <w:top w:val="single" w:sz="8" w:space="0" w:color="auto"/>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c>
          <w:tcPr>
            <w:tcW w:w="960" w:type="dxa"/>
            <w:gridSpan w:val="2"/>
            <w:tcBorders>
              <w:top w:val="single" w:sz="8" w:space="0" w:color="auto"/>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c>
          <w:tcPr>
            <w:tcW w:w="960" w:type="dxa"/>
            <w:gridSpan w:val="2"/>
            <w:tcBorders>
              <w:top w:val="single" w:sz="8" w:space="0" w:color="auto"/>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c>
          <w:tcPr>
            <w:tcW w:w="960" w:type="dxa"/>
            <w:gridSpan w:val="2"/>
            <w:tcBorders>
              <w:top w:val="single" w:sz="8" w:space="0" w:color="auto"/>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c>
          <w:tcPr>
            <w:tcW w:w="960" w:type="dxa"/>
            <w:gridSpan w:val="2"/>
            <w:tcBorders>
              <w:top w:val="single" w:sz="8" w:space="0" w:color="auto"/>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c>
          <w:tcPr>
            <w:tcW w:w="960" w:type="dxa"/>
            <w:gridSpan w:val="2"/>
            <w:tcBorders>
              <w:top w:val="single" w:sz="8" w:space="0" w:color="auto"/>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c>
          <w:tcPr>
            <w:tcW w:w="994" w:type="dxa"/>
            <w:tcBorders>
              <w:top w:val="single" w:sz="8" w:space="0" w:color="auto"/>
              <w:left w:val="nil"/>
              <w:bottom w:val="single" w:sz="8" w:space="0" w:color="auto"/>
              <w:right w:val="nil"/>
            </w:tcBorders>
            <w:shd w:val="clear" w:color="auto" w:fill="auto"/>
            <w:noWrap/>
            <w:vAlign w:val="bottom"/>
            <w:hideMark/>
          </w:tcPr>
          <w:p w:rsidR="00696DB7" w:rsidRPr="00696DB7" w:rsidRDefault="00696DB7" w:rsidP="00696DB7">
            <w:pPr>
              <w:spacing w:line="240" w:lineRule="auto"/>
              <w:jc w:val="left"/>
              <w:rPr>
                <w:rFonts w:ascii="Calibri" w:eastAsia="Times New Roman" w:hAnsi="Calibri" w:cs="Times New Roman"/>
                <w:color w:val="000000"/>
                <w:sz w:val="22"/>
                <w:lang w:eastAsia="cs-CZ"/>
              </w:rPr>
            </w:pPr>
            <w:r w:rsidRPr="00696DB7">
              <w:rPr>
                <w:rFonts w:ascii="Calibri" w:eastAsia="Times New Roman" w:hAnsi="Calibri" w:cs="Times New Roman"/>
                <w:color w:val="000000"/>
                <w:sz w:val="22"/>
                <w:lang w:eastAsia="cs-CZ"/>
              </w:rPr>
              <w:t> </w:t>
            </w:r>
          </w:p>
        </w:tc>
      </w:tr>
      <w:tr w:rsidR="009C10D4" w:rsidRPr="00696DB7" w:rsidTr="00AE1346">
        <w:trPr>
          <w:trHeight w:val="635"/>
        </w:trPr>
        <w:tc>
          <w:tcPr>
            <w:tcW w:w="9654" w:type="dxa"/>
            <w:gridSpan w:val="18"/>
            <w:tcBorders>
              <w:top w:val="single" w:sz="8" w:space="0" w:color="auto"/>
              <w:left w:val="single" w:sz="8" w:space="0" w:color="auto"/>
              <w:right w:val="single" w:sz="8" w:space="0" w:color="000000"/>
            </w:tcBorders>
            <w:shd w:val="clear" w:color="auto" w:fill="auto"/>
            <w:vAlign w:val="center"/>
            <w:hideMark/>
          </w:tcPr>
          <w:p w:rsidR="009C10D4" w:rsidRPr="00696DB7" w:rsidRDefault="009C10D4" w:rsidP="002F443B">
            <w:pPr>
              <w:spacing w:line="240" w:lineRule="auto"/>
              <w:jc w:val="center"/>
              <w:rPr>
                <w:rFonts w:ascii="Calibri" w:eastAsia="Times New Roman" w:hAnsi="Calibri" w:cs="Times New Roman"/>
                <w:b/>
                <w:bCs/>
                <w:color w:val="000000"/>
                <w:sz w:val="22"/>
                <w:lang w:eastAsia="cs-CZ"/>
              </w:rPr>
            </w:pPr>
            <w:r w:rsidRPr="00696DB7">
              <w:rPr>
                <w:rFonts w:ascii="Calibri" w:eastAsia="Times New Roman" w:hAnsi="Calibri" w:cs="Times New Roman"/>
                <w:b/>
                <w:bCs/>
                <w:color w:val="000000"/>
                <w:sz w:val="22"/>
                <w:lang w:eastAsia="cs-CZ"/>
              </w:rPr>
              <w:t xml:space="preserve">Podíly </w:t>
            </w:r>
            <w:r w:rsidR="002F443B">
              <w:rPr>
                <w:rFonts w:ascii="Calibri" w:eastAsia="Times New Roman" w:hAnsi="Calibri" w:cs="Times New Roman"/>
                <w:b/>
                <w:bCs/>
                <w:color w:val="000000"/>
                <w:sz w:val="22"/>
                <w:lang w:eastAsia="cs-CZ"/>
              </w:rPr>
              <w:t>znevýhodněných</w:t>
            </w:r>
          </w:p>
        </w:tc>
      </w:tr>
      <w:tr w:rsidR="00586FAC" w:rsidRPr="00696DB7" w:rsidTr="00AE1346">
        <w:trPr>
          <w:trHeight w:val="1114"/>
        </w:trPr>
        <w:tc>
          <w:tcPr>
            <w:tcW w:w="1149" w:type="dxa"/>
            <w:gridSpan w:val="2"/>
            <w:vMerge w:val="restart"/>
            <w:tcBorders>
              <w:top w:val="single" w:sz="8" w:space="0" w:color="auto"/>
              <w:left w:val="single" w:sz="8" w:space="0" w:color="auto"/>
              <w:bottom w:val="double" w:sz="6" w:space="0" w:color="000000"/>
              <w:right w:val="single" w:sz="8" w:space="0" w:color="000000"/>
            </w:tcBorders>
            <w:shd w:val="clear" w:color="auto" w:fill="auto"/>
            <w:vAlign w:val="center"/>
            <w:hideMark/>
          </w:tcPr>
          <w:p w:rsidR="00696DB7" w:rsidRPr="00586FAC" w:rsidRDefault="0093491C" w:rsidP="00586FAC">
            <w:pPr>
              <w:spacing w:line="240" w:lineRule="auto"/>
              <w:jc w:val="center"/>
              <w:rPr>
                <w:rFonts w:eastAsia="Times New Roman" w:cs="Arial"/>
                <w:b/>
                <w:bCs/>
                <w:color w:val="000000"/>
                <w:sz w:val="22"/>
                <w:lang w:eastAsia="cs-CZ"/>
              </w:rPr>
            </w:pPr>
            <w:r w:rsidRPr="00586FAC">
              <w:rPr>
                <w:rFonts w:eastAsia="Times New Roman" w:cs="Arial"/>
                <w:b/>
                <w:bCs/>
                <w:color w:val="000000"/>
                <w:sz w:val="20"/>
                <w:lang w:eastAsia="cs-CZ"/>
              </w:rPr>
              <w:t>Kraj</w:t>
            </w:r>
          </w:p>
        </w:tc>
        <w:tc>
          <w:tcPr>
            <w:tcW w:w="1276"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OZP</w:t>
            </w:r>
          </w:p>
        </w:tc>
        <w:tc>
          <w:tcPr>
            <w:tcW w:w="1134"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pečující o děti do 15 let</w:t>
            </w:r>
          </w:p>
        </w:tc>
        <w:tc>
          <w:tcPr>
            <w:tcW w:w="992"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96DB7" w:rsidRPr="00696DB7" w:rsidRDefault="00566EBB" w:rsidP="00696DB7">
            <w:pPr>
              <w:spacing w:line="240" w:lineRule="auto"/>
              <w:jc w:val="center"/>
              <w:rPr>
                <w:rFonts w:eastAsia="Times New Roman" w:cs="Arial"/>
                <w:color w:val="000000"/>
                <w:sz w:val="20"/>
                <w:szCs w:val="20"/>
                <w:lang w:eastAsia="cs-CZ"/>
              </w:rPr>
            </w:pPr>
            <w:r>
              <w:rPr>
                <w:rFonts w:eastAsia="Times New Roman" w:cs="Arial"/>
                <w:color w:val="000000"/>
                <w:sz w:val="20"/>
                <w:szCs w:val="20"/>
                <w:lang w:eastAsia="cs-CZ"/>
              </w:rPr>
              <w:t>ženy-kojící, těhotné a do 9m po porodu</w:t>
            </w:r>
            <w:r w:rsidR="00696DB7" w:rsidRPr="00696DB7">
              <w:rPr>
                <w:rFonts w:eastAsia="Times New Roman" w:cs="Arial"/>
                <w:color w:val="000000"/>
                <w:sz w:val="20"/>
                <w:szCs w:val="20"/>
                <w:lang w:eastAsia="cs-CZ"/>
              </w:rPr>
              <w:t>.</w:t>
            </w:r>
          </w:p>
        </w:tc>
        <w:tc>
          <w:tcPr>
            <w:tcW w:w="993"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do 25 let</w:t>
            </w:r>
          </w:p>
        </w:tc>
        <w:tc>
          <w:tcPr>
            <w:tcW w:w="992"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nad 50 let</w:t>
            </w:r>
          </w:p>
        </w:tc>
        <w:tc>
          <w:tcPr>
            <w:tcW w:w="992"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 xml:space="preserve">bez </w:t>
            </w:r>
            <w:proofErr w:type="spellStart"/>
            <w:r w:rsidRPr="00696DB7">
              <w:rPr>
                <w:rFonts w:eastAsia="Times New Roman" w:cs="Arial"/>
                <w:color w:val="000000"/>
                <w:sz w:val="20"/>
                <w:szCs w:val="20"/>
                <w:lang w:eastAsia="cs-CZ"/>
              </w:rPr>
              <w:t>vzděl</w:t>
            </w:r>
            <w:proofErr w:type="spellEnd"/>
            <w:r w:rsidRPr="00696DB7">
              <w:rPr>
                <w:rFonts w:eastAsia="Times New Roman" w:cs="Arial"/>
                <w:color w:val="000000"/>
                <w:sz w:val="20"/>
                <w:szCs w:val="20"/>
                <w:lang w:eastAsia="cs-CZ"/>
              </w:rPr>
              <w:t>. nebo se ZŠ</w:t>
            </w:r>
          </w:p>
        </w:tc>
        <w:tc>
          <w:tcPr>
            <w:tcW w:w="2126" w:type="dxa"/>
            <w:gridSpan w:val="4"/>
            <w:tcBorders>
              <w:top w:val="single" w:sz="8" w:space="0" w:color="auto"/>
              <w:left w:val="single" w:sz="4" w:space="0" w:color="auto"/>
              <w:right w:val="single" w:sz="8" w:space="0" w:color="000000"/>
            </w:tcBorders>
            <w:shd w:val="clear" w:color="auto" w:fill="auto"/>
            <w:vAlign w:val="center"/>
            <w:hideMark/>
          </w:tcPr>
          <w:p w:rsidR="00696DB7" w:rsidRPr="00696DB7" w:rsidRDefault="00696DB7" w:rsidP="00696DB7">
            <w:pPr>
              <w:spacing w:line="240" w:lineRule="auto"/>
              <w:jc w:val="center"/>
              <w:rPr>
                <w:rFonts w:eastAsia="Times New Roman" w:cs="Arial"/>
                <w:color w:val="000000"/>
                <w:sz w:val="20"/>
                <w:szCs w:val="20"/>
                <w:lang w:eastAsia="cs-CZ"/>
              </w:rPr>
            </w:pPr>
            <w:r w:rsidRPr="00696DB7">
              <w:rPr>
                <w:rFonts w:eastAsia="Times New Roman" w:cs="Arial"/>
                <w:color w:val="000000"/>
                <w:sz w:val="20"/>
                <w:szCs w:val="20"/>
                <w:lang w:eastAsia="cs-CZ"/>
              </w:rPr>
              <w:t xml:space="preserve">evidence </w:t>
            </w:r>
            <w:r w:rsidR="00AA5E35" w:rsidRPr="00696DB7">
              <w:rPr>
                <w:rFonts w:eastAsia="Times New Roman" w:cs="Arial"/>
                <w:color w:val="000000"/>
                <w:sz w:val="20"/>
                <w:szCs w:val="20"/>
                <w:lang w:eastAsia="cs-CZ"/>
              </w:rPr>
              <w:t>nad 12M</w:t>
            </w:r>
          </w:p>
        </w:tc>
      </w:tr>
      <w:tr w:rsidR="00586FAC" w:rsidRPr="00696DB7" w:rsidTr="00AE1346">
        <w:trPr>
          <w:trHeight w:val="383"/>
        </w:trPr>
        <w:tc>
          <w:tcPr>
            <w:tcW w:w="1149" w:type="dxa"/>
            <w:gridSpan w:val="2"/>
            <w:vMerge/>
            <w:tcBorders>
              <w:top w:val="single" w:sz="8" w:space="0" w:color="auto"/>
              <w:left w:val="single" w:sz="8" w:space="0" w:color="auto"/>
              <w:bottom w:val="double" w:sz="6" w:space="0" w:color="000000"/>
              <w:right w:val="single" w:sz="8" w:space="0" w:color="000000"/>
            </w:tcBorders>
            <w:vAlign w:val="center"/>
            <w:hideMark/>
          </w:tcPr>
          <w:p w:rsidR="00696DB7" w:rsidRPr="00696DB7" w:rsidRDefault="00696DB7" w:rsidP="00696DB7">
            <w:pPr>
              <w:spacing w:line="240" w:lineRule="auto"/>
              <w:jc w:val="left"/>
              <w:rPr>
                <w:rFonts w:ascii="Calibri" w:eastAsia="Times New Roman" w:hAnsi="Calibri" w:cs="Times New Roman"/>
                <w:b/>
                <w:bCs/>
                <w:color w:val="000000"/>
                <w:sz w:val="22"/>
                <w:lang w:eastAsia="cs-CZ"/>
              </w:rPr>
            </w:pPr>
          </w:p>
        </w:tc>
        <w:tc>
          <w:tcPr>
            <w:tcW w:w="1276" w:type="dxa"/>
            <w:gridSpan w:val="2"/>
            <w:vMerge/>
            <w:tcBorders>
              <w:top w:val="single" w:sz="8" w:space="0" w:color="auto"/>
              <w:left w:val="single" w:sz="8"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1134" w:type="dxa"/>
            <w:gridSpan w:val="2"/>
            <w:vMerge/>
            <w:tcBorders>
              <w:top w:val="single" w:sz="8" w:space="0" w:color="auto"/>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92" w:type="dxa"/>
            <w:gridSpan w:val="2"/>
            <w:vMerge/>
            <w:tcBorders>
              <w:top w:val="single" w:sz="8" w:space="0" w:color="auto"/>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93" w:type="dxa"/>
            <w:gridSpan w:val="2"/>
            <w:vMerge/>
            <w:tcBorders>
              <w:top w:val="single" w:sz="8" w:space="0" w:color="auto"/>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92" w:type="dxa"/>
            <w:gridSpan w:val="2"/>
            <w:vMerge/>
            <w:tcBorders>
              <w:top w:val="single" w:sz="8" w:space="0" w:color="auto"/>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92" w:type="dxa"/>
            <w:gridSpan w:val="2"/>
            <w:vMerge/>
            <w:tcBorders>
              <w:top w:val="single" w:sz="8" w:space="0" w:color="auto"/>
              <w:left w:val="single" w:sz="4" w:space="0" w:color="auto"/>
              <w:bottom w:val="single" w:sz="4" w:space="0" w:color="auto"/>
              <w:right w:val="single" w:sz="4" w:space="0" w:color="auto"/>
            </w:tcBorders>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992" w:type="dxa"/>
            <w:gridSpan w:val="2"/>
            <w:tcBorders>
              <w:top w:val="nil"/>
              <w:left w:val="single" w:sz="4" w:space="0" w:color="auto"/>
              <w:bottom w:val="nil"/>
              <w:right w:val="dashed" w:sz="4" w:space="0" w:color="auto"/>
            </w:tcBorders>
            <w:shd w:val="clear" w:color="auto" w:fill="auto"/>
            <w:vAlign w:val="center"/>
            <w:hideMark/>
          </w:tcPr>
          <w:p w:rsidR="00696DB7" w:rsidRPr="00696DB7" w:rsidRDefault="00696DB7" w:rsidP="00696DB7">
            <w:pPr>
              <w:spacing w:line="240" w:lineRule="auto"/>
              <w:jc w:val="left"/>
              <w:rPr>
                <w:rFonts w:eastAsia="Times New Roman" w:cs="Arial"/>
                <w:color w:val="000000"/>
                <w:sz w:val="20"/>
                <w:szCs w:val="20"/>
                <w:lang w:eastAsia="cs-CZ"/>
              </w:rPr>
            </w:pPr>
          </w:p>
        </w:tc>
        <w:tc>
          <w:tcPr>
            <w:tcW w:w="1134" w:type="dxa"/>
            <w:gridSpan w:val="2"/>
            <w:tcBorders>
              <w:top w:val="dashSmallGap" w:sz="4" w:space="0" w:color="auto"/>
              <w:left w:val="nil"/>
              <w:bottom w:val="double" w:sz="4" w:space="0" w:color="auto"/>
              <w:right w:val="single" w:sz="8" w:space="0" w:color="auto"/>
            </w:tcBorders>
            <w:shd w:val="clear" w:color="auto" w:fill="auto"/>
            <w:vAlign w:val="center"/>
            <w:hideMark/>
          </w:tcPr>
          <w:p w:rsidR="00696DB7" w:rsidRPr="00696DB7" w:rsidRDefault="00696DB7" w:rsidP="00696DB7">
            <w:pPr>
              <w:spacing w:line="240" w:lineRule="auto"/>
              <w:jc w:val="left"/>
              <w:rPr>
                <w:rFonts w:eastAsia="Times New Roman" w:cs="Arial"/>
                <w:color w:val="000000"/>
                <w:sz w:val="20"/>
                <w:szCs w:val="20"/>
                <w:lang w:eastAsia="cs-CZ"/>
              </w:rPr>
            </w:pPr>
            <w:r w:rsidRPr="00696DB7">
              <w:rPr>
                <w:rFonts w:eastAsia="Times New Roman" w:cs="Arial"/>
                <w:color w:val="000000"/>
                <w:sz w:val="20"/>
                <w:szCs w:val="20"/>
                <w:lang w:eastAsia="cs-CZ"/>
              </w:rPr>
              <w:t>nad 24M</w:t>
            </w:r>
          </w:p>
        </w:tc>
      </w:tr>
      <w:tr w:rsidR="00586FAC" w:rsidRPr="00696DB7" w:rsidTr="00AE1346">
        <w:trPr>
          <w:trHeight w:val="330"/>
        </w:trPr>
        <w:tc>
          <w:tcPr>
            <w:tcW w:w="1149" w:type="dxa"/>
            <w:gridSpan w:val="2"/>
            <w:tcBorders>
              <w:top w:val="nil"/>
              <w:left w:val="double" w:sz="6" w:space="0" w:color="auto"/>
              <w:bottom w:val="double" w:sz="6" w:space="0" w:color="auto"/>
              <w:right w:val="single" w:sz="4" w:space="0" w:color="auto"/>
            </w:tcBorders>
            <w:shd w:val="clear" w:color="auto" w:fill="auto"/>
            <w:noWrap/>
            <w:vAlign w:val="bottom"/>
            <w:hideMark/>
          </w:tcPr>
          <w:p w:rsidR="0093491C" w:rsidRPr="00010B3A" w:rsidRDefault="0093491C" w:rsidP="00586FAC">
            <w:pPr>
              <w:spacing w:line="240" w:lineRule="auto"/>
              <w:jc w:val="left"/>
              <w:rPr>
                <w:rFonts w:cs="Arial"/>
                <w:b/>
                <w:bCs/>
                <w:color w:val="000000"/>
                <w:sz w:val="20"/>
                <w:szCs w:val="20"/>
              </w:rPr>
            </w:pPr>
            <w:r w:rsidRPr="00696DB7">
              <w:rPr>
                <w:rFonts w:eastAsia="Times New Roman" w:cs="Arial"/>
                <w:b/>
                <w:bCs/>
                <w:color w:val="000000"/>
                <w:sz w:val="20"/>
                <w:szCs w:val="20"/>
                <w:lang w:eastAsia="cs-CZ"/>
              </w:rPr>
              <w:t xml:space="preserve"> ČR</w:t>
            </w:r>
          </w:p>
        </w:tc>
        <w:tc>
          <w:tcPr>
            <w:tcW w:w="1276" w:type="dxa"/>
            <w:gridSpan w:val="2"/>
            <w:tcBorders>
              <w:top w:val="double" w:sz="6" w:space="0" w:color="auto"/>
              <w:left w:val="single" w:sz="8" w:space="0" w:color="auto"/>
              <w:bottom w:val="double" w:sz="6"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14,38%</w:t>
            </w:r>
          </w:p>
        </w:tc>
        <w:tc>
          <w:tcPr>
            <w:tcW w:w="1134" w:type="dxa"/>
            <w:gridSpan w:val="2"/>
            <w:tcBorders>
              <w:top w:val="double" w:sz="6" w:space="0" w:color="auto"/>
              <w:left w:val="nil"/>
              <w:bottom w:val="double" w:sz="6"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13,06%</w:t>
            </w:r>
          </w:p>
        </w:tc>
        <w:tc>
          <w:tcPr>
            <w:tcW w:w="992" w:type="dxa"/>
            <w:gridSpan w:val="2"/>
            <w:tcBorders>
              <w:top w:val="double" w:sz="6" w:space="0" w:color="auto"/>
              <w:left w:val="nil"/>
              <w:bottom w:val="double" w:sz="6"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1,09%</w:t>
            </w:r>
          </w:p>
        </w:tc>
        <w:tc>
          <w:tcPr>
            <w:tcW w:w="993" w:type="dxa"/>
            <w:gridSpan w:val="2"/>
            <w:tcBorders>
              <w:top w:val="double" w:sz="6" w:space="0" w:color="auto"/>
              <w:left w:val="nil"/>
              <w:bottom w:val="double" w:sz="6"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14,53%</w:t>
            </w:r>
          </w:p>
        </w:tc>
        <w:tc>
          <w:tcPr>
            <w:tcW w:w="992" w:type="dxa"/>
            <w:gridSpan w:val="2"/>
            <w:tcBorders>
              <w:top w:val="double" w:sz="6" w:space="0" w:color="auto"/>
              <w:left w:val="nil"/>
              <w:bottom w:val="double" w:sz="6"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32,08%</w:t>
            </w:r>
          </w:p>
        </w:tc>
        <w:tc>
          <w:tcPr>
            <w:tcW w:w="992" w:type="dxa"/>
            <w:gridSpan w:val="2"/>
            <w:tcBorders>
              <w:top w:val="double" w:sz="6" w:space="0" w:color="auto"/>
              <w:left w:val="nil"/>
              <w:bottom w:val="double" w:sz="6"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30,38%</w:t>
            </w:r>
          </w:p>
        </w:tc>
        <w:tc>
          <w:tcPr>
            <w:tcW w:w="992" w:type="dxa"/>
            <w:gridSpan w:val="2"/>
            <w:tcBorders>
              <w:top w:val="double" w:sz="6" w:space="0" w:color="auto"/>
              <w:left w:val="nil"/>
              <w:bottom w:val="double" w:sz="6"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40,79%</w:t>
            </w:r>
          </w:p>
        </w:tc>
        <w:tc>
          <w:tcPr>
            <w:tcW w:w="1134" w:type="dxa"/>
            <w:gridSpan w:val="2"/>
            <w:tcBorders>
              <w:top w:val="double" w:sz="6" w:space="0" w:color="auto"/>
              <w:left w:val="nil"/>
              <w:bottom w:val="double" w:sz="6" w:space="0" w:color="auto"/>
              <w:right w:val="double" w:sz="6"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b/>
                <w:bCs/>
                <w:color w:val="000000"/>
                <w:sz w:val="20"/>
                <w:szCs w:val="20"/>
                <w:lang w:eastAsia="cs-CZ"/>
              </w:rPr>
            </w:pPr>
            <w:r w:rsidRPr="00696DB7">
              <w:rPr>
                <w:rFonts w:eastAsia="Times New Roman" w:cs="Arial"/>
                <w:b/>
                <w:bCs/>
                <w:color w:val="000000"/>
                <w:sz w:val="20"/>
                <w:szCs w:val="20"/>
                <w:lang w:eastAsia="cs-CZ"/>
              </w:rPr>
              <w:t>28,25%</w:t>
            </w:r>
          </w:p>
        </w:tc>
      </w:tr>
      <w:tr w:rsidR="00586FAC" w:rsidRPr="00696DB7" w:rsidTr="00AE1346">
        <w:trPr>
          <w:trHeight w:val="315"/>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Praha</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8,68%</w:t>
            </w:r>
          </w:p>
        </w:tc>
        <w:tc>
          <w:tcPr>
            <w:tcW w:w="1134" w:type="dxa"/>
            <w:gridSpan w:val="2"/>
            <w:tcBorders>
              <w:top w:val="nil"/>
              <w:left w:val="single" w:sz="4"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7,38%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0,47%</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10,76%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29,78%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20,21%</w:t>
            </w:r>
          </w:p>
        </w:tc>
        <w:tc>
          <w:tcPr>
            <w:tcW w:w="992" w:type="dxa"/>
            <w:gridSpan w:val="2"/>
            <w:tcBorders>
              <w:top w:val="nil"/>
              <w:left w:val="nil"/>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36,77%</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21,39%</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SČK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13,01%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16,56%</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1,05%</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15,23%</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31,42%</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28,31%</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37,31%</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25,35%</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JČK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18,37%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13,40%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1,59%</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15,56%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33,51%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26,55%</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30,15%</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19,73%</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PLK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19,24%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15,13%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1,62%</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14,70%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33,92%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31,18%</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35,45%</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24,51%</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KVK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11,67%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19,02%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1,41%</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14,61%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32,73%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50,11%</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45,54%</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33,12%</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ULK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15,53%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15,26%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29,50%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46,06%</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46,67%</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33,46%</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LBK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13,86%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17,18%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1,27%</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16,12%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29,73%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33,11%</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37,63%</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25,49%</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KHK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15,15%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11,54%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0,80%</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16,36%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31,18%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30,24%</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33,53%</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21,64%</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PBK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18,56%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17,30%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1,70%</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17,17%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33,04%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28,04%</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31,23%</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21,02%</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VYS</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19,37%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14,37%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15,56%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33,49%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19,79%</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40,60%</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29,09%</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JMK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14,69%</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10,29%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1,06%</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14,87%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30,83%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25,26%</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42,90%</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29,51%</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OLK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14,36%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11,23%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0,95%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13,99%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33,62%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28,02%</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40,59%</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29,42%</w:t>
            </w:r>
          </w:p>
        </w:tc>
      </w:tr>
      <w:tr w:rsidR="00586FAC" w:rsidRPr="00696DB7" w:rsidTr="00AE1346">
        <w:trPr>
          <w:trHeight w:val="300"/>
        </w:trPr>
        <w:tc>
          <w:tcPr>
            <w:tcW w:w="1149"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ZLK</w:t>
            </w:r>
          </w:p>
        </w:tc>
        <w:tc>
          <w:tcPr>
            <w:tcW w:w="1276" w:type="dxa"/>
            <w:gridSpan w:val="2"/>
            <w:tcBorders>
              <w:top w:val="nil"/>
              <w:left w:val="single" w:sz="8" w:space="0" w:color="auto"/>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16,69%</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17,56%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1,09%</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14,96%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33,97%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19,12%</w:t>
            </w:r>
          </w:p>
        </w:tc>
        <w:tc>
          <w:tcPr>
            <w:tcW w:w="992" w:type="dxa"/>
            <w:gridSpan w:val="2"/>
            <w:tcBorders>
              <w:top w:val="nil"/>
              <w:left w:val="single" w:sz="4" w:space="0" w:color="auto"/>
              <w:bottom w:val="single" w:sz="4"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36,52%</w:t>
            </w:r>
          </w:p>
        </w:tc>
        <w:tc>
          <w:tcPr>
            <w:tcW w:w="1134" w:type="dxa"/>
            <w:gridSpan w:val="2"/>
            <w:tcBorders>
              <w:top w:val="nil"/>
              <w:left w:val="nil"/>
              <w:bottom w:val="single" w:sz="4"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24,71%</w:t>
            </w:r>
          </w:p>
        </w:tc>
      </w:tr>
      <w:tr w:rsidR="00586FAC" w:rsidRPr="00696DB7" w:rsidTr="00AE1346">
        <w:trPr>
          <w:trHeight w:val="315"/>
        </w:trPr>
        <w:tc>
          <w:tcPr>
            <w:tcW w:w="1149" w:type="dxa"/>
            <w:gridSpan w:val="2"/>
            <w:tcBorders>
              <w:top w:val="nil"/>
              <w:left w:val="single" w:sz="8" w:space="0" w:color="auto"/>
              <w:bottom w:val="single" w:sz="8" w:space="0" w:color="auto"/>
              <w:right w:val="single" w:sz="4" w:space="0" w:color="auto"/>
            </w:tcBorders>
            <w:shd w:val="clear" w:color="auto" w:fill="auto"/>
            <w:noWrap/>
            <w:vAlign w:val="bottom"/>
            <w:hideMark/>
          </w:tcPr>
          <w:p w:rsidR="0093491C" w:rsidRPr="00010B3A" w:rsidRDefault="0093491C" w:rsidP="00586FAC">
            <w:pPr>
              <w:spacing w:line="240" w:lineRule="auto"/>
              <w:jc w:val="right"/>
              <w:rPr>
                <w:rFonts w:cs="Arial"/>
                <w:bCs/>
                <w:color w:val="000000"/>
                <w:sz w:val="20"/>
                <w:szCs w:val="20"/>
              </w:rPr>
            </w:pPr>
            <w:r w:rsidRPr="00696DB7">
              <w:rPr>
                <w:rFonts w:eastAsia="Times New Roman" w:cs="Arial"/>
                <w:color w:val="000000"/>
                <w:sz w:val="20"/>
                <w:szCs w:val="20"/>
                <w:lang w:eastAsia="cs-CZ"/>
              </w:rPr>
              <w:t>MSK</w:t>
            </w:r>
          </w:p>
        </w:tc>
        <w:tc>
          <w:tcPr>
            <w:tcW w:w="1276" w:type="dxa"/>
            <w:gridSpan w:val="2"/>
            <w:tcBorders>
              <w:top w:val="nil"/>
              <w:left w:val="single" w:sz="8" w:space="0" w:color="auto"/>
              <w:bottom w:val="single" w:sz="8"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13,55%</w:t>
            </w:r>
          </w:p>
        </w:tc>
        <w:tc>
          <w:tcPr>
            <w:tcW w:w="1134" w:type="dxa"/>
            <w:gridSpan w:val="2"/>
            <w:tcBorders>
              <w:top w:val="nil"/>
              <w:left w:val="nil"/>
              <w:bottom w:val="single" w:sz="8"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9,86%</w:t>
            </w:r>
          </w:p>
        </w:tc>
        <w:tc>
          <w:tcPr>
            <w:tcW w:w="992" w:type="dxa"/>
            <w:gridSpan w:val="2"/>
            <w:tcBorders>
              <w:top w:val="nil"/>
              <w:left w:val="nil"/>
              <w:bottom w:val="single" w:sz="8"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0,85%</w:t>
            </w:r>
          </w:p>
        </w:tc>
        <w:tc>
          <w:tcPr>
            <w:tcW w:w="993" w:type="dxa"/>
            <w:gridSpan w:val="2"/>
            <w:tcBorders>
              <w:top w:val="nil"/>
              <w:left w:val="nil"/>
              <w:bottom w:val="single" w:sz="8"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13,39%</w:t>
            </w:r>
          </w:p>
        </w:tc>
        <w:tc>
          <w:tcPr>
            <w:tcW w:w="992" w:type="dxa"/>
            <w:gridSpan w:val="2"/>
            <w:tcBorders>
              <w:top w:val="nil"/>
              <w:left w:val="nil"/>
              <w:bottom w:val="single" w:sz="8"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34,61%</w:t>
            </w:r>
          </w:p>
        </w:tc>
        <w:tc>
          <w:tcPr>
            <w:tcW w:w="992" w:type="dxa"/>
            <w:gridSpan w:val="2"/>
            <w:tcBorders>
              <w:top w:val="nil"/>
              <w:left w:val="nil"/>
              <w:bottom w:val="single" w:sz="8" w:space="0" w:color="auto"/>
              <w:right w:val="single"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33,38%</w:t>
            </w:r>
          </w:p>
        </w:tc>
        <w:tc>
          <w:tcPr>
            <w:tcW w:w="992" w:type="dxa"/>
            <w:gridSpan w:val="2"/>
            <w:tcBorders>
              <w:top w:val="nil"/>
              <w:left w:val="single" w:sz="4" w:space="0" w:color="auto"/>
              <w:bottom w:val="single" w:sz="8" w:space="0" w:color="auto"/>
              <w:right w:val="dashed" w:sz="4"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48,19%</w:t>
            </w:r>
          </w:p>
        </w:tc>
        <w:tc>
          <w:tcPr>
            <w:tcW w:w="1134" w:type="dxa"/>
            <w:gridSpan w:val="2"/>
            <w:tcBorders>
              <w:top w:val="nil"/>
              <w:left w:val="nil"/>
              <w:bottom w:val="single" w:sz="8" w:space="0" w:color="auto"/>
              <w:right w:val="single" w:sz="8" w:space="0" w:color="auto"/>
            </w:tcBorders>
            <w:shd w:val="clear" w:color="auto" w:fill="auto"/>
            <w:noWrap/>
            <w:vAlign w:val="bottom"/>
            <w:hideMark/>
          </w:tcPr>
          <w:p w:rsidR="0093491C" w:rsidRPr="00696DB7" w:rsidRDefault="0093491C" w:rsidP="00696DB7">
            <w:pPr>
              <w:spacing w:line="240" w:lineRule="auto"/>
              <w:jc w:val="right"/>
              <w:rPr>
                <w:rFonts w:eastAsia="Times New Roman" w:cs="Arial"/>
                <w:color w:val="000000"/>
                <w:sz w:val="20"/>
                <w:szCs w:val="20"/>
                <w:lang w:eastAsia="cs-CZ"/>
              </w:rPr>
            </w:pPr>
            <w:r w:rsidRPr="00696DB7">
              <w:rPr>
                <w:rFonts w:eastAsia="Times New Roman" w:cs="Arial"/>
                <w:color w:val="000000"/>
                <w:sz w:val="20"/>
                <w:szCs w:val="20"/>
                <w:lang w:eastAsia="cs-CZ"/>
              </w:rPr>
              <w:t>35,17%</w:t>
            </w:r>
          </w:p>
        </w:tc>
      </w:tr>
    </w:tbl>
    <w:p w:rsidR="006B0DAB" w:rsidRDefault="006B0DAB" w:rsidP="00696DB7">
      <w:pPr>
        <w:spacing w:before="120" w:line="240" w:lineRule="auto"/>
        <w:rPr>
          <w:rFonts w:cs="Arial"/>
          <w:szCs w:val="24"/>
        </w:rPr>
      </w:pPr>
      <w:r>
        <w:rPr>
          <w:rFonts w:cs="Arial"/>
          <w:szCs w:val="24"/>
        </w:rPr>
        <w:t>Mezi uchazeči o zaměstnání jsou velmi výrazně zastoupeny osoby nezaměstnané déle než 12 měsíců, osoby starší 50 let a osoby s nízkou kvalifikací (nejvýše dosažené základní vzdělání). Nejvíce jsou dlouhodobě nezaměstnané osoby zastoupeny</w:t>
      </w:r>
      <w:r w:rsidR="009C10D4">
        <w:rPr>
          <w:rFonts w:cs="Arial"/>
          <w:szCs w:val="24"/>
        </w:rPr>
        <w:t xml:space="preserve"> </w:t>
      </w:r>
      <w:r w:rsidR="00291EC0">
        <w:rPr>
          <w:rFonts w:cs="Arial"/>
          <w:szCs w:val="24"/>
        </w:rPr>
        <w:t xml:space="preserve">v </w:t>
      </w:r>
      <w:r w:rsidR="009C10D4">
        <w:rPr>
          <w:rFonts w:cs="Arial"/>
          <w:szCs w:val="24"/>
        </w:rPr>
        <w:t>Moravskoslezském, Ústeckém a Karlovarském kraji, naopak nejméně v Jihočeském, Pardubickém a Královehradeckém kraji. V případě starších osob není rozptyl napříč ČR výrazný.</w:t>
      </w:r>
    </w:p>
    <w:p w:rsidR="00010B3A" w:rsidRDefault="00010B3A" w:rsidP="00696DB7">
      <w:pPr>
        <w:spacing w:before="120" w:line="240" w:lineRule="auto"/>
        <w:rPr>
          <w:rFonts w:cs="Arial"/>
          <w:szCs w:val="24"/>
        </w:rPr>
      </w:pPr>
      <w:r>
        <w:rPr>
          <w:rFonts w:cs="Arial"/>
          <w:szCs w:val="24"/>
        </w:rPr>
        <w:t>Nejvyšší zastoupení osob s kumulací hendikepů lze na základě výše uvedené tabulky</w:t>
      </w:r>
      <w:r>
        <w:rPr>
          <w:rStyle w:val="Znakapoznpodarou"/>
          <w:rFonts w:cs="Arial"/>
          <w:szCs w:val="24"/>
        </w:rPr>
        <w:footnoteReference w:id="1"/>
      </w:r>
      <w:r>
        <w:rPr>
          <w:rFonts w:cs="Arial"/>
          <w:szCs w:val="24"/>
        </w:rPr>
        <w:t xml:space="preserve"> očekávat v Karlovarském kraji následovaném </w:t>
      </w:r>
      <w:r w:rsidR="000445AC">
        <w:rPr>
          <w:rFonts w:cs="Arial"/>
          <w:szCs w:val="24"/>
        </w:rPr>
        <w:t xml:space="preserve">Ústeckým </w:t>
      </w:r>
      <w:r>
        <w:rPr>
          <w:rFonts w:cs="Arial"/>
          <w:szCs w:val="24"/>
        </w:rPr>
        <w:t xml:space="preserve">krajem s větším odstupem pak </w:t>
      </w:r>
      <w:r w:rsidR="00291EC0">
        <w:rPr>
          <w:rFonts w:cs="Arial"/>
          <w:szCs w:val="24"/>
        </w:rPr>
        <w:t>v </w:t>
      </w:r>
      <w:r>
        <w:rPr>
          <w:rFonts w:cs="Arial"/>
          <w:szCs w:val="24"/>
        </w:rPr>
        <w:t>Moravskoslezském a Plzeňském kraji, naopak v Praze je zastoupení osob s kumulací hen</w:t>
      </w:r>
      <w:r w:rsidR="00541DBA">
        <w:rPr>
          <w:rFonts w:cs="Arial"/>
          <w:szCs w:val="24"/>
        </w:rPr>
        <w:t>dikepů spíše nižší, viz následující graf.</w:t>
      </w:r>
    </w:p>
    <w:p w:rsidR="002F443B" w:rsidRDefault="002F443B" w:rsidP="00696DB7">
      <w:pPr>
        <w:spacing w:before="120" w:line="240" w:lineRule="auto"/>
        <w:rPr>
          <w:rFonts w:cs="Arial"/>
          <w:szCs w:val="24"/>
        </w:rPr>
      </w:pPr>
    </w:p>
    <w:p w:rsidR="000951F9" w:rsidRDefault="00255C9E" w:rsidP="000951F9">
      <w:pPr>
        <w:pStyle w:val="Titulek"/>
        <w:keepNext/>
        <w:spacing w:before="120" w:after="120"/>
      </w:pPr>
      <w:bookmarkStart w:id="16" w:name="_Toc465675926"/>
      <w:r>
        <w:t>Graf</w:t>
      </w:r>
      <w:r w:rsidR="000951F9">
        <w:t xml:space="preserve"> </w:t>
      </w:r>
      <w:r w:rsidR="006C5B50">
        <w:fldChar w:fldCharType="begin"/>
      </w:r>
      <w:r w:rsidR="006C5B50">
        <w:instrText xml:space="preserve"> SEQ Graf_č.: \* ARABIC </w:instrText>
      </w:r>
      <w:r w:rsidR="006C5B50">
        <w:fldChar w:fldCharType="separate"/>
      </w:r>
      <w:r w:rsidR="005B254A">
        <w:rPr>
          <w:noProof/>
        </w:rPr>
        <w:t>7</w:t>
      </w:r>
      <w:r w:rsidR="006C5B50">
        <w:rPr>
          <w:noProof/>
        </w:rPr>
        <w:fldChar w:fldCharType="end"/>
      </w:r>
      <w:r w:rsidR="000951F9">
        <w:t xml:space="preserve"> - </w:t>
      </w:r>
      <w:r w:rsidR="000951F9" w:rsidRPr="00F103BD">
        <w:t xml:space="preserve">Součet podílů znevýhodněných skupin </w:t>
      </w:r>
      <w:proofErr w:type="spellStart"/>
      <w:r w:rsidR="000951F9" w:rsidRPr="00F103BD">
        <w:t>UoZ</w:t>
      </w:r>
      <w:proofErr w:type="spellEnd"/>
      <w:r w:rsidR="000951F9" w:rsidRPr="00F103BD">
        <w:t xml:space="preserve"> podle krajů k 30. 9. 2016</w:t>
      </w:r>
      <w:bookmarkEnd w:id="16"/>
    </w:p>
    <w:p w:rsidR="00541DBA" w:rsidRDefault="00541DBA" w:rsidP="00696DB7">
      <w:pPr>
        <w:spacing w:before="120" w:line="240" w:lineRule="auto"/>
        <w:rPr>
          <w:rFonts w:cs="Arial"/>
          <w:szCs w:val="24"/>
        </w:rPr>
      </w:pPr>
      <w:r>
        <w:rPr>
          <w:noProof/>
          <w:lang w:eastAsia="cs-CZ"/>
        </w:rPr>
        <w:drawing>
          <wp:inline distT="0" distB="0" distL="0" distR="0" wp14:anchorId="215A5FEB" wp14:editId="231E8F58">
            <wp:extent cx="5752214" cy="3072809"/>
            <wp:effectExtent l="0" t="0" r="20320" b="13335"/>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B0DAB" w:rsidRDefault="006B0DAB" w:rsidP="00696DB7">
      <w:pPr>
        <w:spacing w:before="120" w:line="240" w:lineRule="auto"/>
        <w:rPr>
          <w:rFonts w:cs="Arial"/>
          <w:szCs w:val="24"/>
        </w:rPr>
      </w:pPr>
      <w:r>
        <w:rPr>
          <w:rFonts w:cs="Arial"/>
          <w:szCs w:val="24"/>
        </w:rPr>
        <w:t>Rozboru struktury a vývoje dlouhodobé nezaměstnanosti se věnuje následující kapitola.</w:t>
      </w:r>
    </w:p>
    <w:p w:rsidR="00D5638D" w:rsidRDefault="005E0BED" w:rsidP="00696DB7">
      <w:pPr>
        <w:spacing w:before="120" w:line="240" w:lineRule="auto"/>
        <w:rPr>
          <w:rFonts w:cs="Arial"/>
          <w:szCs w:val="24"/>
        </w:rPr>
      </w:pPr>
      <w:r>
        <w:rPr>
          <w:rFonts w:cs="Arial"/>
          <w:szCs w:val="24"/>
        </w:rPr>
        <w:t xml:space="preserve">Z pohledu věkové struktury </w:t>
      </w:r>
      <w:proofErr w:type="spellStart"/>
      <w:r w:rsidR="00291EC0">
        <w:rPr>
          <w:rFonts w:cs="Arial"/>
          <w:szCs w:val="24"/>
        </w:rPr>
        <w:t>UoZ</w:t>
      </w:r>
      <w:proofErr w:type="spellEnd"/>
      <w:r>
        <w:rPr>
          <w:rFonts w:cs="Arial"/>
          <w:szCs w:val="24"/>
        </w:rPr>
        <w:t xml:space="preserve">, je však zastoupení jednotlivých věkových skupin více méně rovnoměrné. V posledních letech však s prodlužující se dobou ekonomické aktivity, zejména v důsledku zvyšování věku odchodu do důchodu, narůstá mezi </w:t>
      </w:r>
      <w:proofErr w:type="spellStart"/>
      <w:r w:rsidR="00291EC0">
        <w:rPr>
          <w:rFonts w:cs="Arial"/>
          <w:szCs w:val="24"/>
        </w:rPr>
        <w:t>UoZ</w:t>
      </w:r>
      <w:proofErr w:type="spellEnd"/>
      <w:r>
        <w:rPr>
          <w:rFonts w:cs="Arial"/>
          <w:szCs w:val="24"/>
        </w:rPr>
        <w:t xml:space="preserve"> podíl osob ve věkové skupině nad 60 let v případě mužů a nad 55 let v případě žen.</w:t>
      </w:r>
      <w:r w:rsidR="00D5638D">
        <w:rPr>
          <w:rFonts w:cs="Arial"/>
          <w:szCs w:val="24"/>
        </w:rPr>
        <w:t xml:space="preserve"> </w:t>
      </w:r>
    </w:p>
    <w:p w:rsidR="00D5638D" w:rsidRDefault="00D5638D" w:rsidP="00696DB7">
      <w:pPr>
        <w:spacing w:before="120" w:line="240" w:lineRule="auto"/>
        <w:rPr>
          <w:rFonts w:cs="Arial"/>
          <w:szCs w:val="24"/>
        </w:rPr>
      </w:pPr>
      <w:r>
        <w:rPr>
          <w:rFonts w:cs="Arial"/>
          <w:szCs w:val="24"/>
        </w:rPr>
        <w:t xml:space="preserve">Relativně vysoké zastoupení </w:t>
      </w:r>
      <w:proofErr w:type="spellStart"/>
      <w:r w:rsidR="00291EC0">
        <w:rPr>
          <w:rFonts w:cs="Arial"/>
          <w:szCs w:val="24"/>
        </w:rPr>
        <w:t>UoZ</w:t>
      </w:r>
      <w:proofErr w:type="spellEnd"/>
      <w:r>
        <w:rPr>
          <w:rFonts w:cs="Arial"/>
          <w:szCs w:val="24"/>
        </w:rPr>
        <w:t xml:space="preserve"> starších 50 let je dáno krom jejich zhoršeného postavení na trhu práce i četností této skupiny v populaci (ve 2. čtvrtletí 2016 29,4 % obyvatel ČR ve věkové skupině 15-64 let). Oproti tomu osoby s nejvýše dosaženým základním vzděláním jsou v evidenci </w:t>
      </w:r>
      <w:proofErr w:type="spellStart"/>
      <w:r w:rsidR="00291EC0">
        <w:rPr>
          <w:rFonts w:cs="Arial"/>
          <w:szCs w:val="24"/>
        </w:rPr>
        <w:t>UoZ</w:t>
      </w:r>
      <w:proofErr w:type="spellEnd"/>
      <w:r>
        <w:rPr>
          <w:rFonts w:cs="Arial"/>
          <w:szCs w:val="24"/>
        </w:rPr>
        <w:t xml:space="preserve"> zastoupeny výrazně více než obecně v populaci (ve 2. čtvrtletí 2016 bylo v populaci ČR 14 % osob starších 15 let se základním vzděláním).</w:t>
      </w:r>
    </w:p>
    <w:p w:rsidR="002F443B" w:rsidRDefault="002F443B" w:rsidP="00696DB7">
      <w:pPr>
        <w:spacing w:before="120" w:line="240" w:lineRule="auto"/>
        <w:rPr>
          <w:rFonts w:cs="Arial"/>
          <w:szCs w:val="24"/>
        </w:rPr>
      </w:pPr>
      <w:r>
        <w:rPr>
          <w:noProof/>
          <w:lang w:eastAsia="cs-CZ"/>
        </w:rPr>
        <w:drawing>
          <wp:anchor distT="0" distB="0" distL="114300" distR="114300" simplePos="0" relativeHeight="251683840" behindDoc="0" locked="0" layoutInCell="1" allowOverlap="1" wp14:anchorId="666DD5B1" wp14:editId="1EABE662">
            <wp:simplePos x="0" y="0"/>
            <wp:positionH relativeFrom="column">
              <wp:posOffset>3810</wp:posOffset>
            </wp:positionH>
            <wp:positionV relativeFrom="paragraph">
              <wp:posOffset>625475</wp:posOffset>
            </wp:positionV>
            <wp:extent cx="5762625" cy="5231130"/>
            <wp:effectExtent l="0" t="0" r="9525" b="26670"/>
            <wp:wrapSquare wrapText="bothSides"/>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rsidR="000951F9" w:rsidRDefault="00255C9E" w:rsidP="000951F9">
      <w:pPr>
        <w:pStyle w:val="Titulek"/>
        <w:keepNext/>
        <w:spacing w:before="120" w:after="120"/>
      </w:pPr>
      <w:bookmarkStart w:id="17" w:name="_Toc465675927"/>
      <w:r>
        <w:t>Graf</w:t>
      </w:r>
      <w:r w:rsidR="000951F9">
        <w:t xml:space="preserve"> </w:t>
      </w:r>
      <w:r w:rsidR="006C5B50">
        <w:fldChar w:fldCharType="begin"/>
      </w:r>
      <w:r w:rsidR="006C5B50">
        <w:instrText xml:space="preserve"> SEQ Graf_č.: \* ARABIC </w:instrText>
      </w:r>
      <w:r w:rsidR="006C5B50">
        <w:fldChar w:fldCharType="separate"/>
      </w:r>
      <w:r w:rsidR="005B254A">
        <w:rPr>
          <w:noProof/>
        </w:rPr>
        <w:t>8</w:t>
      </w:r>
      <w:r w:rsidR="006C5B50">
        <w:rPr>
          <w:noProof/>
        </w:rPr>
        <w:fldChar w:fldCharType="end"/>
      </w:r>
      <w:r w:rsidR="000951F9">
        <w:t xml:space="preserve"> - </w:t>
      </w:r>
      <w:r w:rsidR="000951F9" w:rsidRPr="00F308FF">
        <w:t xml:space="preserve">Vzdělanostní struktura </w:t>
      </w:r>
      <w:proofErr w:type="spellStart"/>
      <w:r w:rsidR="000951F9" w:rsidRPr="00F308FF">
        <w:t>UoZ</w:t>
      </w:r>
      <w:proofErr w:type="spellEnd"/>
      <w:r w:rsidR="000951F9" w:rsidRPr="00F308FF">
        <w:t xml:space="preserve"> k 30. 9. 2016 podle krajů, vzdělanostní struktura absolventů v ČR</w:t>
      </w:r>
      <w:bookmarkEnd w:id="17"/>
    </w:p>
    <w:p w:rsidR="000134F1" w:rsidRPr="000134F1" w:rsidRDefault="000134F1" w:rsidP="00696DB7">
      <w:pPr>
        <w:spacing w:before="120" w:line="240" w:lineRule="auto"/>
        <w:rPr>
          <w:rFonts w:cs="Arial"/>
          <w:sz w:val="20"/>
          <w:szCs w:val="24"/>
        </w:rPr>
      </w:pPr>
    </w:p>
    <w:p w:rsidR="00D5638D" w:rsidRDefault="000134F1" w:rsidP="00696DB7">
      <w:pPr>
        <w:spacing w:before="120" w:line="240" w:lineRule="auto"/>
        <w:rPr>
          <w:rFonts w:cs="Arial"/>
          <w:szCs w:val="24"/>
        </w:rPr>
      </w:pPr>
      <w:r>
        <w:rPr>
          <w:rFonts w:cs="Arial"/>
          <w:szCs w:val="24"/>
        </w:rPr>
        <w:t xml:space="preserve">Osoby s nízkým vzděláním jsou nejvýrazněji zastoupeny v Karlovarském a Ústeckém kraji, kde jejich podíl dosahuje 50 %, což je o 20 p. b. </w:t>
      </w:r>
      <w:proofErr w:type="gramStart"/>
      <w:r>
        <w:rPr>
          <w:rFonts w:cs="Arial"/>
          <w:szCs w:val="24"/>
        </w:rPr>
        <w:t>více</w:t>
      </w:r>
      <w:proofErr w:type="gramEnd"/>
      <w:r>
        <w:rPr>
          <w:rFonts w:cs="Arial"/>
          <w:szCs w:val="24"/>
        </w:rPr>
        <w:t xml:space="preserve"> než republikový průměr. Alarmující je podíl </w:t>
      </w:r>
      <w:proofErr w:type="spellStart"/>
      <w:r>
        <w:rPr>
          <w:rFonts w:cs="Arial"/>
          <w:szCs w:val="24"/>
        </w:rPr>
        <w:t>UoZ</w:t>
      </w:r>
      <w:proofErr w:type="spellEnd"/>
      <w:r>
        <w:rPr>
          <w:rFonts w:cs="Arial"/>
          <w:szCs w:val="24"/>
        </w:rPr>
        <w:t xml:space="preserve"> bez vzdělání v Karlovarském kraji, který mnohonásobně převyšuje celorepublikový průměr.</w:t>
      </w:r>
    </w:p>
    <w:p w:rsidR="000134F1" w:rsidRDefault="009669CF" w:rsidP="00696DB7">
      <w:pPr>
        <w:spacing w:before="120" w:line="240" w:lineRule="auto"/>
        <w:rPr>
          <w:rFonts w:cs="Arial"/>
        </w:rPr>
      </w:pPr>
      <w:r>
        <w:rPr>
          <w:rFonts w:cs="Arial"/>
        </w:rPr>
        <w:t xml:space="preserve">V případě absolventů z řad </w:t>
      </w:r>
      <w:proofErr w:type="spellStart"/>
      <w:r>
        <w:rPr>
          <w:rFonts w:cs="Arial"/>
        </w:rPr>
        <w:t>UoZ</w:t>
      </w:r>
      <w:proofErr w:type="spellEnd"/>
      <w:r>
        <w:rPr>
          <w:rFonts w:cs="Arial"/>
        </w:rPr>
        <w:t xml:space="preserve"> je patrná změna vzdělanostní struktury v ČR, kdy oproti všem </w:t>
      </w:r>
      <w:proofErr w:type="spellStart"/>
      <w:r w:rsidR="00291EC0">
        <w:rPr>
          <w:rFonts w:cs="Arial"/>
        </w:rPr>
        <w:t>UoZ</w:t>
      </w:r>
      <w:proofErr w:type="spellEnd"/>
      <w:r>
        <w:rPr>
          <w:rFonts w:cs="Arial"/>
        </w:rPr>
        <w:t xml:space="preserve"> se zvyšuje podíl osob s vysokoškolským </w:t>
      </w:r>
      <w:r w:rsidR="005A56DD">
        <w:rPr>
          <w:rFonts w:cs="Arial"/>
        </w:rPr>
        <w:t xml:space="preserve">vzděláním. </w:t>
      </w:r>
      <w:r w:rsidR="000134F1" w:rsidRPr="00C605D8">
        <w:rPr>
          <w:rFonts w:cs="Arial"/>
        </w:rPr>
        <w:t xml:space="preserve">Obory vzdělání jsou v případě </w:t>
      </w:r>
      <w:proofErr w:type="spellStart"/>
      <w:r w:rsidR="00291EC0">
        <w:rPr>
          <w:rFonts w:cs="Arial"/>
        </w:rPr>
        <w:t>UoZ</w:t>
      </w:r>
      <w:proofErr w:type="spellEnd"/>
      <w:r w:rsidR="000134F1" w:rsidRPr="00C605D8">
        <w:rPr>
          <w:rFonts w:cs="Arial"/>
        </w:rPr>
        <w:t xml:space="preserve"> sledovány pouze u</w:t>
      </w:r>
      <w:r w:rsidR="000134F1">
        <w:rPr>
          <w:rFonts w:cs="Arial"/>
        </w:rPr>
        <w:t> </w:t>
      </w:r>
      <w:r w:rsidR="000134F1" w:rsidRPr="00C605D8">
        <w:rPr>
          <w:rFonts w:cs="Arial"/>
        </w:rPr>
        <w:t xml:space="preserve">absolventů. Rozbor zastoupení jednotlivých oborů podle stupně vzdělání u této sledované skupiny je uveden </w:t>
      </w:r>
      <w:r w:rsidR="000134F1" w:rsidRPr="00731744">
        <w:rPr>
          <w:rFonts w:cs="Arial"/>
        </w:rPr>
        <w:t>v </w:t>
      </w:r>
      <w:r w:rsidR="000134F1" w:rsidRPr="005B0E6F">
        <w:rPr>
          <w:rFonts w:cs="Arial"/>
        </w:rPr>
        <w:t>Příloze č. 2</w:t>
      </w:r>
      <w:r w:rsidR="005A56DD" w:rsidRPr="005B0E6F">
        <w:rPr>
          <w:rFonts w:cs="Arial"/>
        </w:rPr>
        <w:t>.</w:t>
      </w:r>
    </w:p>
    <w:p w:rsidR="00BF3325" w:rsidRDefault="005A56DD" w:rsidP="00650984">
      <w:pPr>
        <w:spacing w:before="120" w:after="120" w:line="240" w:lineRule="auto"/>
        <w:rPr>
          <w:rFonts w:cs="Arial"/>
          <w:b/>
        </w:rPr>
      </w:pPr>
      <w:r w:rsidRPr="00650984">
        <w:rPr>
          <w:rFonts w:cs="Arial"/>
          <w:b/>
        </w:rPr>
        <w:t>V posledních letech výrazně narůstá podíl uchazečů o zaměstnání, kteří na základě § 25 odst. 3 zákona č. 435/2004 Sb., o zaměstnanosti, ve znění pozdějších předpisů</w:t>
      </w:r>
      <w:r w:rsidR="00291EC0">
        <w:rPr>
          <w:rFonts w:cs="Arial"/>
          <w:b/>
        </w:rPr>
        <w:t xml:space="preserve"> (dále jen „zákon o zaměstnanosti“)</w:t>
      </w:r>
      <w:r w:rsidRPr="00650984">
        <w:rPr>
          <w:rFonts w:cs="Arial"/>
          <w:b/>
        </w:rPr>
        <w:t xml:space="preserve">, vykonávají tzv. nekolidující zaměstnání. </w:t>
      </w:r>
    </w:p>
    <w:p w:rsidR="000951F9" w:rsidRDefault="000951F9" w:rsidP="000951F9">
      <w:pPr>
        <w:pStyle w:val="Titulek"/>
        <w:keepNext/>
        <w:spacing w:before="120" w:after="120"/>
      </w:pPr>
      <w:bookmarkStart w:id="18" w:name="_Toc465674536"/>
      <w:r>
        <w:t xml:space="preserve">Tabulka </w:t>
      </w:r>
      <w:r w:rsidR="006C5B50">
        <w:fldChar w:fldCharType="begin"/>
      </w:r>
      <w:r w:rsidR="006C5B50">
        <w:instrText xml:space="preserve"> SEQ Tabulka \* ARABIC </w:instrText>
      </w:r>
      <w:r w:rsidR="006C5B50">
        <w:fldChar w:fldCharType="separate"/>
      </w:r>
      <w:r w:rsidR="005B254A">
        <w:rPr>
          <w:noProof/>
        </w:rPr>
        <w:t>6</w:t>
      </w:r>
      <w:r w:rsidR="006C5B50">
        <w:rPr>
          <w:noProof/>
        </w:rPr>
        <w:fldChar w:fldCharType="end"/>
      </w:r>
      <w:r w:rsidR="002F443B">
        <w:t xml:space="preserve">: Vývoj počtu </w:t>
      </w:r>
      <w:proofErr w:type="spellStart"/>
      <w:r w:rsidR="002F443B">
        <w:t>UoZ</w:t>
      </w:r>
      <w:proofErr w:type="spellEnd"/>
      <w:r w:rsidR="002F443B">
        <w:t xml:space="preserve"> vykonávajících n</w:t>
      </w:r>
      <w:r w:rsidR="00805809">
        <w:t>ekolidující zaměstnání (2006-</w:t>
      </w:r>
      <w:r w:rsidR="002F443B">
        <w:t>2014)</w:t>
      </w:r>
      <w:bookmarkEnd w:id="18"/>
    </w:p>
    <w:tbl>
      <w:tblPr>
        <w:tblStyle w:val="Mkatabulky"/>
        <w:tblW w:w="9071" w:type="dxa"/>
        <w:tblInd w:w="108" w:type="dxa"/>
        <w:tblLook w:val="04A0" w:firstRow="1" w:lastRow="0" w:firstColumn="1" w:lastColumn="0" w:noHBand="0" w:noVBand="1"/>
      </w:tblPr>
      <w:tblGrid>
        <w:gridCol w:w="706"/>
        <w:gridCol w:w="926"/>
        <w:gridCol w:w="926"/>
        <w:gridCol w:w="927"/>
        <w:gridCol w:w="927"/>
        <w:gridCol w:w="939"/>
        <w:gridCol w:w="927"/>
        <w:gridCol w:w="927"/>
        <w:gridCol w:w="927"/>
        <w:gridCol w:w="939"/>
      </w:tblGrid>
      <w:tr w:rsidR="00BF3325" w:rsidRPr="00C605D8" w:rsidTr="000951F9">
        <w:trPr>
          <w:trHeight w:val="346"/>
        </w:trPr>
        <w:tc>
          <w:tcPr>
            <w:tcW w:w="706" w:type="dxa"/>
            <w:vAlign w:val="center"/>
          </w:tcPr>
          <w:p w:rsidR="00BF3325" w:rsidRPr="00BF3325" w:rsidRDefault="00BF3325" w:rsidP="00BF3325">
            <w:pPr>
              <w:spacing w:after="200"/>
              <w:jc w:val="center"/>
              <w:rPr>
                <w:rFonts w:cs="Arial"/>
                <w:sz w:val="20"/>
              </w:rPr>
            </w:pPr>
          </w:p>
        </w:tc>
        <w:tc>
          <w:tcPr>
            <w:tcW w:w="0" w:type="auto"/>
            <w:vAlign w:val="center"/>
          </w:tcPr>
          <w:p w:rsidR="00BF3325" w:rsidRPr="00BF3325" w:rsidRDefault="00BF3325" w:rsidP="00BF3325">
            <w:pPr>
              <w:spacing w:after="200"/>
              <w:jc w:val="center"/>
              <w:rPr>
                <w:rFonts w:cs="Arial"/>
                <w:sz w:val="20"/>
              </w:rPr>
            </w:pPr>
            <w:r w:rsidRPr="00BF3325">
              <w:rPr>
                <w:rFonts w:cs="Arial"/>
                <w:sz w:val="20"/>
              </w:rPr>
              <w:t>2006</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2007</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2008</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2009</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2010</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2011</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2012</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2013</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2014</w:t>
            </w:r>
          </w:p>
        </w:tc>
      </w:tr>
      <w:tr w:rsidR="00BF3325" w:rsidRPr="00C605D8" w:rsidTr="000951F9">
        <w:trPr>
          <w:trHeight w:val="346"/>
        </w:trPr>
        <w:tc>
          <w:tcPr>
            <w:tcW w:w="706" w:type="dxa"/>
            <w:vAlign w:val="center"/>
          </w:tcPr>
          <w:p w:rsidR="00BF3325" w:rsidRPr="00BF3325" w:rsidRDefault="00BF3325" w:rsidP="00BF3325">
            <w:pPr>
              <w:spacing w:after="200"/>
              <w:jc w:val="center"/>
              <w:rPr>
                <w:rFonts w:cs="Arial"/>
                <w:sz w:val="20"/>
              </w:rPr>
            </w:pPr>
            <w:r w:rsidRPr="00BF3325">
              <w:rPr>
                <w:rFonts w:cs="Arial"/>
                <w:sz w:val="20"/>
              </w:rPr>
              <w:t>počet</w:t>
            </w:r>
          </w:p>
        </w:tc>
        <w:tc>
          <w:tcPr>
            <w:tcW w:w="0" w:type="auto"/>
            <w:vAlign w:val="center"/>
          </w:tcPr>
          <w:p w:rsidR="00BF3325" w:rsidRPr="00BF3325" w:rsidRDefault="00BF3325" w:rsidP="00BF3325">
            <w:pPr>
              <w:jc w:val="center"/>
              <w:rPr>
                <w:rFonts w:cs="Arial"/>
                <w:sz w:val="20"/>
              </w:rPr>
            </w:pPr>
            <w:r w:rsidRPr="00BF3325">
              <w:rPr>
                <w:rFonts w:cs="Arial"/>
                <w:sz w:val="20"/>
              </w:rPr>
              <w:t>24 583</w:t>
            </w:r>
          </w:p>
        </w:tc>
        <w:tc>
          <w:tcPr>
            <w:tcW w:w="0" w:type="auto"/>
            <w:vAlign w:val="center"/>
          </w:tcPr>
          <w:p w:rsidR="00BF3325" w:rsidRPr="00BF3325" w:rsidRDefault="00BF3325" w:rsidP="00BF3325">
            <w:pPr>
              <w:jc w:val="center"/>
              <w:rPr>
                <w:rFonts w:cs="Arial"/>
                <w:sz w:val="20"/>
              </w:rPr>
            </w:pPr>
            <w:r w:rsidRPr="00BF3325">
              <w:rPr>
                <w:rFonts w:cs="Arial"/>
                <w:sz w:val="20"/>
              </w:rPr>
              <w:t>27 435</w:t>
            </w:r>
          </w:p>
        </w:tc>
        <w:tc>
          <w:tcPr>
            <w:tcW w:w="0" w:type="auto"/>
            <w:vAlign w:val="center"/>
          </w:tcPr>
          <w:p w:rsidR="00BF3325" w:rsidRPr="00BF3325" w:rsidRDefault="00BF3325" w:rsidP="00BF3325">
            <w:pPr>
              <w:jc w:val="center"/>
              <w:rPr>
                <w:rFonts w:cs="Arial"/>
                <w:sz w:val="20"/>
              </w:rPr>
            </w:pPr>
            <w:r w:rsidRPr="00BF3325">
              <w:rPr>
                <w:rFonts w:cs="Arial"/>
                <w:sz w:val="20"/>
              </w:rPr>
              <w:t>26 593</w:t>
            </w:r>
          </w:p>
        </w:tc>
        <w:tc>
          <w:tcPr>
            <w:tcW w:w="0" w:type="auto"/>
            <w:vAlign w:val="center"/>
          </w:tcPr>
          <w:p w:rsidR="00BF3325" w:rsidRPr="00BF3325" w:rsidRDefault="00BF3325" w:rsidP="00BF3325">
            <w:pPr>
              <w:jc w:val="center"/>
              <w:rPr>
                <w:rFonts w:cs="Arial"/>
                <w:sz w:val="20"/>
              </w:rPr>
            </w:pPr>
            <w:r w:rsidRPr="00BF3325">
              <w:rPr>
                <w:rFonts w:cs="Arial"/>
                <w:sz w:val="20"/>
              </w:rPr>
              <w:t>43 987</w:t>
            </w:r>
          </w:p>
        </w:tc>
        <w:tc>
          <w:tcPr>
            <w:tcW w:w="0" w:type="auto"/>
            <w:vAlign w:val="center"/>
          </w:tcPr>
          <w:p w:rsidR="00BF3325" w:rsidRPr="00BF3325" w:rsidRDefault="00BF3325" w:rsidP="00BF3325">
            <w:pPr>
              <w:jc w:val="center"/>
              <w:rPr>
                <w:rFonts w:cs="Arial"/>
                <w:sz w:val="20"/>
              </w:rPr>
            </w:pPr>
            <w:r w:rsidRPr="00BF3325">
              <w:rPr>
                <w:rFonts w:cs="Arial"/>
                <w:sz w:val="20"/>
              </w:rPr>
              <w:t>59 610</w:t>
            </w:r>
          </w:p>
        </w:tc>
        <w:tc>
          <w:tcPr>
            <w:tcW w:w="0" w:type="auto"/>
            <w:vAlign w:val="center"/>
          </w:tcPr>
          <w:p w:rsidR="00BF3325" w:rsidRPr="00BF3325" w:rsidRDefault="00BF3325" w:rsidP="00BF3325">
            <w:pPr>
              <w:jc w:val="center"/>
              <w:rPr>
                <w:rFonts w:cs="Arial"/>
                <w:sz w:val="20"/>
              </w:rPr>
            </w:pPr>
            <w:r w:rsidRPr="00BF3325">
              <w:rPr>
                <w:rFonts w:cs="Arial"/>
                <w:sz w:val="20"/>
              </w:rPr>
              <w:t>48 469</w:t>
            </w:r>
          </w:p>
        </w:tc>
        <w:tc>
          <w:tcPr>
            <w:tcW w:w="0" w:type="auto"/>
            <w:vAlign w:val="center"/>
          </w:tcPr>
          <w:p w:rsidR="00BF3325" w:rsidRPr="00BF3325" w:rsidRDefault="00BF3325" w:rsidP="00BF3325">
            <w:pPr>
              <w:jc w:val="center"/>
              <w:rPr>
                <w:rFonts w:cs="Arial"/>
                <w:sz w:val="20"/>
              </w:rPr>
            </w:pPr>
            <w:r w:rsidRPr="00BF3325">
              <w:rPr>
                <w:rFonts w:cs="Arial"/>
                <w:sz w:val="20"/>
              </w:rPr>
              <w:t>42 055</w:t>
            </w:r>
          </w:p>
        </w:tc>
        <w:tc>
          <w:tcPr>
            <w:tcW w:w="0" w:type="auto"/>
            <w:vAlign w:val="center"/>
          </w:tcPr>
          <w:p w:rsidR="00BF3325" w:rsidRPr="00BF3325" w:rsidRDefault="00BF3325" w:rsidP="00BF3325">
            <w:pPr>
              <w:jc w:val="center"/>
              <w:rPr>
                <w:rFonts w:cs="Arial"/>
                <w:sz w:val="20"/>
              </w:rPr>
            </w:pPr>
            <w:r w:rsidRPr="00BF3325">
              <w:rPr>
                <w:rFonts w:cs="Arial"/>
                <w:sz w:val="20"/>
              </w:rPr>
              <w:t>47 171</w:t>
            </w:r>
          </w:p>
        </w:tc>
        <w:tc>
          <w:tcPr>
            <w:tcW w:w="0" w:type="auto"/>
            <w:vAlign w:val="center"/>
          </w:tcPr>
          <w:p w:rsidR="00BF3325" w:rsidRPr="00BF3325" w:rsidRDefault="00BF3325" w:rsidP="00BF3325">
            <w:pPr>
              <w:jc w:val="center"/>
              <w:rPr>
                <w:rFonts w:cs="Arial"/>
                <w:sz w:val="20"/>
              </w:rPr>
            </w:pPr>
            <w:r w:rsidRPr="00BF3325">
              <w:rPr>
                <w:rFonts w:cs="Arial"/>
                <w:sz w:val="20"/>
              </w:rPr>
              <w:t>70 729</w:t>
            </w:r>
          </w:p>
        </w:tc>
      </w:tr>
      <w:tr w:rsidR="00BF3325" w:rsidRPr="00C605D8" w:rsidTr="000951F9">
        <w:trPr>
          <w:trHeight w:val="346"/>
        </w:trPr>
        <w:tc>
          <w:tcPr>
            <w:tcW w:w="706" w:type="dxa"/>
            <w:vAlign w:val="center"/>
          </w:tcPr>
          <w:p w:rsidR="00BF3325" w:rsidRPr="00BF3325" w:rsidRDefault="00BF3325" w:rsidP="00BF3325">
            <w:pPr>
              <w:spacing w:after="200"/>
              <w:jc w:val="center"/>
              <w:rPr>
                <w:rFonts w:cs="Arial"/>
                <w:sz w:val="20"/>
              </w:rPr>
            </w:pPr>
            <w:r w:rsidRPr="00BF3325">
              <w:rPr>
                <w:rFonts w:cs="Arial"/>
                <w:sz w:val="20"/>
              </w:rPr>
              <w:t>podíl</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5,2 %</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7,0 %</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8,2 %</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9,4 %</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11,3 %</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9,5 %</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8,3 %</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8,4 %</w:t>
            </w:r>
          </w:p>
        </w:tc>
        <w:tc>
          <w:tcPr>
            <w:tcW w:w="0" w:type="auto"/>
            <w:vAlign w:val="center"/>
          </w:tcPr>
          <w:p w:rsidR="00BF3325" w:rsidRPr="00BF3325" w:rsidRDefault="00BF3325" w:rsidP="00BF3325">
            <w:pPr>
              <w:spacing w:after="200"/>
              <w:jc w:val="center"/>
              <w:rPr>
                <w:rFonts w:cs="Arial"/>
                <w:sz w:val="20"/>
              </w:rPr>
            </w:pPr>
            <w:r w:rsidRPr="00BF3325">
              <w:rPr>
                <w:rFonts w:cs="Arial"/>
                <w:sz w:val="20"/>
              </w:rPr>
              <w:t>12,6 %</w:t>
            </w:r>
          </w:p>
        </w:tc>
      </w:tr>
    </w:tbl>
    <w:p w:rsidR="000951F9" w:rsidRDefault="00805809" w:rsidP="000951F9">
      <w:pPr>
        <w:pStyle w:val="Titulek"/>
        <w:keepNext/>
        <w:spacing w:before="120" w:after="240"/>
      </w:pPr>
      <w:bookmarkStart w:id="19" w:name="_Toc465675928"/>
      <w:r>
        <w:t>Graf</w:t>
      </w:r>
      <w:r w:rsidR="000951F9">
        <w:t xml:space="preserve"> </w:t>
      </w:r>
      <w:r w:rsidR="006C5B50">
        <w:fldChar w:fldCharType="begin"/>
      </w:r>
      <w:r w:rsidR="006C5B50">
        <w:instrText xml:space="preserve"> SEQ Graf_č.: \* ARABIC </w:instrText>
      </w:r>
      <w:r w:rsidR="006C5B50">
        <w:fldChar w:fldCharType="separate"/>
      </w:r>
      <w:r w:rsidR="005B254A">
        <w:rPr>
          <w:noProof/>
        </w:rPr>
        <w:t>9</w:t>
      </w:r>
      <w:r w:rsidR="006C5B50">
        <w:rPr>
          <w:noProof/>
        </w:rPr>
        <w:fldChar w:fldCharType="end"/>
      </w:r>
      <w:r>
        <w:t xml:space="preserve"> – Počet </w:t>
      </w:r>
      <w:r w:rsidR="002F443B">
        <w:t xml:space="preserve">a podíl </w:t>
      </w:r>
      <w:proofErr w:type="spellStart"/>
      <w:r w:rsidR="002F443B">
        <w:t>UoZ</w:t>
      </w:r>
      <w:proofErr w:type="spellEnd"/>
      <w:r w:rsidR="002F443B">
        <w:t xml:space="preserve"> vykonávajících</w:t>
      </w:r>
      <w:r>
        <w:t xml:space="preserve"> nekolidující zaměstnání (2006-</w:t>
      </w:r>
      <w:r w:rsidR="002F443B">
        <w:t>2014)</w:t>
      </w:r>
      <w:bookmarkEnd w:id="19"/>
    </w:p>
    <w:p w:rsidR="00650984" w:rsidRDefault="00650984" w:rsidP="005A56DD">
      <w:pPr>
        <w:spacing w:before="120" w:line="240" w:lineRule="auto"/>
        <w:rPr>
          <w:rFonts w:cs="Arial"/>
        </w:rPr>
      </w:pPr>
      <w:r w:rsidRPr="00C605D8">
        <w:rPr>
          <w:rFonts w:cs="Arial"/>
          <w:noProof/>
          <w:lang w:eastAsia="cs-CZ"/>
        </w:rPr>
        <w:drawing>
          <wp:inline distT="0" distB="0" distL="0" distR="0" wp14:anchorId="43B1F37A" wp14:editId="1CD659CD">
            <wp:extent cx="5762847" cy="2328530"/>
            <wp:effectExtent l="0" t="0" r="9525" b="1524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91EC0" w:rsidRDefault="00291EC0" w:rsidP="005A56DD">
      <w:pPr>
        <w:spacing w:before="120" w:line="240" w:lineRule="auto"/>
        <w:rPr>
          <w:rFonts w:cs="Arial"/>
        </w:rPr>
      </w:pPr>
    </w:p>
    <w:p w:rsidR="00BF3325" w:rsidRPr="00650984" w:rsidRDefault="00BF3325" w:rsidP="005A56DD">
      <w:pPr>
        <w:spacing w:before="120" w:line="240" w:lineRule="auto"/>
        <w:rPr>
          <w:rFonts w:cs="Arial"/>
        </w:rPr>
      </w:pPr>
      <w:r w:rsidRPr="00BF3325">
        <w:rPr>
          <w:rFonts w:cs="Arial"/>
        </w:rPr>
        <w:t xml:space="preserve">Tabulka níže ukazuje počet a podíl </w:t>
      </w:r>
      <w:proofErr w:type="spellStart"/>
      <w:r w:rsidRPr="00BF3325">
        <w:rPr>
          <w:rFonts w:cs="Arial"/>
        </w:rPr>
        <w:t>UoZ</w:t>
      </w:r>
      <w:proofErr w:type="spellEnd"/>
      <w:r w:rsidRPr="00BF3325">
        <w:rPr>
          <w:rFonts w:cs="Arial"/>
        </w:rPr>
        <w:t xml:space="preserve"> vykonávajících nekolidující zaměstnání k 30.</w:t>
      </w:r>
      <w:r>
        <w:rPr>
          <w:rFonts w:cs="Arial"/>
        </w:rPr>
        <w:t> </w:t>
      </w:r>
      <w:r w:rsidRPr="00BF3325">
        <w:rPr>
          <w:rFonts w:cs="Arial"/>
        </w:rPr>
        <w:t>9. 2016 a k 31. 12. 201</w:t>
      </w:r>
      <w:r w:rsidR="0080087C">
        <w:rPr>
          <w:rFonts w:cs="Arial"/>
        </w:rPr>
        <w:t>5</w:t>
      </w:r>
      <w:r>
        <w:rPr>
          <w:rFonts w:cs="Arial"/>
        </w:rPr>
        <w:t xml:space="preserve">, přičemž podíl v tomto období mírně klesl. Jedná se o údaje k uvedeným datům, nikoliv o počet </w:t>
      </w:r>
      <w:proofErr w:type="spellStart"/>
      <w:r>
        <w:rPr>
          <w:rFonts w:cs="Arial"/>
        </w:rPr>
        <w:t>UoZ</w:t>
      </w:r>
      <w:proofErr w:type="spellEnd"/>
      <w:r>
        <w:rPr>
          <w:rFonts w:cs="Arial"/>
        </w:rPr>
        <w:t xml:space="preserve">, </w:t>
      </w:r>
      <w:r w:rsidR="00291EC0">
        <w:rPr>
          <w:rFonts w:cs="Arial"/>
        </w:rPr>
        <w:t>kteří vykonávali</w:t>
      </w:r>
      <w:r>
        <w:rPr>
          <w:rFonts w:cs="Arial"/>
        </w:rPr>
        <w:t xml:space="preserve"> nekolidující zaměstnání alespoň 1 den v daném měsíci, neboť údaje ke konkrétnímu datu konce měsíce lépe vypovídají o zastoupení nekolidujících zaměstnání dlouhodobějšího charakteru, tedy těch, které mohou vytvářet bariéru v přijetí standardního zaměstnání. </w:t>
      </w:r>
      <w:r w:rsidRPr="00650984">
        <w:rPr>
          <w:rFonts w:cs="Arial"/>
          <w:b/>
        </w:rPr>
        <w:t>K 30. 9. vykonávalo nekolidující zaměstnání 11</w:t>
      </w:r>
      <w:r w:rsidR="00650984" w:rsidRPr="00650984">
        <w:rPr>
          <w:rFonts w:cs="Arial"/>
          <w:b/>
        </w:rPr>
        <w:t>,84</w:t>
      </w:r>
      <w:r w:rsidRPr="00650984">
        <w:rPr>
          <w:rFonts w:cs="Arial"/>
          <w:b/>
        </w:rPr>
        <w:t xml:space="preserve"> % </w:t>
      </w:r>
      <w:proofErr w:type="spellStart"/>
      <w:r w:rsidRPr="00650984">
        <w:rPr>
          <w:rFonts w:cs="Arial"/>
          <w:b/>
        </w:rPr>
        <w:t>UoZ</w:t>
      </w:r>
      <w:proofErr w:type="spellEnd"/>
      <w:r w:rsidR="00650984">
        <w:rPr>
          <w:rFonts w:cs="Arial"/>
        </w:rPr>
        <w:t>, nejrozšířenější byla tato činnost v Moravskoslezském a Zlínském kraji a na Vysočině, naopak nejméně v Praze a Středočeském kraji.</w:t>
      </w:r>
    </w:p>
    <w:p w:rsidR="000951F9" w:rsidRDefault="000951F9" w:rsidP="000951F9">
      <w:pPr>
        <w:pStyle w:val="Titulek"/>
        <w:keepNext/>
        <w:spacing w:before="120" w:after="120"/>
      </w:pPr>
      <w:bookmarkStart w:id="20" w:name="_Toc465674537"/>
      <w:r>
        <w:t xml:space="preserve">Tabulka </w:t>
      </w:r>
      <w:r w:rsidR="006C5B50">
        <w:fldChar w:fldCharType="begin"/>
      </w:r>
      <w:r w:rsidR="006C5B50">
        <w:instrText xml:space="preserve"> SEQ Tabulka \* ARABIC </w:instrText>
      </w:r>
      <w:r w:rsidR="006C5B50">
        <w:fldChar w:fldCharType="separate"/>
      </w:r>
      <w:r w:rsidR="005B254A">
        <w:rPr>
          <w:noProof/>
        </w:rPr>
        <w:t>7</w:t>
      </w:r>
      <w:r w:rsidR="006C5B50">
        <w:rPr>
          <w:noProof/>
        </w:rPr>
        <w:fldChar w:fldCharType="end"/>
      </w:r>
      <w:r w:rsidR="002F443B">
        <w:t xml:space="preserve">: Počet a podíl </w:t>
      </w:r>
      <w:proofErr w:type="spellStart"/>
      <w:r w:rsidR="002F443B">
        <w:t>UoZ</w:t>
      </w:r>
      <w:proofErr w:type="spellEnd"/>
      <w:r w:rsidR="002F443B">
        <w:t xml:space="preserve"> vykonávajících nekolidující zaměstnání k 30. 9. 2016 a 31. 12. 2015</w:t>
      </w:r>
      <w:bookmarkEnd w:id="20"/>
      <w:r w:rsidR="002F443B">
        <w:t xml:space="preserve"> </w:t>
      </w:r>
    </w:p>
    <w:tbl>
      <w:tblPr>
        <w:tblStyle w:val="Mkatabulky"/>
        <w:tblW w:w="0" w:type="auto"/>
        <w:tblLook w:val="04A0" w:firstRow="1" w:lastRow="0" w:firstColumn="1" w:lastColumn="0" w:noHBand="0" w:noVBand="1"/>
      </w:tblPr>
      <w:tblGrid>
        <w:gridCol w:w="1313"/>
        <w:gridCol w:w="1560"/>
        <w:gridCol w:w="1497"/>
        <w:gridCol w:w="1580"/>
        <w:gridCol w:w="1497"/>
        <w:gridCol w:w="1580"/>
      </w:tblGrid>
      <w:tr w:rsidR="00BF3325" w:rsidRPr="00BF3325" w:rsidTr="007142C3">
        <w:trPr>
          <w:trHeight w:val="38"/>
        </w:trPr>
        <w:tc>
          <w:tcPr>
            <w:tcW w:w="1313" w:type="dxa"/>
            <w:vMerge w:val="restart"/>
            <w:vAlign w:val="center"/>
            <w:hideMark/>
          </w:tcPr>
          <w:p w:rsidR="00BF3325" w:rsidRPr="00BF3325" w:rsidRDefault="00BF3325" w:rsidP="00BF3325">
            <w:pPr>
              <w:spacing w:before="120"/>
              <w:jc w:val="center"/>
              <w:rPr>
                <w:rFonts w:cs="Arial"/>
                <w:b/>
                <w:sz w:val="20"/>
                <w:szCs w:val="20"/>
              </w:rPr>
            </w:pPr>
            <w:r w:rsidRPr="00BF3325">
              <w:rPr>
                <w:rFonts w:cs="Arial"/>
                <w:b/>
                <w:sz w:val="20"/>
                <w:szCs w:val="20"/>
              </w:rPr>
              <w:t>Kraje</w:t>
            </w:r>
          </w:p>
        </w:tc>
        <w:tc>
          <w:tcPr>
            <w:tcW w:w="1560" w:type="dxa"/>
            <w:vMerge w:val="restart"/>
            <w:vAlign w:val="center"/>
            <w:hideMark/>
          </w:tcPr>
          <w:p w:rsidR="00BF3325" w:rsidRPr="00BF3325" w:rsidRDefault="00BF3325" w:rsidP="00BF3325">
            <w:pPr>
              <w:spacing w:before="120"/>
              <w:jc w:val="center"/>
              <w:rPr>
                <w:rFonts w:cs="Arial"/>
                <w:b/>
                <w:sz w:val="20"/>
                <w:szCs w:val="20"/>
              </w:rPr>
            </w:pPr>
            <w:proofErr w:type="spellStart"/>
            <w:r w:rsidRPr="00BF3325">
              <w:rPr>
                <w:rFonts w:cs="Arial"/>
                <w:b/>
                <w:sz w:val="20"/>
                <w:szCs w:val="20"/>
              </w:rPr>
              <w:t>UoZ</w:t>
            </w:r>
            <w:proofErr w:type="spellEnd"/>
            <w:r w:rsidRPr="00BF3325">
              <w:rPr>
                <w:rFonts w:cs="Arial"/>
                <w:b/>
                <w:sz w:val="20"/>
                <w:szCs w:val="20"/>
              </w:rPr>
              <w:t xml:space="preserve"> k 30. 9. 2016</w:t>
            </w:r>
          </w:p>
        </w:tc>
        <w:tc>
          <w:tcPr>
            <w:tcW w:w="6153" w:type="dxa"/>
            <w:gridSpan w:val="4"/>
            <w:vAlign w:val="center"/>
            <w:hideMark/>
          </w:tcPr>
          <w:p w:rsidR="00BF3325" w:rsidRPr="00BF3325" w:rsidRDefault="00BF3325" w:rsidP="00BF3325">
            <w:pPr>
              <w:spacing w:before="120"/>
              <w:jc w:val="center"/>
              <w:rPr>
                <w:rFonts w:cs="Arial"/>
                <w:b/>
                <w:sz w:val="20"/>
                <w:szCs w:val="20"/>
              </w:rPr>
            </w:pPr>
            <w:r w:rsidRPr="00BF3325">
              <w:rPr>
                <w:rFonts w:cs="Arial"/>
                <w:b/>
                <w:sz w:val="20"/>
                <w:szCs w:val="20"/>
              </w:rPr>
              <w:t>nekolidující zaměstnání</w:t>
            </w:r>
          </w:p>
        </w:tc>
      </w:tr>
      <w:tr w:rsidR="00BF3325" w:rsidRPr="00BF3325" w:rsidTr="007142C3">
        <w:trPr>
          <w:trHeight w:val="38"/>
        </w:trPr>
        <w:tc>
          <w:tcPr>
            <w:tcW w:w="1313" w:type="dxa"/>
            <w:vMerge/>
            <w:vAlign w:val="center"/>
            <w:hideMark/>
          </w:tcPr>
          <w:p w:rsidR="00BF3325" w:rsidRPr="00BF3325" w:rsidRDefault="00BF3325" w:rsidP="00BF3325">
            <w:pPr>
              <w:spacing w:before="120"/>
              <w:jc w:val="center"/>
              <w:rPr>
                <w:rFonts w:cs="Arial"/>
                <w:sz w:val="20"/>
                <w:szCs w:val="20"/>
              </w:rPr>
            </w:pPr>
          </w:p>
        </w:tc>
        <w:tc>
          <w:tcPr>
            <w:tcW w:w="1560" w:type="dxa"/>
            <w:vMerge/>
            <w:vAlign w:val="center"/>
            <w:hideMark/>
          </w:tcPr>
          <w:p w:rsidR="00BF3325" w:rsidRPr="00BF3325" w:rsidRDefault="00BF3325" w:rsidP="00BF3325">
            <w:pPr>
              <w:spacing w:before="120"/>
              <w:jc w:val="center"/>
              <w:rPr>
                <w:rFonts w:cs="Arial"/>
                <w:sz w:val="20"/>
                <w:szCs w:val="20"/>
              </w:rPr>
            </w:pPr>
          </w:p>
        </w:tc>
        <w:tc>
          <w:tcPr>
            <w:tcW w:w="3077" w:type="dxa"/>
            <w:gridSpan w:val="2"/>
            <w:noWrap/>
            <w:vAlign w:val="center"/>
            <w:hideMark/>
          </w:tcPr>
          <w:p w:rsidR="00BF3325" w:rsidRPr="00BF3325" w:rsidRDefault="00BF3325" w:rsidP="00BF3325">
            <w:pPr>
              <w:spacing w:before="120"/>
              <w:jc w:val="center"/>
              <w:rPr>
                <w:rFonts w:cs="Arial"/>
                <w:b/>
                <w:sz w:val="20"/>
                <w:szCs w:val="20"/>
              </w:rPr>
            </w:pPr>
            <w:r w:rsidRPr="00BF3325">
              <w:rPr>
                <w:rFonts w:cs="Arial"/>
                <w:b/>
                <w:sz w:val="20"/>
                <w:szCs w:val="20"/>
              </w:rPr>
              <w:t>k 30. 9. 2016</w:t>
            </w:r>
          </w:p>
        </w:tc>
        <w:tc>
          <w:tcPr>
            <w:tcW w:w="3077" w:type="dxa"/>
            <w:gridSpan w:val="2"/>
            <w:noWrap/>
            <w:vAlign w:val="center"/>
            <w:hideMark/>
          </w:tcPr>
          <w:p w:rsidR="00BF3325" w:rsidRPr="00BF3325" w:rsidRDefault="00BF3325" w:rsidP="00BF3325">
            <w:pPr>
              <w:spacing w:before="120"/>
              <w:jc w:val="center"/>
              <w:rPr>
                <w:rFonts w:cs="Arial"/>
                <w:b/>
                <w:sz w:val="20"/>
                <w:szCs w:val="20"/>
              </w:rPr>
            </w:pPr>
            <w:r w:rsidRPr="00BF3325">
              <w:rPr>
                <w:rFonts w:cs="Arial"/>
                <w:b/>
                <w:sz w:val="20"/>
                <w:szCs w:val="20"/>
              </w:rPr>
              <w:t>k 31. 12. 2015</w:t>
            </w:r>
          </w:p>
        </w:tc>
      </w:tr>
      <w:tr w:rsidR="00BF3325" w:rsidRPr="00BF3325" w:rsidTr="007142C3">
        <w:trPr>
          <w:trHeight w:val="38"/>
        </w:trPr>
        <w:tc>
          <w:tcPr>
            <w:tcW w:w="1313" w:type="dxa"/>
            <w:vMerge/>
            <w:hideMark/>
          </w:tcPr>
          <w:p w:rsidR="00BF3325" w:rsidRPr="00BF3325" w:rsidRDefault="00BF3325" w:rsidP="00BF3325">
            <w:pPr>
              <w:spacing w:before="120"/>
              <w:rPr>
                <w:rFonts w:cs="Arial"/>
                <w:sz w:val="20"/>
                <w:szCs w:val="20"/>
              </w:rPr>
            </w:pPr>
          </w:p>
        </w:tc>
        <w:tc>
          <w:tcPr>
            <w:tcW w:w="1560" w:type="dxa"/>
            <w:vMerge/>
            <w:hideMark/>
          </w:tcPr>
          <w:p w:rsidR="00BF3325" w:rsidRPr="00BF3325" w:rsidRDefault="00BF3325" w:rsidP="00BF3325">
            <w:pPr>
              <w:spacing w:before="120"/>
              <w:rPr>
                <w:rFonts w:cs="Arial"/>
                <w:sz w:val="20"/>
                <w:szCs w:val="20"/>
              </w:rPr>
            </w:pPr>
          </w:p>
        </w:tc>
        <w:tc>
          <w:tcPr>
            <w:tcW w:w="1497" w:type="dxa"/>
            <w:noWrap/>
            <w:hideMark/>
          </w:tcPr>
          <w:p w:rsidR="00BF3325" w:rsidRPr="00BF3325" w:rsidRDefault="00BF3325" w:rsidP="00BF3325">
            <w:pPr>
              <w:spacing w:before="120"/>
              <w:rPr>
                <w:rFonts w:cs="Arial"/>
                <w:b/>
                <w:sz w:val="20"/>
                <w:szCs w:val="20"/>
              </w:rPr>
            </w:pPr>
            <w:r w:rsidRPr="00BF3325">
              <w:rPr>
                <w:rFonts w:cs="Arial"/>
                <w:b/>
                <w:sz w:val="20"/>
                <w:szCs w:val="20"/>
              </w:rPr>
              <w:t>celkem</w:t>
            </w:r>
          </w:p>
        </w:tc>
        <w:tc>
          <w:tcPr>
            <w:tcW w:w="1580" w:type="dxa"/>
            <w:noWrap/>
            <w:hideMark/>
          </w:tcPr>
          <w:p w:rsidR="00BF3325" w:rsidRPr="00BF3325" w:rsidRDefault="00BF3325" w:rsidP="00BF3325">
            <w:pPr>
              <w:spacing w:before="120"/>
              <w:rPr>
                <w:rFonts w:cs="Arial"/>
                <w:b/>
                <w:sz w:val="20"/>
                <w:szCs w:val="20"/>
              </w:rPr>
            </w:pPr>
            <w:r w:rsidRPr="00BF3325">
              <w:rPr>
                <w:rFonts w:cs="Arial"/>
                <w:b/>
                <w:sz w:val="20"/>
                <w:szCs w:val="20"/>
              </w:rPr>
              <w:t xml:space="preserve">podíl </w:t>
            </w:r>
          </w:p>
        </w:tc>
        <w:tc>
          <w:tcPr>
            <w:tcW w:w="1497" w:type="dxa"/>
            <w:noWrap/>
            <w:hideMark/>
          </w:tcPr>
          <w:p w:rsidR="00BF3325" w:rsidRPr="00BF3325" w:rsidRDefault="00BF3325" w:rsidP="00BF3325">
            <w:pPr>
              <w:spacing w:before="120"/>
              <w:rPr>
                <w:rFonts w:cs="Arial"/>
                <w:b/>
                <w:sz w:val="20"/>
                <w:szCs w:val="20"/>
              </w:rPr>
            </w:pPr>
            <w:r w:rsidRPr="00BF3325">
              <w:rPr>
                <w:rFonts w:cs="Arial"/>
                <w:b/>
                <w:sz w:val="20"/>
                <w:szCs w:val="20"/>
              </w:rPr>
              <w:t>celkem</w:t>
            </w:r>
          </w:p>
        </w:tc>
        <w:tc>
          <w:tcPr>
            <w:tcW w:w="1580" w:type="dxa"/>
            <w:noWrap/>
            <w:hideMark/>
          </w:tcPr>
          <w:p w:rsidR="00BF3325" w:rsidRPr="00BF3325" w:rsidRDefault="00BF3325" w:rsidP="00BF3325">
            <w:pPr>
              <w:spacing w:before="120"/>
              <w:rPr>
                <w:rFonts w:cs="Arial"/>
                <w:b/>
                <w:sz w:val="20"/>
                <w:szCs w:val="20"/>
              </w:rPr>
            </w:pPr>
            <w:r w:rsidRPr="00BF3325">
              <w:rPr>
                <w:rFonts w:cs="Arial"/>
                <w:b/>
                <w:sz w:val="20"/>
                <w:szCs w:val="20"/>
              </w:rPr>
              <w:t>podíl</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Praha</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33</w:t>
            </w:r>
            <w:r>
              <w:rPr>
                <w:rFonts w:cs="Arial"/>
                <w:sz w:val="20"/>
                <w:szCs w:val="20"/>
              </w:rPr>
              <w:t xml:space="preserve"> </w:t>
            </w:r>
            <w:r w:rsidRPr="00BF3325">
              <w:rPr>
                <w:rFonts w:cs="Arial"/>
                <w:sz w:val="20"/>
                <w:szCs w:val="20"/>
              </w:rPr>
              <w:t>069</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2</w:t>
            </w:r>
            <w:r>
              <w:rPr>
                <w:rFonts w:cs="Arial"/>
                <w:sz w:val="20"/>
                <w:szCs w:val="20"/>
              </w:rPr>
              <w:t xml:space="preserve"> </w:t>
            </w:r>
            <w:r w:rsidRPr="00BF3325">
              <w:rPr>
                <w:rFonts w:cs="Arial"/>
                <w:sz w:val="20"/>
                <w:szCs w:val="20"/>
              </w:rPr>
              <w:t>578</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7,80%</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3 006</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8,08%</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SČK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39</w:t>
            </w:r>
            <w:r>
              <w:rPr>
                <w:rFonts w:cs="Arial"/>
                <w:sz w:val="20"/>
                <w:szCs w:val="20"/>
              </w:rPr>
              <w:t xml:space="preserve"> </w:t>
            </w:r>
            <w:r w:rsidRPr="00BF3325">
              <w:rPr>
                <w:rFonts w:cs="Arial"/>
                <w:sz w:val="20"/>
                <w:szCs w:val="20"/>
              </w:rPr>
              <w:t>811</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3</w:t>
            </w:r>
            <w:r>
              <w:rPr>
                <w:rFonts w:cs="Arial"/>
                <w:sz w:val="20"/>
                <w:szCs w:val="20"/>
              </w:rPr>
              <w:t xml:space="preserve"> </w:t>
            </w:r>
            <w:r w:rsidRPr="00BF3325">
              <w:rPr>
                <w:rFonts w:cs="Arial"/>
                <w:sz w:val="20"/>
                <w:szCs w:val="20"/>
              </w:rPr>
              <w:t>978</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9,99%</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4 814</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10,01%</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JČK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17</w:t>
            </w:r>
            <w:r>
              <w:rPr>
                <w:rFonts w:cs="Arial"/>
                <w:sz w:val="20"/>
                <w:szCs w:val="20"/>
              </w:rPr>
              <w:t xml:space="preserve"> </w:t>
            </w:r>
            <w:r w:rsidRPr="00BF3325">
              <w:rPr>
                <w:rFonts w:cs="Arial"/>
                <w:sz w:val="20"/>
                <w:szCs w:val="20"/>
              </w:rPr>
              <w:t>265</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1</w:t>
            </w:r>
            <w:r>
              <w:rPr>
                <w:rFonts w:cs="Arial"/>
                <w:sz w:val="20"/>
                <w:szCs w:val="20"/>
              </w:rPr>
              <w:t xml:space="preserve"> </w:t>
            </w:r>
            <w:r w:rsidRPr="00BF3325">
              <w:rPr>
                <w:rFonts w:cs="Arial"/>
                <w:sz w:val="20"/>
                <w:szCs w:val="20"/>
              </w:rPr>
              <w:t>960</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11,35%</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2 212</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9,80%</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PLK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14</w:t>
            </w:r>
            <w:r>
              <w:rPr>
                <w:rFonts w:cs="Arial"/>
                <w:sz w:val="20"/>
                <w:szCs w:val="20"/>
              </w:rPr>
              <w:t xml:space="preserve"> </w:t>
            </w:r>
            <w:r w:rsidRPr="00BF3325">
              <w:rPr>
                <w:rFonts w:cs="Arial"/>
                <w:sz w:val="20"/>
                <w:szCs w:val="20"/>
              </w:rPr>
              <w:t>723</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1</w:t>
            </w:r>
            <w:r>
              <w:rPr>
                <w:rFonts w:cs="Arial"/>
                <w:sz w:val="20"/>
                <w:szCs w:val="20"/>
              </w:rPr>
              <w:t xml:space="preserve"> </w:t>
            </w:r>
            <w:r w:rsidRPr="00BF3325">
              <w:rPr>
                <w:rFonts w:cs="Arial"/>
                <w:sz w:val="20"/>
                <w:szCs w:val="20"/>
              </w:rPr>
              <w:t>343</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9,12%</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1 674</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9,01%</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KVK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11</w:t>
            </w:r>
            <w:r>
              <w:rPr>
                <w:rFonts w:cs="Arial"/>
                <w:sz w:val="20"/>
                <w:szCs w:val="20"/>
              </w:rPr>
              <w:t xml:space="preserve"> </w:t>
            </w:r>
            <w:r w:rsidRPr="00BF3325">
              <w:rPr>
                <w:rFonts w:cs="Arial"/>
                <w:sz w:val="20"/>
                <w:szCs w:val="20"/>
              </w:rPr>
              <w:t>783</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1</w:t>
            </w:r>
            <w:r>
              <w:rPr>
                <w:rFonts w:cs="Arial"/>
                <w:sz w:val="20"/>
                <w:szCs w:val="20"/>
              </w:rPr>
              <w:t xml:space="preserve"> </w:t>
            </w:r>
            <w:r w:rsidRPr="00BF3325">
              <w:rPr>
                <w:rFonts w:cs="Arial"/>
                <w:sz w:val="20"/>
                <w:szCs w:val="20"/>
              </w:rPr>
              <w:t>178</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10,00%</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1 536</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10,31%</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ULK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46</w:t>
            </w:r>
            <w:r>
              <w:rPr>
                <w:rFonts w:cs="Arial"/>
                <w:sz w:val="20"/>
                <w:szCs w:val="20"/>
              </w:rPr>
              <w:t xml:space="preserve"> </w:t>
            </w:r>
            <w:r w:rsidRPr="00BF3325">
              <w:rPr>
                <w:rFonts w:cs="Arial"/>
                <w:sz w:val="20"/>
                <w:szCs w:val="20"/>
              </w:rPr>
              <w:t>086</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5</w:t>
            </w:r>
            <w:r>
              <w:rPr>
                <w:rFonts w:cs="Arial"/>
                <w:sz w:val="20"/>
                <w:szCs w:val="20"/>
              </w:rPr>
              <w:t xml:space="preserve"> </w:t>
            </w:r>
            <w:r w:rsidRPr="00BF3325">
              <w:rPr>
                <w:rFonts w:cs="Arial"/>
                <w:sz w:val="20"/>
                <w:szCs w:val="20"/>
              </w:rPr>
              <w:t>254</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11,40%</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5 419</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10,67%</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LBK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16</w:t>
            </w:r>
            <w:r>
              <w:rPr>
                <w:rFonts w:cs="Arial"/>
                <w:sz w:val="20"/>
                <w:szCs w:val="20"/>
              </w:rPr>
              <w:t xml:space="preserve"> </w:t>
            </w:r>
            <w:r w:rsidRPr="00BF3325">
              <w:rPr>
                <w:rFonts w:cs="Arial"/>
                <w:sz w:val="20"/>
                <w:szCs w:val="20"/>
              </w:rPr>
              <w:t>225</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1</w:t>
            </w:r>
            <w:r>
              <w:rPr>
                <w:rFonts w:cs="Arial"/>
                <w:sz w:val="20"/>
                <w:szCs w:val="20"/>
              </w:rPr>
              <w:t xml:space="preserve"> </w:t>
            </w:r>
            <w:r w:rsidRPr="00BF3325">
              <w:rPr>
                <w:rFonts w:cs="Arial"/>
                <w:sz w:val="20"/>
                <w:szCs w:val="20"/>
              </w:rPr>
              <w:t>769</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10,90%</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2 153</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11,04%</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KHK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14</w:t>
            </w:r>
            <w:r>
              <w:rPr>
                <w:rFonts w:cs="Arial"/>
                <w:sz w:val="20"/>
                <w:szCs w:val="20"/>
              </w:rPr>
              <w:t xml:space="preserve"> </w:t>
            </w:r>
            <w:r w:rsidRPr="00BF3325">
              <w:rPr>
                <w:rFonts w:cs="Arial"/>
                <w:sz w:val="20"/>
                <w:szCs w:val="20"/>
              </w:rPr>
              <w:t>079</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1</w:t>
            </w:r>
            <w:r>
              <w:rPr>
                <w:rFonts w:cs="Arial"/>
                <w:sz w:val="20"/>
                <w:szCs w:val="20"/>
              </w:rPr>
              <w:t xml:space="preserve"> </w:t>
            </w:r>
            <w:r w:rsidRPr="00BF3325">
              <w:rPr>
                <w:rFonts w:cs="Arial"/>
                <w:sz w:val="20"/>
                <w:szCs w:val="20"/>
              </w:rPr>
              <w:t>765</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12,54%</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2 383</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12,83%</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PBK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13</w:t>
            </w:r>
            <w:r>
              <w:rPr>
                <w:rFonts w:cs="Arial"/>
                <w:sz w:val="20"/>
                <w:szCs w:val="20"/>
              </w:rPr>
              <w:t xml:space="preserve"> </w:t>
            </w:r>
            <w:r w:rsidRPr="00BF3325">
              <w:rPr>
                <w:rFonts w:cs="Arial"/>
                <w:sz w:val="20"/>
                <w:szCs w:val="20"/>
              </w:rPr>
              <w:t>434</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1</w:t>
            </w:r>
            <w:r>
              <w:rPr>
                <w:rFonts w:cs="Arial"/>
                <w:sz w:val="20"/>
                <w:szCs w:val="20"/>
              </w:rPr>
              <w:t xml:space="preserve"> </w:t>
            </w:r>
            <w:r w:rsidRPr="00BF3325">
              <w:rPr>
                <w:rFonts w:cs="Arial"/>
                <w:sz w:val="20"/>
                <w:szCs w:val="20"/>
              </w:rPr>
              <w:t>534</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11,42%</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2 024</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11,20%</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VYS</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16</w:t>
            </w:r>
            <w:r>
              <w:rPr>
                <w:rFonts w:cs="Arial"/>
                <w:sz w:val="20"/>
                <w:szCs w:val="20"/>
              </w:rPr>
              <w:t xml:space="preserve"> </w:t>
            </w:r>
            <w:r w:rsidRPr="00BF3325">
              <w:rPr>
                <w:rFonts w:cs="Arial"/>
                <w:sz w:val="20"/>
                <w:szCs w:val="20"/>
              </w:rPr>
              <w:t>358</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2</w:t>
            </w:r>
            <w:r>
              <w:rPr>
                <w:rFonts w:cs="Arial"/>
                <w:sz w:val="20"/>
                <w:szCs w:val="20"/>
              </w:rPr>
              <w:t xml:space="preserve"> </w:t>
            </w:r>
            <w:r w:rsidRPr="00BF3325">
              <w:rPr>
                <w:rFonts w:cs="Arial"/>
                <w:sz w:val="20"/>
                <w:szCs w:val="20"/>
              </w:rPr>
              <w:t>276</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13,91%</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2 663</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12,52%</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JMK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47</w:t>
            </w:r>
            <w:r>
              <w:rPr>
                <w:rFonts w:cs="Arial"/>
                <w:sz w:val="20"/>
                <w:szCs w:val="20"/>
              </w:rPr>
              <w:t xml:space="preserve"> </w:t>
            </w:r>
            <w:r w:rsidRPr="00BF3325">
              <w:rPr>
                <w:rFonts w:cs="Arial"/>
                <w:sz w:val="20"/>
                <w:szCs w:val="20"/>
              </w:rPr>
              <w:t>249</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5</w:t>
            </w:r>
            <w:r>
              <w:rPr>
                <w:rFonts w:cs="Arial"/>
                <w:sz w:val="20"/>
                <w:szCs w:val="20"/>
              </w:rPr>
              <w:t xml:space="preserve"> </w:t>
            </w:r>
            <w:r w:rsidRPr="00BF3325">
              <w:rPr>
                <w:rFonts w:cs="Arial"/>
                <w:sz w:val="20"/>
                <w:szCs w:val="20"/>
              </w:rPr>
              <w:t>605</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11,86%</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6 510</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11,62%</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OLK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24</w:t>
            </w:r>
            <w:r>
              <w:rPr>
                <w:rFonts w:cs="Arial"/>
                <w:sz w:val="20"/>
                <w:szCs w:val="20"/>
              </w:rPr>
              <w:t xml:space="preserve"> </w:t>
            </w:r>
            <w:r w:rsidRPr="00BF3325">
              <w:rPr>
                <w:rFonts w:cs="Arial"/>
                <w:sz w:val="20"/>
                <w:szCs w:val="20"/>
              </w:rPr>
              <w:t>974</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3</w:t>
            </w:r>
            <w:r>
              <w:rPr>
                <w:rFonts w:cs="Arial"/>
                <w:sz w:val="20"/>
                <w:szCs w:val="20"/>
              </w:rPr>
              <w:t xml:space="preserve"> </w:t>
            </w:r>
            <w:r w:rsidRPr="00BF3325">
              <w:rPr>
                <w:rFonts w:cs="Arial"/>
                <w:sz w:val="20"/>
                <w:szCs w:val="20"/>
              </w:rPr>
              <w:t>446</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13,80%</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3 846</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12,38%</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ZLK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18</w:t>
            </w:r>
            <w:r>
              <w:rPr>
                <w:rFonts w:cs="Arial"/>
                <w:sz w:val="20"/>
                <w:szCs w:val="20"/>
              </w:rPr>
              <w:t xml:space="preserve"> </w:t>
            </w:r>
            <w:r w:rsidRPr="00BF3325">
              <w:rPr>
                <w:rFonts w:cs="Arial"/>
                <w:sz w:val="20"/>
                <w:szCs w:val="20"/>
              </w:rPr>
              <w:t>905</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2</w:t>
            </w:r>
            <w:r>
              <w:rPr>
                <w:rFonts w:cs="Arial"/>
                <w:sz w:val="20"/>
                <w:szCs w:val="20"/>
              </w:rPr>
              <w:t xml:space="preserve"> </w:t>
            </w:r>
            <w:r w:rsidRPr="00BF3325">
              <w:rPr>
                <w:rFonts w:cs="Arial"/>
                <w:sz w:val="20"/>
                <w:szCs w:val="20"/>
              </w:rPr>
              <w:t>692</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14,24%</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3 307</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13,85%</w:t>
            </w:r>
          </w:p>
        </w:tc>
      </w:tr>
      <w:tr w:rsidR="00BF3325" w:rsidRPr="00BF3325" w:rsidTr="007142C3">
        <w:trPr>
          <w:trHeight w:val="38"/>
        </w:trPr>
        <w:tc>
          <w:tcPr>
            <w:tcW w:w="1313" w:type="dxa"/>
            <w:noWrap/>
            <w:hideMark/>
          </w:tcPr>
          <w:p w:rsidR="00BF3325" w:rsidRPr="00BF3325" w:rsidRDefault="00BF3325" w:rsidP="00BF3325">
            <w:pPr>
              <w:spacing w:before="120"/>
              <w:rPr>
                <w:rFonts w:cs="Arial"/>
                <w:sz w:val="20"/>
                <w:szCs w:val="20"/>
              </w:rPr>
            </w:pPr>
            <w:r w:rsidRPr="00BF3325">
              <w:rPr>
                <w:rFonts w:cs="Arial"/>
                <w:sz w:val="20"/>
                <w:szCs w:val="20"/>
              </w:rPr>
              <w:t>MSK</w:t>
            </w:r>
          </w:p>
        </w:tc>
        <w:tc>
          <w:tcPr>
            <w:tcW w:w="1560" w:type="dxa"/>
            <w:noWrap/>
            <w:hideMark/>
          </w:tcPr>
          <w:p w:rsidR="00BF3325" w:rsidRPr="00BF3325" w:rsidRDefault="00BF3325" w:rsidP="00BF3325">
            <w:pPr>
              <w:spacing w:before="120"/>
              <w:rPr>
                <w:rFonts w:cs="Arial"/>
                <w:sz w:val="20"/>
                <w:szCs w:val="20"/>
              </w:rPr>
            </w:pPr>
            <w:r w:rsidRPr="00BF3325">
              <w:rPr>
                <w:rFonts w:cs="Arial"/>
                <w:sz w:val="20"/>
                <w:szCs w:val="20"/>
              </w:rPr>
              <w:t>64</w:t>
            </w:r>
            <w:r>
              <w:rPr>
                <w:rFonts w:cs="Arial"/>
                <w:sz w:val="20"/>
                <w:szCs w:val="20"/>
              </w:rPr>
              <w:t xml:space="preserve"> </w:t>
            </w:r>
            <w:r w:rsidRPr="00BF3325">
              <w:rPr>
                <w:rFonts w:cs="Arial"/>
                <w:sz w:val="20"/>
                <w:szCs w:val="20"/>
              </w:rPr>
              <w:t>297</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9</w:t>
            </w:r>
            <w:r>
              <w:rPr>
                <w:rFonts w:cs="Arial"/>
                <w:sz w:val="20"/>
                <w:szCs w:val="20"/>
              </w:rPr>
              <w:t xml:space="preserve"> </w:t>
            </w:r>
            <w:r w:rsidRPr="00BF3325">
              <w:rPr>
                <w:rFonts w:cs="Arial"/>
                <w:sz w:val="20"/>
                <w:szCs w:val="20"/>
              </w:rPr>
              <w:t>406</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14,63%</w:t>
            </w:r>
          </w:p>
        </w:tc>
        <w:tc>
          <w:tcPr>
            <w:tcW w:w="1497" w:type="dxa"/>
            <w:noWrap/>
            <w:hideMark/>
          </w:tcPr>
          <w:p w:rsidR="00BF3325" w:rsidRPr="00BF3325" w:rsidRDefault="00BF3325" w:rsidP="00BF3325">
            <w:pPr>
              <w:spacing w:before="120"/>
              <w:rPr>
                <w:rFonts w:cs="Arial"/>
                <w:sz w:val="20"/>
                <w:szCs w:val="20"/>
              </w:rPr>
            </w:pPr>
            <w:r w:rsidRPr="00BF3325">
              <w:rPr>
                <w:rFonts w:cs="Arial"/>
                <w:sz w:val="20"/>
                <w:szCs w:val="20"/>
              </w:rPr>
              <w:t>10 540</w:t>
            </w:r>
          </w:p>
        </w:tc>
        <w:tc>
          <w:tcPr>
            <w:tcW w:w="1580" w:type="dxa"/>
            <w:noWrap/>
            <w:hideMark/>
          </w:tcPr>
          <w:p w:rsidR="00BF3325" w:rsidRPr="00BF3325" w:rsidRDefault="00BF3325" w:rsidP="00BF3325">
            <w:pPr>
              <w:spacing w:before="120"/>
              <w:rPr>
                <w:rFonts w:cs="Arial"/>
                <w:sz w:val="20"/>
                <w:szCs w:val="20"/>
              </w:rPr>
            </w:pPr>
            <w:r w:rsidRPr="00BF3325">
              <w:rPr>
                <w:rFonts w:cs="Arial"/>
                <w:sz w:val="20"/>
                <w:szCs w:val="20"/>
              </w:rPr>
              <w:t>14,52%</w:t>
            </w:r>
          </w:p>
        </w:tc>
      </w:tr>
      <w:tr w:rsidR="00BF3325" w:rsidRPr="00BF3325" w:rsidTr="007142C3">
        <w:trPr>
          <w:trHeight w:val="38"/>
        </w:trPr>
        <w:tc>
          <w:tcPr>
            <w:tcW w:w="1313" w:type="dxa"/>
            <w:noWrap/>
            <w:hideMark/>
          </w:tcPr>
          <w:p w:rsidR="00BF3325" w:rsidRPr="00BF3325" w:rsidRDefault="00BF3325" w:rsidP="00BF3325">
            <w:pPr>
              <w:spacing w:before="120"/>
              <w:rPr>
                <w:rFonts w:cs="Arial"/>
                <w:b/>
                <w:sz w:val="20"/>
                <w:szCs w:val="20"/>
              </w:rPr>
            </w:pPr>
            <w:r w:rsidRPr="00BF3325">
              <w:rPr>
                <w:rFonts w:cs="Arial"/>
                <w:b/>
                <w:sz w:val="20"/>
                <w:szCs w:val="20"/>
              </w:rPr>
              <w:t>ČR</w:t>
            </w:r>
          </w:p>
        </w:tc>
        <w:tc>
          <w:tcPr>
            <w:tcW w:w="1560" w:type="dxa"/>
            <w:noWrap/>
            <w:hideMark/>
          </w:tcPr>
          <w:p w:rsidR="00BF3325" w:rsidRPr="00BF3325" w:rsidRDefault="00BF3325" w:rsidP="00BF3325">
            <w:pPr>
              <w:spacing w:before="120"/>
              <w:rPr>
                <w:rFonts w:cs="Arial"/>
                <w:b/>
                <w:sz w:val="20"/>
                <w:szCs w:val="20"/>
              </w:rPr>
            </w:pPr>
            <w:r w:rsidRPr="00BF3325">
              <w:rPr>
                <w:rFonts w:cs="Arial"/>
                <w:b/>
                <w:sz w:val="20"/>
                <w:szCs w:val="20"/>
              </w:rPr>
              <w:t>378</w:t>
            </w:r>
            <w:r>
              <w:rPr>
                <w:rFonts w:cs="Arial"/>
                <w:b/>
                <w:sz w:val="20"/>
                <w:szCs w:val="20"/>
              </w:rPr>
              <w:t xml:space="preserve"> </w:t>
            </w:r>
            <w:r w:rsidRPr="00BF3325">
              <w:rPr>
                <w:rFonts w:cs="Arial"/>
                <w:b/>
                <w:sz w:val="20"/>
                <w:szCs w:val="20"/>
              </w:rPr>
              <w:t>258</w:t>
            </w:r>
          </w:p>
        </w:tc>
        <w:tc>
          <w:tcPr>
            <w:tcW w:w="1497" w:type="dxa"/>
            <w:noWrap/>
            <w:hideMark/>
          </w:tcPr>
          <w:p w:rsidR="00BF3325" w:rsidRPr="00BF3325" w:rsidRDefault="00BF3325" w:rsidP="00BF3325">
            <w:pPr>
              <w:spacing w:before="120"/>
              <w:rPr>
                <w:rFonts w:cs="Arial"/>
                <w:b/>
                <w:sz w:val="20"/>
                <w:szCs w:val="20"/>
              </w:rPr>
            </w:pPr>
            <w:r w:rsidRPr="00BF3325">
              <w:rPr>
                <w:rFonts w:cs="Arial"/>
                <w:b/>
                <w:sz w:val="20"/>
                <w:szCs w:val="20"/>
              </w:rPr>
              <w:t>44789</w:t>
            </w:r>
          </w:p>
        </w:tc>
        <w:tc>
          <w:tcPr>
            <w:tcW w:w="1580" w:type="dxa"/>
            <w:noWrap/>
            <w:hideMark/>
          </w:tcPr>
          <w:p w:rsidR="00BF3325" w:rsidRPr="00BF3325" w:rsidRDefault="00BF3325" w:rsidP="00BF3325">
            <w:pPr>
              <w:spacing w:before="120"/>
              <w:rPr>
                <w:rFonts w:cs="Arial"/>
                <w:b/>
                <w:sz w:val="20"/>
                <w:szCs w:val="20"/>
              </w:rPr>
            </w:pPr>
            <w:r w:rsidRPr="00BF3325">
              <w:rPr>
                <w:rFonts w:cs="Arial"/>
                <w:b/>
                <w:sz w:val="20"/>
                <w:szCs w:val="20"/>
              </w:rPr>
              <w:t>11,84%</w:t>
            </w:r>
          </w:p>
        </w:tc>
        <w:tc>
          <w:tcPr>
            <w:tcW w:w="1497" w:type="dxa"/>
            <w:noWrap/>
            <w:hideMark/>
          </w:tcPr>
          <w:p w:rsidR="00BF3325" w:rsidRPr="00BF3325" w:rsidRDefault="00BF3325" w:rsidP="00BF3325">
            <w:pPr>
              <w:spacing w:before="120"/>
              <w:rPr>
                <w:rFonts w:cs="Arial"/>
                <w:b/>
                <w:sz w:val="20"/>
                <w:szCs w:val="20"/>
              </w:rPr>
            </w:pPr>
            <w:r w:rsidRPr="00BF3325">
              <w:rPr>
                <w:rFonts w:cs="Arial"/>
                <w:b/>
                <w:sz w:val="20"/>
                <w:szCs w:val="20"/>
              </w:rPr>
              <w:t>52 087</w:t>
            </w:r>
          </w:p>
        </w:tc>
        <w:tc>
          <w:tcPr>
            <w:tcW w:w="1580" w:type="dxa"/>
            <w:noWrap/>
            <w:hideMark/>
          </w:tcPr>
          <w:p w:rsidR="00BF3325" w:rsidRPr="00BF3325" w:rsidRDefault="00BF3325" w:rsidP="00BF3325">
            <w:pPr>
              <w:spacing w:before="120"/>
              <w:rPr>
                <w:rFonts w:cs="Arial"/>
                <w:b/>
                <w:sz w:val="20"/>
                <w:szCs w:val="20"/>
              </w:rPr>
            </w:pPr>
            <w:r w:rsidRPr="00BF3325">
              <w:rPr>
                <w:rFonts w:cs="Arial"/>
                <w:b/>
                <w:sz w:val="20"/>
                <w:szCs w:val="20"/>
              </w:rPr>
              <w:t>11,50%</w:t>
            </w:r>
          </w:p>
        </w:tc>
      </w:tr>
    </w:tbl>
    <w:p w:rsidR="00E337FD" w:rsidRPr="000E3262" w:rsidRDefault="00E337FD" w:rsidP="001F4C42">
      <w:pPr>
        <w:pStyle w:val="Nadpis2"/>
        <w:numPr>
          <w:ilvl w:val="1"/>
          <w:numId w:val="6"/>
        </w:numPr>
      </w:pPr>
      <w:bookmarkStart w:id="21" w:name="_Toc465674772"/>
      <w:r w:rsidRPr="000E3262">
        <w:t>Dlouhodobá nezaměstnanost</w:t>
      </w:r>
      <w:bookmarkEnd w:id="21"/>
    </w:p>
    <w:p w:rsidR="00E337FD" w:rsidRPr="000E3262" w:rsidRDefault="00E337FD" w:rsidP="001F4C42">
      <w:pPr>
        <w:pStyle w:val="Nadpis3"/>
        <w:numPr>
          <w:ilvl w:val="2"/>
          <w:numId w:val="6"/>
        </w:numPr>
      </w:pPr>
      <w:bookmarkStart w:id="22" w:name="_Toc465674773"/>
      <w:r w:rsidRPr="000E3262">
        <w:t>Vývoj dlouhodobé nezaměstnanosti</w:t>
      </w:r>
      <w:bookmarkEnd w:id="22"/>
    </w:p>
    <w:p w:rsidR="00E337FD" w:rsidRDefault="00E337FD" w:rsidP="00696DB7">
      <w:pPr>
        <w:spacing w:line="240" w:lineRule="auto"/>
      </w:pPr>
      <w:r>
        <w:t xml:space="preserve">Vývoj dlouhodobé nezaměstnanosti byl v uplynulých letech výrazně ovlivněn dozvuky hospodářské krize. Jak ukazuje graf č. 1 část uchazečů o zaměstnání, která zatratila práci v roce 2009, se postupně přesouvala do skupiny osob nezaměstnaných déle než 12 měsíců a následně do skupiny osob nezaměstnaných déle než 24 měsíců. Zatímco tedy v letech 2010 až 2012 se relativně stabilizoval počet </w:t>
      </w:r>
      <w:proofErr w:type="spellStart"/>
      <w:r w:rsidR="00291EC0">
        <w:t>UoZ</w:t>
      </w:r>
      <w:proofErr w:type="spellEnd"/>
      <w:r>
        <w:t xml:space="preserve">, konstantě narůstal počet </w:t>
      </w:r>
      <w:proofErr w:type="spellStart"/>
      <w:r w:rsidR="00291EC0">
        <w:t>UoZ</w:t>
      </w:r>
      <w:proofErr w:type="spellEnd"/>
      <w:r>
        <w:t xml:space="preserve"> evidovaných déle než 12, resp. 24 měsíců. Tento jev byl dále prohlouben v průběhu roku 2013 v souvislosti s dalším zhoršením na trhu práce. Období roku 2014 lze označit za přechodné, kdy dochází v souvislosti s celkovým poklesem počtu </w:t>
      </w:r>
      <w:proofErr w:type="spellStart"/>
      <w:r w:rsidR="00291EC0">
        <w:t>UoZ</w:t>
      </w:r>
      <w:proofErr w:type="spellEnd"/>
      <w:r>
        <w:t xml:space="preserve"> ke štěpení skupiny </w:t>
      </w:r>
      <w:proofErr w:type="spellStart"/>
      <w:r w:rsidR="00291EC0">
        <w:t>UoZ</w:t>
      </w:r>
      <w:proofErr w:type="spellEnd"/>
      <w:r>
        <w:t xml:space="preserve"> evidovaných v rozmezí 12 až 24 měsíců na ty, kteří setrvávají v nezaměstnanosti (nadále pokračoval růst této skupiny) a osoby, kterým se dařilo uplatnit se na trhu práce. Definitivní zlepšení situace dlouhodobě nezaměstnaných osob lze sledovat až od 1. čtvrtletí roku 2015. Přes tento pozitivní jev však dynamika poklesu dlouhodobě nezaměstnaných není tak výrazná jako u osob evidovaných kratší dobu.</w:t>
      </w:r>
    </w:p>
    <w:p w:rsidR="007142C3" w:rsidRPr="00C31EE6" w:rsidRDefault="00805809" w:rsidP="007142C3">
      <w:pPr>
        <w:pStyle w:val="Titulek"/>
        <w:spacing w:before="120" w:after="120"/>
        <w:rPr>
          <w:noProof/>
          <w:sz w:val="24"/>
        </w:rPr>
      </w:pPr>
      <w:bookmarkStart w:id="23" w:name="_Toc465675929"/>
      <w:r>
        <w:t>Graf</w:t>
      </w:r>
      <w:r w:rsidR="007142C3">
        <w:t xml:space="preserve"> </w:t>
      </w:r>
      <w:r w:rsidR="006C5B50">
        <w:fldChar w:fldCharType="begin"/>
      </w:r>
      <w:r w:rsidR="006C5B50">
        <w:instrText xml:space="preserve"> SEQ Graf_č.: \* ARABIC </w:instrText>
      </w:r>
      <w:r w:rsidR="006C5B50">
        <w:fldChar w:fldCharType="separate"/>
      </w:r>
      <w:r w:rsidR="005B254A">
        <w:rPr>
          <w:noProof/>
        </w:rPr>
        <w:t>10</w:t>
      </w:r>
      <w:r w:rsidR="006C5B50">
        <w:rPr>
          <w:noProof/>
        </w:rPr>
        <w:fldChar w:fldCharType="end"/>
      </w:r>
      <w:r w:rsidR="007142C3">
        <w:t xml:space="preserve"> - </w:t>
      </w:r>
      <w:r w:rsidR="007142C3" w:rsidRPr="002D6070">
        <w:t>Vývoj struktury uchazečů o zaměstnání podle délky evidence</w:t>
      </w:r>
      <w:bookmarkEnd w:id="23"/>
    </w:p>
    <w:p w:rsidR="00AE1346" w:rsidRDefault="00AE1346" w:rsidP="00696DB7">
      <w:pPr>
        <w:spacing w:line="240" w:lineRule="auto"/>
      </w:pPr>
      <w:r>
        <w:rPr>
          <w:noProof/>
          <w:lang w:eastAsia="cs-CZ"/>
        </w:rPr>
        <w:drawing>
          <wp:inline distT="0" distB="0" distL="0" distR="0" wp14:anchorId="663FD613" wp14:editId="3A04977B">
            <wp:extent cx="5762847" cy="2860158"/>
            <wp:effectExtent l="0" t="0" r="9525" b="1651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E337FD" w:rsidRDefault="007142C3" w:rsidP="00696DB7">
      <w:pPr>
        <w:spacing w:line="240" w:lineRule="auto"/>
      </w:pPr>
      <w:r>
        <w:rPr>
          <w:noProof/>
          <w:lang w:eastAsia="cs-CZ"/>
        </w:rPr>
        <mc:AlternateContent>
          <mc:Choice Requires="wps">
            <w:drawing>
              <wp:anchor distT="0" distB="0" distL="114300" distR="114300" simplePos="0" relativeHeight="251671552" behindDoc="0" locked="0" layoutInCell="1" allowOverlap="1" wp14:anchorId="5D3417D5" wp14:editId="32833187">
                <wp:simplePos x="0" y="0"/>
                <wp:positionH relativeFrom="column">
                  <wp:posOffset>56515</wp:posOffset>
                </wp:positionH>
                <wp:positionV relativeFrom="paragraph">
                  <wp:posOffset>492760</wp:posOffset>
                </wp:positionV>
                <wp:extent cx="5762625" cy="372110"/>
                <wp:effectExtent l="0" t="0" r="9525" b="8890"/>
                <wp:wrapSquare wrapText="bothSides"/>
                <wp:docPr id="21" name="Textové pole 21"/>
                <wp:cNvGraphicFramePr/>
                <a:graphic xmlns:a="http://schemas.openxmlformats.org/drawingml/2006/main">
                  <a:graphicData uri="http://schemas.microsoft.com/office/word/2010/wordprocessingShape">
                    <wps:wsp>
                      <wps:cNvSpPr txBox="1"/>
                      <wps:spPr>
                        <a:xfrm>
                          <a:off x="0" y="0"/>
                          <a:ext cx="5762625" cy="372110"/>
                        </a:xfrm>
                        <a:prstGeom prst="rect">
                          <a:avLst/>
                        </a:prstGeom>
                        <a:solidFill>
                          <a:prstClr val="white"/>
                        </a:solidFill>
                        <a:ln>
                          <a:noFill/>
                        </a:ln>
                        <a:effectLst/>
                      </wps:spPr>
                      <wps:txbx>
                        <w:txbxContent>
                          <w:p w:rsidR="006C5B50" w:rsidRPr="00B61739" w:rsidRDefault="006C5B50" w:rsidP="007142C3">
                            <w:pPr>
                              <w:pStyle w:val="Titulek"/>
                              <w:spacing w:before="120" w:after="120"/>
                              <w:rPr>
                                <w:noProof/>
                                <w:sz w:val="24"/>
                              </w:rPr>
                            </w:pPr>
                            <w:bookmarkStart w:id="24" w:name="_Toc465675930"/>
                            <w:r>
                              <w:t xml:space="preserve">Graf </w:t>
                            </w:r>
                            <w:fldSimple w:instr=" SEQ Graf_č.: \* ARABIC ">
                              <w:r w:rsidR="005B254A">
                                <w:rPr>
                                  <w:noProof/>
                                </w:rPr>
                                <w:t>11</w:t>
                              </w:r>
                            </w:fldSimple>
                            <w:r>
                              <w:t xml:space="preserve"> - </w:t>
                            </w:r>
                            <w:r w:rsidRPr="007142C3">
                              <w:rPr>
                                <w:i/>
                                <w:sz w:val="20"/>
                              </w:rPr>
                              <w:t xml:space="preserve"> </w:t>
                            </w:r>
                            <w:r w:rsidRPr="002F443B">
                              <w:t>Vývoj počtu uchazečů o zaměstnání podle délky evidence</w:t>
                            </w:r>
                            <w:bookmarkEnd w:id="2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1" o:spid="_x0000_s1026" type="#_x0000_t202" style="position:absolute;left:0;text-align:left;margin-left:4.45pt;margin-top:38.8pt;width:453.75pt;height:29.3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" stroked="f">
                <v:textbox inset="0,0,0,0">
                  <w:txbxContent>
                    <w:p w:rsidR="006C5B50" w:rsidRPr="00B61739" w:rsidRDefault="006C5B50" w:rsidP="007142C3">
                      <w:pPr>
                        <w:pStyle w:val="Titulek"/>
                        <w:spacing w:before="120" w:after="120"/>
                        <w:rPr>
                          <w:noProof/>
                          <w:sz w:val="24"/>
                        </w:rPr>
                      </w:pPr>
                      <w:bookmarkStart w:id="25" w:name="_Toc465675930"/>
                      <w:r>
                        <w:t xml:space="preserve">Graf </w:t>
                      </w:r>
                      <w:fldSimple w:instr=" SEQ Graf_č.: \* ARABIC ">
                        <w:r w:rsidR="005B254A">
                          <w:rPr>
                            <w:noProof/>
                          </w:rPr>
                          <w:t>11</w:t>
                        </w:r>
                      </w:fldSimple>
                      <w:r>
                        <w:t xml:space="preserve"> - </w:t>
                      </w:r>
                      <w:r w:rsidRPr="007142C3">
                        <w:rPr>
                          <w:i/>
                          <w:sz w:val="20"/>
                        </w:rPr>
                        <w:t xml:space="preserve"> </w:t>
                      </w:r>
                      <w:r w:rsidRPr="002F443B">
                        <w:t>Vývoj počtu uchazečů o zaměstnání podle délky evidence</w:t>
                      </w:r>
                      <w:bookmarkEnd w:id="25"/>
                    </w:p>
                  </w:txbxContent>
                </v:textbox>
                <w10:wrap type="square"/>
              </v:shape>
            </w:pict>
          </mc:Fallback>
        </mc:AlternateContent>
      </w:r>
      <w:r w:rsidR="00E337FD">
        <w:t xml:space="preserve">Graf č. </w:t>
      </w:r>
      <w:r>
        <w:t>11</w:t>
      </w:r>
      <w:r w:rsidR="00E337FD">
        <w:t xml:space="preserve"> ukazuje vývoj počtu uchazečů o zaměstnání dle délky evidence</w:t>
      </w:r>
      <w:r w:rsidR="00291EC0">
        <w:t>,</w:t>
      </w:r>
      <w:r w:rsidR="00E337FD">
        <w:t xml:space="preserve"> a to ve skupinách do 12 měsíců, 12-24 měsíců a nad 24 měsíců.</w:t>
      </w:r>
    </w:p>
    <w:p w:rsidR="00AE1346" w:rsidRDefault="00AE1346" w:rsidP="00696DB7">
      <w:pPr>
        <w:spacing w:line="240" w:lineRule="auto"/>
      </w:pPr>
      <w:r>
        <w:rPr>
          <w:noProof/>
          <w:lang w:eastAsia="cs-CZ"/>
        </w:rPr>
        <w:drawing>
          <wp:inline distT="0" distB="0" distL="0" distR="0" wp14:anchorId="6E0FD824" wp14:editId="70E3BD95">
            <wp:extent cx="5760720" cy="3195773"/>
            <wp:effectExtent l="0" t="0" r="11430" b="2413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E1346" w:rsidRDefault="00AE1346" w:rsidP="00696DB7">
      <w:pPr>
        <w:spacing w:line="240" w:lineRule="auto"/>
      </w:pPr>
    </w:p>
    <w:p w:rsidR="00E337FD" w:rsidRPr="007142C3" w:rsidRDefault="009B715F" w:rsidP="00696DB7">
      <w:pPr>
        <w:spacing w:line="240" w:lineRule="auto"/>
        <w:rPr>
          <w:i/>
          <w:sz w:val="20"/>
        </w:rPr>
      </w:pPr>
      <w:r>
        <w:t>Následující graf</w:t>
      </w:r>
      <w:r w:rsidR="00E337FD">
        <w:t xml:space="preserve"> porovnává dynamiku změny v počtu uchazečů o zaměstnání</w:t>
      </w:r>
      <w:r w:rsidR="00291EC0">
        <w:t>,</w:t>
      </w:r>
      <w:r w:rsidR="00E337FD">
        <w:t xml:space="preserve"> a to ve vztahu celé skupiny dlouhodobě nezaměstnaných (nad 12 měsíců) ke skupině </w:t>
      </w:r>
      <w:proofErr w:type="spellStart"/>
      <w:r w:rsidR="00291EC0">
        <w:t>UoZ</w:t>
      </w:r>
      <w:proofErr w:type="spellEnd"/>
      <w:r w:rsidR="00E337FD">
        <w:t xml:space="preserve"> evidovaných déle než 24 měsíců. Graf č. 4 ukazuje změnu počtu </w:t>
      </w:r>
      <w:proofErr w:type="spellStart"/>
      <w:r w:rsidR="00291EC0">
        <w:t>UoZ</w:t>
      </w:r>
      <w:proofErr w:type="spellEnd"/>
      <w:r w:rsidR="00E337FD">
        <w:t xml:space="preserve"> evidovaných do 12 měsíců v porovnání se změnou celkového počtu </w:t>
      </w:r>
      <w:proofErr w:type="spellStart"/>
      <w:r w:rsidR="00291EC0">
        <w:t>UoZ</w:t>
      </w:r>
      <w:proofErr w:type="spellEnd"/>
      <w:r w:rsidR="00E337FD">
        <w:t>.</w:t>
      </w:r>
    </w:p>
    <w:p w:rsidR="00E337FD" w:rsidRDefault="00E337FD" w:rsidP="00696DB7">
      <w:pPr>
        <w:spacing w:line="240" w:lineRule="auto"/>
      </w:pPr>
    </w:p>
    <w:p w:rsidR="009B715F" w:rsidRDefault="00805809" w:rsidP="009B715F">
      <w:pPr>
        <w:pStyle w:val="Titulek"/>
        <w:keepNext/>
      </w:pPr>
      <w:bookmarkStart w:id="26" w:name="_Toc465675931"/>
      <w:r>
        <w:t>Graf</w:t>
      </w:r>
      <w:r w:rsidR="009B715F">
        <w:t xml:space="preserve"> </w:t>
      </w:r>
      <w:r w:rsidR="006C5B50">
        <w:fldChar w:fldCharType="begin"/>
      </w:r>
      <w:r w:rsidR="006C5B50">
        <w:instrText xml:space="preserve"> SEQ Graf_č.: \* ARABIC </w:instrText>
      </w:r>
      <w:r w:rsidR="006C5B50">
        <w:fldChar w:fldCharType="separate"/>
      </w:r>
      <w:r w:rsidR="005B254A">
        <w:rPr>
          <w:noProof/>
        </w:rPr>
        <w:t>12</w:t>
      </w:r>
      <w:r w:rsidR="006C5B50">
        <w:rPr>
          <w:noProof/>
        </w:rPr>
        <w:fldChar w:fldCharType="end"/>
      </w:r>
      <w:r w:rsidR="009B715F">
        <w:t xml:space="preserve"> - </w:t>
      </w:r>
      <w:r w:rsidR="009B715F" w:rsidRPr="009B715F">
        <w:t>Dynamika vývoje (mezičtvrtletní nárůst/pokles počtu v %) dlouhodobě nezaměstnaných uchazečů o zaměstnání</w:t>
      </w:r>
      <w:bookmarkEnd w:id="26"/>
    </w:p>
    <w:p w:rsidR="00E337FD" w:rsidRDefault="00AE1346" w:rsidP="00696DB7">
      <w:pPr>
        <w:spacing w:line="240" w:lineRule="auto"/>
      </w:pPr>
      <w:r>
        <w:rPr>
          <w:noProof/>
          <w:lang w:eastAsia="cs-CZ"/>
        </w:rPr>
        <w:drawing>
          <wp:inline distT="0" distB="0" distL="0" distR="0" wp14:anchorId="6BECFB88" wp14:editId="7D7A7ABA">
            <wp:extent cx="6156251" cy="3327990"/>
            <wp:effectExtent l="0" t="0" r="16510" b="2540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E337FD" w:rsidRDefault="00DB0A63" w:rsidP="00696DB7">
      <w:pPr>
        <w:spacing w:line="240" w:lineRule="auto"/>
        <w:rPr>
          <w:b/>
        </w:rPr>
      </w:pPr>
      <w:r>
        <w:rPr>
          <w:noProof/>
          <w:lang w:eastAsia="cs-CZ"/>
        </w:rPr>
        <w:drawing>
          <wp:inline distT="0" distB="0" distL="0" distR="0" wp14:anchorId="5EC3282E" wp14:editId="7FE95B3A">
            <wp:extent cx="6113721" cy="3211033"/>
            <wp:effectExtent l="0" t="0" r="20955" b="2794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009B715F">
        <w:rPr>
          <w:noProof/>
          <w:lang w:eastAsia="cs-CZ"/>
        </w:rPr>
        <mc:AlternateContent>
          <mc:Choice Requires="wps">
            <w:drawing>
              <wp:anchor distT="0" distB="0" distL="114300" distR="114300" simplePos="0" relativeHeight="251673600" behindDoc="0" locked="0" layoutInCell="1" allowOverlap="1" wp14:anchorId="365DBD34" wp14:editId="45303467">
                <wp:simplePos x="0" y="0"/>
                <wp:positionH relativeFrom="column">
                  <wp:posOffset>3810</wp:posOffset>
                </wp:positionH>
                <wp:positionV relativeFrom="paragraph">
                  <wp:posOffset>97155</wp:posOffset>
                </wp:positionV>
                <wp:extent cx="5964555" cy="457200"/>
                <wp:effectExtent l="0" t="0" r="0" b="0"/>
                <wp:wrapSquare wrapText="bothSides"/>
                <wp:docPr id="22" name="Textové pole 22"/>
                <wp:cNvGraphicFramePr/>
                <a:graphic xmlns:a="http://schemas.openxmlformats.org/drawingml/2006/main">
                  <a:graphicData uri="http://schemas.microsoft.com/office/word/2010/wordprocessingShape">
                    <wps:wsp>
                      <wps:cNvSpPr txBox="1"/>
                      <wps:spPr>
                        <a:xfrm>
                          <a:off x="0" y="0"/>
                          <a:ext cx="5964555" cy="457200"/>
                        </a:xfrm>
                        <a:prstGeom prst="rect">
                          <a:avLst/>
                        </a:prstGeom>
                        <a:solidFill>
                          <a:prstClr val="white"/>
                        </a:solidFill>
                        <a:ln>
                          <a:noFill/>
                        </a:ln>
                        <a:effectLst/>
                      </wps:spPr>
                      <wps:txbx>
                        <w:txbxContent>
                          <w:p w:rsidR="006C5B50" w:rsidRPr="00DC682B" w:rsidRDefault="006C5B50" w:rsidP="009B715F">
                            <w:pPr>
                              <w:pStyle w:val="Titulek"/>
                              <w:spacing w:after="0"/>
                              <w:rPr>
                                <w:noProof/>
                                <w:sz w:val="24"/>
                              </w:rPr>
                            </w:pPr>
                            <w:bookmarkStart w:id="27" w:name="_Toc465675932"/>
                            <w:r>
                              <w:t xml:space="preserve">Graf </w:t>
                            </w:r>
                            <w:fldSimple w:instr=" SEQ Graf_č.: \* ARABIC ">
                              <w:r w:rsidR="005B254A">
                                <w:rPr>
                                  <w:noProof/>
                                </w:rPr>
                                <w:t>13</w:t>
                              </w:r>
                            </w:fldSimple>
                            <w:r w:rsidRPr="009B715F">
                              <w:t xml:space="preserve"> Dynamika vývoje (mezičtvrtletní nárůst/pokles počtu v %) uchazečů o zaměstnání – celkový počet a uchazeči o zaměstnání do 12 měsíců evidence</w:t>
                            </w:r>
                            <w:bookmarkEnd w:id="2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ové pole 22" o:spid="_x0000_s1027" type="#_x0000_t202" style="position:absolute;left:0;text-align:left;margin-left:.3pt;margin-top:7.65pt;width:469.65pt;height:3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" stroked="f">
                <v:textbox inset="0,0,0,0">
                  <w:txbxContent>
                    <w:p w:rsidR="006C5B50" w:rsidRPr="00DC682B" w:rsidRDefault="006C5B50" w:rsidP="009B715F">
                      <w:pPr>
                        <w:pStyle w:val="Titulek"/>
                        <w:spacing w:after="0"/>
                        <w:rPr>
                          <w:noProof/>
                          <w:sz w:val="24"/>
                        </w:rPr>
                      </w:pPr>
                      <w:bookmarkStart w:id="28" w:name="_Toc465675932"/>
                      <w:r>
                        <w:t xml:space="preserve">Graf </w:t>
                      </w:r>
                      <w:fldSimple w:instr=" SEQ Graf_č.: \* ARABIC ">
                        <w:r w:rsidR="005B254A">
                          <w:rPr>
                            <w:noProof/>
                          </w:rPr>
                          <w:t>13</w:t>
                        </w:r>
                      </w:fldSimple>
                      <w:r w:rsidRPr="009B715F">
                        <w:t xml:space="preserve"> Dynamika vývoje (mezičtvrtletní nárůst/pokles počtu v %) uchazečů o zaměstnání – celkový počet a uchazeči o zaměstnání do 12 měsíců evidence</w:t>
                      </w:r>
                      <w:bookmarkEnd w:id="28"/>
                    </w:p>
                  </w:txbxContent>
                </v:textbox>
                <w10:wrap type="square"/>
              </v:shape>
            </w:pict>
          </mc:Fallback>
        </mc:AlternateContent>
      </w:r>
      <w:r w:rsidR="00E337FD">
        <w:rPr>
          <w:i/>
          <w:sz w:val="20"/>
        </w:rPr>
        <w:t xml:space="preserve"> </w:t>
      </w:r>
    </w:p>
    <w:p w:rsidR="00E337FD" w:rsidRDefault="00E337FD" w:rsidP="001F4C42">
      <w:pPr>
        <w:pStyle w:val="Nadpis3"/>
        <w:numPr>
          <w:ilvl w:val="2"/>
          <w:numId w:val="6"/>
        </w:numPr>
      </w:pPr>
      <w:bookmarkStart w:id="29" w:name="_Toc465674774"/>
      <w:r w:rsidRPr="000E3262">
        <w:t>Struktura dlouhodobé nezaměstnanosti</w:t>
      </w:r>
      <w:bookmarkEnd w:id="29"/>
    </w:p>
    <w:p w:rsidR="00E337FD" w:rsidRDefault="00E337FD" w:rsidP="00696DB7">
      <w:pPr>
        <w:spacing w:line="240" w:lineRule="auto"/>
        <w:ind w:right="-426"/>
      </w:pPr>
      <w:r w:rsidRPr="00AE798B">
        <w:t>V září 20</w:t>
      </w:r>
      <w:r>
        <w:t xml:space="preserve">16 bylo provedeno šetření na kontaktních pracovištích </w:t>
      </w:r>
      <w:r w:rsidR="00291EC0">
        <w:t xml:space="preserve">krajských poboček </w:t>
      </w:r>
      <w:r>
        <w:t xml:space="preserve">ÚP ČR s cílem zmapovat strukturu dlouhodobě nezaměstnaných </w:t>
      </w:r>
      <w:proofErr w:type="spellStart"/>
      <w:r w:rsidR="00291EC0">
        <w:t>UoZ</w:t>
      </w:r>
      <w:proofErr w:type="spellEnd"/>
      <w:r>
        <w:t xml:space="preserve">, zejména s ohledem na nejvíce znevýhodněné skupiny osob. Šetření prokázalo, že ve skupině </w:t>
      </w:r>
      <w:proofErr w:type="spellStart"/>
      <w:r w:rsidR="00291EC0">
        <w:t>UoZ</w:t>
      </w:r>
      <w:proofErr w:type="spellEnd"/>
      <w:r>
        <w:t xml:space="preserve"> evidovaných déle než 12 měsíců je vyšší zastoupení osob, jejichž vstupu na trh práce je bráněno řadou hendikepů a jejich kumulací.</w:t>
      </w:r>
    </w:p>
    <w:p w:rsidR="00E337FD" w:rsidRDefault="00E337FD" w:rsidP="00696DB7">
      <w:pPr>
        <w:spacing w:line="240" w:lineRule="auto"/>
        <w:ind w:right="-426"/>
        <w:rPr>
          <w:highlight w:val="yellow"/>
        </w:rPr>
      </w:pPr>
    </w:p>
    <w:p w:rsidR="009B715F" w:rsidRDefault="009B715F" w:rsidP="009B715F">
      <w:pPr>
        <w:pStyle w:val="Titulek"/>
        <w:keepNext/>
      </w:pPr>
      <w:bookmarkStart w:id="30" w:name="_Toc465674538"/>
      <w:r>
        <w:t xml:space="preserve">Tabulka </w:t>
      </w:r>
      <w:r w:rsidR="006C5B50">
        <w:fldChar w:fldCharType="begin"/>
      </w:r>
      <w:r w:rsidR="006C5B50">
        <w:instrText xml:space="preserve"> SEQ Tabulka \* ARABIC </w:instrText>
      </w:r>
      <w:r w:rsidR="006C5B50">
        <w:fldChar w:fldCharType="separate"/>
      </w:r>
      <w:r w:rsidR="005B254A">
        <w:rPr>
          <w:noProof/>
        </w:rPr>
        <w:t>8</w:t>
      </w:r>
      <w:r w:rsidR="006C5B50">
        <w:rPr>
          <w:noProof/>
        </w:rPr>
        <w:fldChar w:fldCharType="end"/>
      </w:r>
      <w:r w:rsidR="002F443B">
        <w:t>: Odhad struktury dlouhodobě evidov</w:t>
      </w:r>
      <w:r w:rsidR="00C26D7F">
        <w:t>aných uchazečů o zaměstnání k 30</w:t>
      </w:r>
      <w:r w:rsidR="002F443B">
        <w:t xml:space="preserve">. </w:t>
      </w:r>
      <w:r w:rsidR="00C26D7F">
        <w:t>9</w:t>
      </w:r>
      <w:r w:rsidR="002F443B">
        <w:t>. 2016, počty a podíly</w:t>
      </w:r>
      <w:bookmarkEnd w:id="30"/>
      <w:r w:rsidR="002F443B">
        <w:t xml:space="preserve"> </w:t>
      </w:r>
    </w:p>
    <w:tbl>
      <w:tblPr>
        <w:tblW w:w="9791" w:type="dxa"/>
        <w:tblInd w:w="60" w:type="dxa"/>
        <w:tblCellMar>
          <w:left w:w="70" w:type="dxa"/>
          <w:right w:w="70" w:type="dxa"/>
        </w:tblCellMar>
        <w:tblLook w:val="04A0" w:firstRow="1" w:lastRow="0" w:firstColumn="1" w:lastColumn="0" w:noHBand="0" w:noVBand="1"/>
      </w:tblPr>
      <w:tblGrid>
        <w:gridCol w:w="219"/>
        <w:gridCol w:w="162"/>
        <w:gridCol w:w="988"/>
        <w:gridCol w:w="91"/>
        <w:gridCol w:w="939"/>
        <w:gridCol w:w="45"/>
        <w:gridCol w:w="968"/>
        <w:gridCol w:w="284"/>
        <w:gridCol w:w="960"/>
        <w:gridCol w:w="1166"/>
        <w:gridCol w:w="992"/>
        <w:gridCol w:w="993"/>
        <w:gridCol w:w="1134"/>
        <w:gridCol w:w="850"/>
      </w:tblGrid>
      <w:tr w:rsidR="00E337FD" w:rsidRPr="00AE798B" w:rsidTr="00696DB7">
        <w:trPr>
          <w:trHeight w:val="330"/>
        </w:trPr>
        <w:tc>
          <w:tcPr>
            <w:tcW w:w="9791" w:type="dxa"/>
            <w:gridSpan w:val="14"/>
            <w:tcBorders>
              <w:top w:val="single" w:sz="8" w:space="0" w:color="auto"/>
              <w:left w:val="single" w:sz="8" w:space="0" w:color="auto"/>
              <w:bottom w:val="double" w:sz="6" w:space="0" w:color="auto"/>
              <w:right w:val="single" w:sz="8" w:space="0" w:color="000000"/>
            </w:tcBorders>
            <w:shd w:val="clear" w:color="auto" w:fill="auto"/>
            <w:noWrap/>
            <w:vAlign w:val="center"/>
            <w:hideMark/>
          </w:tcPr>
          <w:p w:rsidR="00E337FD" w:rsidRPr="00AE798B" w:rsidRDefault="00E337FD" w:rsidP="002F443B">
            <w:pPr>
              <w:spacing w:line="240" w:lineRule="auto"/>
              <w:jc w:val="center"/>
              <w:rPr>
                <w:rFonts w:ascii="Calibri" w:eastAsia="Times New Roman" w:hAnsi="Calibri" w:cs="Times New Roman"/>
                <w:b/>
                <w:bCs/>
                <w:color w:val="000000"/>
                <w:szCs w:val="24"/>
                <w:lang w:eastAsia="cs-CZ"/>
              </w:rPr>
            </w:pPr>
            <w:r w:rsidRPr="00AE798B">
              <w:rPr>
                <w:rFonts w:ascii="Calibri" w:eastAsia="Times New Roman" w:hAnsi="Calibri" w:cs="Times New Roman"/>
                <w:b/>
                <w:bCs/>
                <w:color w:val="000000"/>
                <w:szCs w:val="24"/>
                <w:lang w:eastAsia="cs-CZ"/>
              </w:rPr>
              <w:t xml:space="preserve">Odhad struktury dlouhodobě evidovaných uchazečů o zaměstnání </w:t>
            </w:r>
            <w:r w:rsidR="002F443B">
              <w:rPr>
                <w:rFonts w:ascii="Calibri" w:eastAsia="Times New Roman" w:hAnsi="Calibri" w:cs="Times New Roman"/>
                <w:b/>
                <w:bCs/>
                <w:color w:val="000000"/>
                <w:szCs w:val="24"/>
                <w:lang w:eastAsia="cs-CZ"/>
              </w:rPr>
              <w:t>- počty</w:t>
            </w:r>
          </w:p>
        </w:tc>
      </w:tr>
      <w:tr w:rsidR="00E337FD" w:rsidRPr="00AE798B" w:rsidTr="00696DB7">
        <w:trPr>
          <w:trHeight w:val="315"/>
        </w:trPr>
        <w:tc>
          <w:tcPr>
            <w:tcW w:w="1369" w:type="dxa"/>
            <w:gridSpan w:val="3"/>
            <w:vMerge w:val="restart"/>
            <w:tcBorders>
              <w:top w:val="double" w:sz="6" w:space="0" w:color="auto"/>
              <w:left w:val="single" w:sz="8" w:space="0" w:color="auto"/>
              <w:bottom w:val="nil"/>
              <w:right w:val="nil"/>
            </w:tcBorders>
            <w:shd w:val="clear" w:color="auto" w:fill="auto"/>
            <w:noWrap/>
            <w:vAlign w:val="center"/>
            <w:hideMark/>
          </w:tcPr>
          <w:p w:rsidR="00E337FD" w:rsidRPr="00AE798B" w:rsidRDefault="00E337FD" w:rsidP="00696DB7">
            <w:pPr>
              <w:spacing w:line="240" w:lineRule="auto"/>
              <w:jc w:val="center"/>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Kraj</w:t>
            </w:r>
          </w:p>
        </w:tc>
        <w:tc>
          <w:tcPr>
            <w:tcW w:w="2043" w:type="dxa"/>
            <w:gridSpan w:val="4"/>
            <w:tcBorders>
              <w:top w:val="double" w:sz="6" w:space="0" w:color="auto"/>
              <w:left w:val="double" w:sz="6" w:space="0" w:color="auto"/>
              <w:bottom w:val="nil"/>
              <w:right w:val="double" w:sz="6" w:space="0" w:color="000000"/>
            </w:tcBorders>
            <w:shd w:val="clear" w:color="auto" w:fill="auto"/>
            <w:noWrap/>
            <w:vAlign w:val="bottom"/>
            <w:hideMark/>
          </w:tcPr>
          <w:p w:rsidR="00E337FD" w:rsidRPr="00AE798B" w:rsidRDefault="00E337FD" w:rsidP="00696DB7">
            <w:pPr>
              <w:spacing w:line="240" w:lineRule="auto"/>
              <w:jc w:val="center"/>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 xml:space="preserve">počet </w:t>
            </w:r>
            <w:proofErr w:type="spellStart"/>
            <w:r w:rsidRPr="00AE798B">
              <w:rPr>
                <w:rFonts w:ascii="Calibri" w:eastAsia="Times New Roman" w:hAnsi="Calibri" w:cs="Times New Roman"/>
                <w:b/>
                <w:bCs/>
                <w:color w:val="000000"/>
                <w:sz w:val="22"/>
                <w:lang w:eastAsia="cs-CZ"/>
              </w:rPr>
              <w:t>UoZ</w:t>
            </w:r>
            <w:proofErr w:type="spellEnd"/>
            <w:r w:rsidRPr="00AE798B">
              <w:rPr>
                <w:rFonts w:ascii="Calibri" w:eastAsia="Times New Roman" w:hAnsi="Calibri" w:cs="Times New Roman"/>
                <w:b/>
                <w:bCs/>
                <w:color w:val="000000"/>
                <w:sz w:val="22"/>
                <w:lang w:eastAsia="cs-CZ"/>
              </w:rPr>
              <w:t xml:space="preserve"> nad 12 M</w:t>
            </w:r>
          </w:p>
        </w:tc>
        <w:tc>
          <w:tcPr>
            <w:tcW w:w="6379" w:type="dxa"/>
            <w:gridSpan w:val="7"/>
            <w:tcBorders>
              <w:top w:val="double" w:sz="6" w:space="0" w:color="auto"/>
              <w:left w:val="nil"/>
              <w:bottom w:val="nil"/>
              <w:right w:val="single" w:sz="8" w:space="0" w:color="000000"/>
            </w:tcBorders>
            <w:shd w:val="clear" w:color="auto" w:fill="auto"/>
            <w:noWrap/>
            <w:vAlign w:val="bottom"/>
            <w:hideMark/>
          </w:tcPr>
          <w:p w:rsidR="00E337FD" w:rsidRPr="00AE798B" w:rsidRDefault="00E337FD" w:rsidP="00696DB7">
            <w:pPr>
              <w:spacing w:line="240" w:lineRule="auto"/>
              <w:jc w:val="center"/>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 xml:space="preserve">kvalifikovaný odhad počtu níže uvedených skupin na </w:t>
            </w:r>
            <w:proofErr w:type="spellStart"/>
            <w:r w:rsidRPr="00AE798B">
              <w:rPr>
                <w:rFonts w:ascii="Calibri" w:eastAsia="Times New Roman" w:hAnsi="Calibri" w:cs="Times New Roman"/>
                <w:b/>
                <w:bCs/>
                <w:color w:val="000000"/>
                <w:sz w:val="22"/>
                <w:lang w:eastAsia="cs-CZ"/>
              </w:rPr>
              <w:t>UoZ</w:t>
            </w:r>
            <w:proofErr w:type="spellEnd"/>
            <w:r w:rsidRPr="00AE798B">
              <w:rPr>
                <w:rFonts w:ascii="Calibri" w:eastAsia="Times New Roman" w:hAnsi="Calibri" w:cs="Times New Roman"/>
                <w:b/>
                <w:bCs/>
                <w:color w:val="000000"/>
                <w:sz w:val="22"/>
                <w:lang w:eastAsia="cs-CZ"/>
              </w:rPr>
              <w:t xml:space="preserve"> nad 12M</w:t>
            </w:r>
          </w:p>
        </w:tc>
      </w:tr>
      <w:tr w:rsidR="00586FAC" w:rsidRPr="00AE798B" w:rsidTr="00586FAC">
        <w:trPr>
          <w:trHeight w:val="315"/>
        </w:trPr>
        <w:tc>
          <w:tcPr>
            <w:tcW w:w="1369" w:type="dxa"/>
            <w:gridSpan w:val="3"/>
            <w:vMerge/>
            <w:tcBorders>
              <w:top w:val="double" w:sz="6" w:space="0" w:color="auto"/>
              <w:left w:val="single" w:sz="8" w:space="0" w:color="auto"/>
              <w:bottom w:val="nil"/>
              <w:right w:val="nil"/>
            </w:tcBorders>
            <w:vAlign w:val="center"/>
            <w:hideMark/>
          </w:tcPr>
          <w:p w:rsidR="00E337FD" w:rsidRPr="00AE798B" w:rsidRDefault="00E337FD" w:rsidP="00696DB7">
            <w:pPr>
              <w:spacing w:line="240" w:lineRule="auto"/>
              <w:jc w:val="left"/>
              <w:rPr>
                <w:rFonts w:ascii="Calibri" w:eastAsia="Times New Roman" w:hAnsi="Calibri" w:cs="Times New Roman"/>
                <w:b/>
                <w:bCs/>
                <w:color w:val="000000"/>
                <w:sz w:val="22"/>
                <w:lang w:eastAsia="cs-CZ"/>
              </w:rPr>
            </w:pPr>
          </w:p>
        </w:tc>
        <w:tc>
          <w:tcPr>
            <w:tcW w:w="1030" w:type="dxa"/>
            <w:gridSpan w:val="2"/>
            <w:tcBorders>
              <w:top w:val="nil"/>
              <w:left w:val="double" w:sz="6" w:space="0" w:color="auto"/>
              <w:bottom w:val="nil"/>
              <w:right w:val="nil"/>
            </w:tcBorders>
            <w:shd w:val="clear" w:color="auto" w:fill="auto"/>
            <w:noWrap/>
            <w:vAlign w:val="bottom"/>
            <w:hideMark/>
          </w:tcPr>
          <w:p w:rsidR="00E337FD" w:rsidRPr="00AE798B" w:rsidRDefault="00E337FD"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013" w:type="dxa"/>
            <w:gridSpan w:val="2"/>
            <w:tcBorders>
              <w:top w:val="dashed" w:sz="4" w:space="0" w:color="auto"/>
              <w:left w:val="dashed" w:sz="4" w:space="0" w:color="auto"/>
              <w:bottom w:val="nil"/>
              <w:right w:val="double" w:sz="6" w:space="0" w:color="auto"/>
            </w:tcBorders>
            <w:shd w:val="clear" w:color="auto" w:fill="auto"/>
            <w:noWrap/>
            <w:vAlign w:val="bottom"/>
            <w:hideMark/>
          </w:tcPr>
          <w:p w:rsidR="00E337FD" w:rsidRPr="00AE798B" w:rsidRDefault="00E337FD"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xml:space="preserve"> nad 24M</w:t>
            </w:r>
          </w:p>
        </w:tc>
        <w:tc>
          <w:tcPr>
            <w:tcW w:w="1244" w:type="dxa"/>
            <w:gridSpan w:val="2"/>
            <w:tcBorders>
              <w:top w:val="dashed" w:sz="4" w:space="0" w:color="auto"/>
              <w:left w:val="nil"/>
              <w:bottom w:val="nil"/>
              <w:right w:val="single" w:sz="4" w:space="0" w:color="auto"/>
            </w:tcBorders>
            <w:shd w:val="clear" w:color="auto" w:fill="auto"/>
            <w:noWrap/>
            <w:vAlign w:val="bottom"/>
            <w:hideMark/>
          </w:tcPr>
          <w:p w:rsidR="00E337FD" w:rsidRPr="00AE798B" w:rsidRDefault="00E337FD"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exekuce</w:t>
            </w:r>
          </w:p>
        </w:tc>
        <w:tc>
          <w:tcPr>
            <w:tcW w:w="1166" w:type="dxa"/>
            <w:tcBorders>
              <w:top w:val="dashed" w:sz="4" w:space="0" w:color="auto"/>
              <w:left w:val="nil"/>
              <w:bottom w:val="nil"/>
              <w:right w:val="single" w:sz="4" w:space="0" w:color="auto"/>
            </w:tcBorders>
            <w:shd w:val="clear" w:color="auto" w:fill="auto"/>
            <w:noWrap/>
            <w:vAlign w:val="bottom"/>
            <w:hideMark/>
          </w:tcPr>
          <w:p w:rsidR="00E337FD" w:rsidRPr="00AE798B" w:rsidRDefault="00E337FD"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xml:space="preserve">§25 </w:t>
            </w:r>
            <w:proofErr w:type="gramStart"/>
            <w:r w:rsidRPr="00AE798B">
              <w:rPr>
                <w:rFonts w:ascii="Calibri" w:eastAsia="Times New Roman" w:hAnsi="Calibri" w:cs="Times New Roman"/>
                <w:color w:val="000000"/>
                <w:sz w:val="22"/>
                <w:lang w:eastAsia="cs-CZ"/>
              </w:rPr>
              <w:t>odst.3</w:t>
            </w:r>
            <w:proofErr w:type="gramEnd"/>
          </w:p>
        </w:tc>
        <w:tc>
          <w:tcPr>
            <w:tcW w:w="992" w:type="dxa"/>
            <w:tcBorders>
              <w:top w:val="dashed" w:sz="4" w:space="0" w:color="auto"/>
              <w:left w:val="nil"/>
              <w:bottom w:val="nil"/>
              <w:right w:val="single" w:sz="4" w:space="0" w:color="auto"/>
            </w:tcBorders>
            <w:shd w:val="clear" w:color="auto" w:fill="auto"/>
            <w:noWrap/>
            <w:vAlign w:val="bottom"/>
            <w:hideMark/>
          </w:tcPr>
          <w:p w:rsidR="00E337FD" w:rsidRPr="00AE798B" w:rsidRDefault="00E337FD"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max. ZŠ</w:t>
            </w:r>
          </w:p>
        </w:tc>
        <w:tc>
          <w:tcPr>
            <w:tcW w:w="993" w:type="dxa"/>
            <w:tcBorders>
              <w:top w:val="dashed" w:sz="4" w:space="0" w:color="auto"/>
              <w:left w:val="nil"/>
              <w:bottom w:val="nil"/>
              <w:right w:val="single" w:sz="4" w:space="0" w:color="auto"/>
            </w:tcBorders>
            <w:shd w:val="clear" w:color="auto" w:fill="auto"/>
            <w:noWrap/>
            <w:vAlign w:val="bottom"/>
            <w:hideMark/>
          </w:tcPr>
          <w:p w:rsidR="00E337FD" w:rsidRPr="00AE798B" w:rsidRDefault="00E337FD"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do 25 let</w:t>
            </w:r>
          </w:p>
        </w:tc>
        <w:tc>
          <w:tcPr>
            <w:tcW w:w="1134" w:type="dxa"/>
            <w:tcBorders>
              <w:top w:val="dashed" w:sz="4" w:space="0" w:color="auto"/>
              <w:left w:val="nil"/>
              <w:bottom w:val="nil"/>
              <w:right w:val="single" w:sz="4" w:space="0" w:color="auto"/>
            </w:tcBorders>
            <w:shd w:val="clear" w:color="auto" w:fill="auto"/>
            <w:noWrap/>
            <w:vAlign w:val="bottom"/>
            <w:hideMark/>
          </w:tcPr>
          <w:p w:rsidR="00E337FD" w:rsidRPr="00AE798B" w:rsidRDefault="00E337FD"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nad 55 let</w:t>
            </w:r>
          </w:p>
        </w:tc>
        <w:tc>
          <w:tcPr>
            <w:tcW w:w="850" w:type="dxa"/>
            <w:tcBorders>
              <w:top w:val="dashed" w:sz="4" w:space="0" w:color="auto"/>
              <w:left w:val="nil"/>
              <w:bottom w:val="nil"/>
              <w:right w:val="single" w:sz="8" w:space="0" w:color="auto"/>
            </w:tcBorders>
            <w:shd w:val="clear" w:color="auto" w:fill="auto"/>
            <w:noWrap/>
            <w:vAlign w:val="bottom"/>
            <w:hideMark/>
          </w:tcPr>
          <w:p w:rsidR="00E337FD" w:rsidRPr="00AE798B" w:rsidRDefault="00E337FD"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OZP</w:t>
            </w:r>
          </w:p>
        </w:tc>
      </w:tr>
      <w:tr w:rsidR="00E337FD" w:rsidRPr="00AE798B" w:rsidTr="00586FAC">
        <w:trPr>
          <w:trHeight w:val="315"/>
        </w:trPr>
        <w:tc>
          <w:tcPr>
            <w:tcW w:w="1369" w:type="dxa"/>
            <w:gridSpan w:val="3"/>
            <w:tcBorders>
              <w:top w:val="single" w:sz="8" w:space="0" w:color="auto"/>
              <w:left w:val="single" w:sz="8" w:space="0" w:color="auto"/>
              <w:bottom w:val="nil"/>
              <w:right w:val="nil"/>
            </w:tcBorders>
            <w:shd w:val="clear" w:color="auto" w:fill="auto"/>
            <w:noWrap/>
            <w:vAlign w:val="bottom"/>
            <w:hideMark/>
          </w:tcPr>
          <w:p w:rsidR="00E337FD" w:rsidRPr="00AE798B" w:rsidRDefault="00E337FD" w:rsidP="00696DB7">
            <w:pPr>
              <w:spacing w:line="240" w:lineRule="auto"/>
              <w:jc w:val="left"/>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ČR</w:t>
            </w:r>
          </w:p>
        </w:tc>
        <w:tc>
          <w:tcPr>
            <w:tcW w:w="1030" w:type="dxa"/>
            <w:gridSpan w:val="2"/>
            <w:tcBorders>
              <w:top w:val="single" w:sz="8" w:space="0" w:color="auto"/>
              <w:left w:val="double" w:sz="6" w:space="0" w:color="auto"/>
              <w:bottom w:val="single" w:sz="4" w:space="0" w:color="auto"/>
              <w:right w:val="single" w:sz="4" w:space="0" w:color="auto"/>
            </w:tcBorders>
            <w:shd w:val="clear" w:color="auto" w:fill="auto"/>
            <w:noWrap/>
            <w:vAlign w:val="bottom"/>
            <w:hideMark/>
          </w:tcPr>
          <w:p w:rsidR="00E337FD" w:rsidRPr="002A5BFC" w:rsidRDefault="00E337FD" w:rsidP="002A5BFC">
            <w:pPr>
              <w:spacing w:line="240" w:lineRule="auto"/>
              <w:jc w:val="right"/>
              <w:rPr>
                <w:rFonts w:asciiTheme="minorHAnsi" w:eastAsia="Times New Roman" w:hAnsiTheme="minorHAnsi" w:cs="Times New Roman"/>
                <w:b/>
                <w:bCs/>
                <w:color w:val="000000"/>
                <w:sz w:val="22"/>
                <w:lang w:eastAsia="cs-CZ"/>
              </w:rPr>
            </w:pPr>
            <w:r w:rsidRPr="002A5BFC">
              <w:rPr>
                <w:rFonts w:asciiTheme="minorHAnsi" w:eastAsia="Times New Roman" w:hAnsiTheme="minorHAnsi" w:cs="Times New Roman"/>
                <w:b/>
                <w:bCs/>
                <w:color w:val="000000"/>
                <w:sz w:val="22"/>
                <w:lang w:eastAsia="cs-CZ"/>
              </w:rPr>
              <w:t>15</w:t>
            </w:r>
            <w:r w:rsidR="002A5BFC" w:rsidRPr="002A5BFC">
              <w:rPr>
                <w:rFonts w:asciiTheme="minorHAnsi" w:eastAsia="Times New Roman" w:hAnsiTheme="minorHAnsi" w:cs="Times New Roman"/>
                <w:b/>
                <w:bCs/>
                <w:color w:val="000000"/>
                <w:sz w:val="22"/>
                <w:lang w:eastAsia="cs-CZ"/>
              </w:rPr>
              <w:t>4</w:t>
            </w:r>
            <w:r w:rsidRPr="002A5BFC">
              <w:rPr>
                <w:rFonts w:asciiTheme="minorHAnsi" w:eastAsia="Times New Roman" w:hAnsiTheme="minorHAnsi" w:cs="Times New Roman"/>
                <w:b/>
                <w:bCs/>
                <w:color w:val="000000"/>
                <w:sz w:val="22"/>
                <w:lang w:eastAsia="cs-CZ"/>
              </w:rPr>
              <w:t xml:space="preserve"> </w:t>
            </w:r>
            <w:r w:rsidR="002A5BFC" w:rsidRPr="002A5BFC">
              <w:rPr>
                <w:rFonts w:asciiTheme="minorHAnsi" w:eastAsia="Times New Roman" w:hAnsiTheme="minorHAnsi" w:cs="Times New Roman"/>
                <w:b/>
                <w:bCs/>
                <w:color w:val="000000"/>
                <w:sz w:val="22"/>
                <w:lang w:eastAsia="cs-CZ"/>
              </w:rPr>
              <w:t>273</w:t>
            </w:r>
          </w:p>
        </w:tc>
        <w:tc>
          <w:tcPr>
            <w:tcW w:w="1013" w:type="dxa"/>
            <w:gridSpan w:val="2"/>
            <w:tcBorders>
              <w:top w:val="single" w:sz="8" w:space="0" w:color="auto"/>
              <w:left w:val="nil"/>
              <w:bottom w:val="single" w:sz="4" w:space="0" w:color="auto"/>
              <w:right w:val="double" w:sz="6" w:space="0" w:color="auto"/>
            </w:tcBorders>
            <w:shd w:val="clear" w:color="auto" w:fill="auto"/>
            <w:noWrap/>
            <w:vAlign w:val="bottom"/>
            <w:hideMark/>
          </w:tcPr>
          <w:p w:rsidR="00E337FD" w:rsidRPr="002A5BFC" w:rsidRDefault="00E337FD" w:rsidP="002A5BFC">
            <w:pPr>
              <w:spacing w:line="240" w:lineRule="auto"/>
              <w:jc w:val="right"/>
              <w:rPr>
                <w:rFonts w:asciiTheme="minorHAnsi" w:eastAsia="Times New Roman" w:hAnsiTheme="minorHAnsi" w:cs="Times New Roman"/>
                <w:b/>
                <w:bCs/>
                <w:color w:val="000000"/>
                <w:sz w:val="22"/>
                <w:lang w:eastAsia="cs-CZ"/>
              </w:rPr>
            </w:pPr>
            <w:r w:rsidRPr="002A5BFC">
              <w:rPr>
                <w:rFonts w:asciiTheme="minorHAnsi" w:eastAsia="Times New Roman" w:hAnsiTheme="minorHAnsi" w:cs="Times New Roman"/>
                <w:b/>
                <w:bCs/>
                <w:color w:val="000000"/>
                <w:sz w:val="22"/>
                <w:lang w:eastAsia="cs-CZ"/>
              </w:rPr>
              <w:t>10</w:t>
            </w:r>
            <w:r w:rsidR="002A5BFC" w:rsidRPr="002A5BFC">
              <w:rPr>
                <w:rFonts w:asciiTheme="minorHAnsi" w:eastAsia="Times New Roman" w:hAnsiTheme="minorHAnsi" w:cs="Times New Roman"/>
                <w:b/>
                <w:bCs/>
                <w:color w:val="000000"/>
                <w:sz w:val="22"/>
                <w:lang w:eastAsia="cs-CZ"/>
              </w:rPr>
              <w:t>6</w:t>
            </w:r>
            <w:r w:rsidRPr="002A5BFC">
              <w:rPr>
                <w:rFonts w:asciiTheme="minorHAnsi" w:eastAsia="Times New Roman" w:hAnsiTheme="minorHAnsi" w:cs="Times New Roman"/>
                <w:b/>
                <w:bCs/>
                <w:color w:val="000000"/>
                <w:sz w:val="22"/>
                <w:lang w:eastAsia="cs-CZ"/>
              </w:rPr>
              <w:t xml:space="preserve"> </w:t>
            </w:r>
            <w:r w:rsidR="002A5BFC" w:rsidRPr="002A5BFC">
              <w:rPr>
                <w:rFonts w:asciiTheme="minorHAnsi" w:eastAsia="Times New Roman" w:hAnsiTheme="minorHAnsi" w:cs="Times New Roman"/>
                <w:b/>
                <w:bCs/>
                <w:color w:val="000000"/>
                <w:sz w:val="22"/>
                <w:lang w:eastAsia="cs-CZ"/>
              </w:rPr>
              <w:t>843</w:t>
            </w:r>
          </w:p>
        </w:tc>
        <w:tc>
          <w:tcPr>
            <w:tcW w:w="1244" w:type="dxa"/>
            <w:gridSpan w:val="2"/>
            <w:tcBorders>
              <w:top w:val="single" w:sz="8" w:space="0" w:color="auto"/>
              <w:left w:val="nil"/>
              <w:bottom w:val="single" w:sz="4" w:space="0" w:color="auto"/>
              <w:right w:val="single" w:sz="4" w:space="0" w:color="auto"/>
            </w:tcBorders>
            <w:shd w:val="clear" w:color="auto" w:fill="auto"/>
            <w:noWrap/>
            <w:vAlign w:val="bottom"/>
            <w:hideMark/>
          </w:tcPr>
          <w:p w:rsidR="00E337FD" w:rsidRPr="00AE798B" w:rsidRDefault="00E337FD" w:rsidP="00696DB7">
            <w:pPr>
              <w:spacing w:line="240" w:lineRule="auto"/>
              <w:jc w:val="right"/>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34 577</w:t>
            </w:r>
          </w:p>
        </w:tc>
        <w:tc>
          <w:tcPr>
            <w:tcW w:w="1166" w:type="dxa"/>
            <w:tcBorders>
              <w:top w:val="single" w:sz="8" w:space="0" w:color="auto"/>
              <w:left w:val="nil"/>
              <w:bottom w:val="single" w:sz="4" w:space="0" w:color="auto"/>
              <w:right w:val="single" w:sz="4" w:space="0" w:color="auto"/>
            </w:tcBorders>
            <w:shd w:val="clear" w:color="auto" w:fill="auto"/>
            <w:noWrap/>
            <w:vAlign w:val="bottom"/>
            <w:hideMark/>
          </w:tcPr>
          <w:p w:rsidR="00E337FD" w:rsidRPr="00AE798B" w:rsidRDefault="00E337FD" w:rsidP="00696DB7">
            <w:pPr>
              <w:spacing w:line="240" w:lineRule="auto"/>
              <w:jc w:val="right"/>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33 166</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E337FD" w:rsidRPr="00AE798B" w:rsidRDefault="00E337FD" w:rsidP="00696DB7">
            <w:pPr>
              <w:spacing w:line="240" w:lineRule="auto"/>
              <w:jc w:val="right"/>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58 085</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E337FD" w:rsidRPr="00AE798B" w:rsidRDefault="00E337FD" w:rsidP="00696DB7">
            <w:pPr>
              <w:spacing w:line="240" w:lineRule="auto"/>
              <w:jc w:val="right"/>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7 441</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E337FD" w:rsidRPr="00AE798B" w:rsidRDefault="00E337FD" w:rsidP="00696DB7">
            <w:pPr>
              <w:spacing w:line="240" w:lineRule="auto"/>
              <w:jc w:val="right"/>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46 479</w:t>
            </w:r>
          </w:p>
        </w:tc>
        <w:tc>
          <w:tcPr>
            <w:tcW w:w="850" w:type="dxa"/>
            <w:tcBorders>
              <w:top w:val="single" w:sz="8" w:space="0" w:color="auto"/>
              <w:left w:val="nil"/>
              <w:bottom w:val="single" w:sz="4" w:space="0" w:color="auto"/>
              <w:right w:val="single" w:sz="8" w:space="0" w:color="auto"/>
            </w:tcBorders>
            <w:shd w:val="clear" w:color="auto" w:fill="auto"/>
            <w:noWrap/>
            <w:vAlign w:val="bottom"/>
            <w:hideMark/>
          </w:tcPr>
          <w:p w:rsidR="00E337FD" w:rsidRPr="00AE798B" w:rsidRDefault="00E337FD" w:rsidP="00696DB7">
            <w:pPr>
              <w:spacing w:line="240" w:lineRule="auto"/>
              <w:jc w:val="right"/>
              <w:rPr>
                <w:rFonts w:ascii="Calibri" w:eastAsia="Times New Roman" w:hAnsi="Calibri" w:cs="Times New Roman"/>
                <w:b/>
                <w:bCs/>
                <w:color w:val="000000"/>
                <w:sz w:val="22"/>
                <w:lang w:eastAsia="cs-CZ"/>
              </w:rPr>
            </w:pPr>
            <w:r w:rsidRPr="00AE798B">
              <w:rPr>
                <w:rFonts w:ascii="Calibri" w:eastAsia="Times New Roman" w:hAnsi="Calibri" w:cs="Times New Roman"/>
                <w:b/>
                <w:bCs/>
                <w:color w:val="000000"/>
                <w:sz w:val="22"/>
                <w:lang w:eastAsia="cs-CZ"/>
              </w:rPr>
              <w:t>34 343</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single" w:sz="4" w:space="0" w:color="auto"/>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Praha</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12 161</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7 074</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2 428</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2 122</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3 043</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555</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3 543</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1 733</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SČK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14 853</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10 091</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2 455</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3 425</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5 522</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763</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4 550</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3 530</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JČK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5 206</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3 407</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1 215</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1 215</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1 854</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204</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1 752</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1 741</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PLK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5 219</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3 608</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766</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638</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2 108</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208</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1 883</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1 842</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KVK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5 366</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3 902</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2 095</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622</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2 999</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271</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1 618</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909</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ULK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21 509</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15 421</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6 873</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2 517</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11 447</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1 094</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5 406</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3 852</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LBK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6 105</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4 135</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1 688</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863</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2 405</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321</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1 795</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1 398</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KHK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4 720</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3 047</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1 500</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765</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1 880</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270</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1 510</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1 275</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PAK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4 195</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2 824</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1 190</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565</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1 609</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216</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1 540</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1 448</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Vysočina</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6 642</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4 758</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1 456</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2 057</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1 599</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260</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2 153</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2 112</w:t>
            </w:r>
          </w:p>
        </w:tc>
      </w:tr>
      <w:tr w:rsidR="002A5BFC" w:rsidRPr="00AE798B" w:rsidTr="00586FAC">
        <w:trPr>
          <w:trHeight w:val="300"/>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JMK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20 269</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13 941</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4 420</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5 589</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6 319</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1 098</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5 636</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4 456</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OLK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10 138</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7 348</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2 583</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2 066</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3 616</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517</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3 306</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2 169</w:t>
            </w:r>
          </w:p>
        </w:tc>
      </w:tr>
      <w:tr w:rsidR="002A5BFC" w:rsidRPr="00AE798B" w:rsidTr="00586FAC">
        <w:trPr>
          <w:trHeight w:val="315"/>
        </w:trPr>
        <w:tc>
          <w:tcPr>
            <w:tcW w:w="219" w:type="dxa"/>
            <w:tcBorders>
              <w:top w:val="nil"/>
              <w:left w:val="single" w:sz="8" w:space="0" w:color="auto"/>
              <w:bottom w:val="nil"/>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4"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MSK</w:t>
            </w:r>
          </w:p>
        </w:tc>
        <w:tc>
          <w:tcPr>
            <w:tcW w:w="1030" w:type="dxa"/>
            <w:gridSpan w:val="2"/>
            <w:tcBorders>
              <w:top w:val="nil"/>
              <w:left w:val="double" w:sz="6" w:space="0" w:color="auto"/>
              <w:bottom w:val="single" w:sz="4"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6 904</w:t>
            </w:r>
          </w:p>
        </w:tc>
        <w:tc>
          <w:tcPr>
            <w:tcW w:w="1013" w:type="dxa"/>
            <w:gridSpan w:val="2"/>
            <w:tcBorders>
              <w:top w:val="nil"/>
              <w:left w:val="nil"/>
              <w:bottom w:val="single" w:sz="4"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4 672</w:t>
            </w:r>
          </w:p>
        </w:tc>
        <w:tc>
          <w:tcPr>
            <w:tcW w:w="1244" w:type="dxa"/>
            <w:gridSpan w:val="2"/>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4 935</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9 586</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11 975</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1 414</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9 398</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5 940</w:t>
            </w:r>
          </w:p>
        </w:tc>
      </w:tr>
      <w:tr w:rsidR="002A5BFC" w:rsidRPr="00AE798B" w:rsidTr="00586FAC">
        <w:trPr>
          <w:trHeight w:val="315"/>
        </w:trPr>
        <w:tc>
          <w:tcPr>
            <w:tcW w:w="219" w:type="dxa"/>
            <w:tcBorders>
              <w:top w:val="nil"/>
              <w:left w:val="single" w:sz="8" w:space="0" w:color="auto"/>
              <w:bottom w:val="single" w:sz="8" w:space="0" w:color="auto"/>
              <w:right w:val="single" w:sz="4" w:space="0" w:color="auto"/>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 </w:t>
            </w:r>
          </w:p>
        </w:tc>
        <w:tc>
          <w:tcPr>
            <w:tcW w:w="1150" w:type="dxa"/>
            <w:gridSpan w:val="2"/>
            <w:tcBorders>
              <w:top w:val="nil"/>
              <w:left w:val="nil"/>
              <w:bottom w:val="single" w:sz="8" w:space="0" w:color="auto"/>
              <w:right w:val="nil"/>
            </w:tcBorders>
            <w:shd w:val="clear" w:color="auto" w:fill="auto"/>
            <w:noWrap/>
            <w:vAlign w:val="bottom"/>
            <w:hideMark/>
          </w:tcPr>
          <w:p w:rsidR="002A5BFC" w:rsidRPr="00AE798B" w:rsidRDefault="002A5BFC" w:rsidP="00696DB7">
            <w:pPr>
              <w:spacing w:line="240" w:lineRule="auto"/>
              <w:jc w:val="lef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ZLK</w:t>
            </w:r>
          </w:p>
        </w:tc>
        <w:tc>
          <w:tcPr>
            <w:tcW w:w="1030" w:type="dxa"/>
            <w:gridSpan w:val="2"/>
            <w:tcBorders>
              <w:top w:val="nil"/>
              <w:left w:val="double" w:sz="6" w:space="0" w:color="auto"/>
              <w:bottom w:val="single" w:sz="8" w:space="0" w:color="auto"/>
              <w:right w:val="single" w:sz="4"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30 986</w:t>
            </w:r>
          </w:p>
        </w:tc>
        <w:tc>
          <w:tcPr>
            <w:tcW w:w="1013" w:type="dxa"/>
            <w:gridSpan w:val="2"/>
            <w:tcBorders>
              <w:top w:val="nil"/>
              <w:left w:val="nil"/>
              <w:bottom w:val="single" w:sz="8" w:space="0" w:color="auto"/>
              <w:right w:val="double" w:sz="6" w:space="0" w:color="auto"/>
            </w:tcBorders>
            <w:shd w:val="clear" w:color="auto" w:fill="auto"/>
            <w:noWrap/>
            <w:vAlign w:val="bottom"/>
            <w:hideMark/>
          </w:tcPr>
          <w:p w:rsidR="002A5BFC" w:rsidRPr="002A5BFC" w:rsidRDefault="002A5BFC">
            <w:pPr>
              <w:jc w:val="right"/>
              <w:rPr>
                <w:rFonts w:asciiTheme="minorHAnsi" w:hAnsiTheme="minorHAnsi"/>
                <w:sz w:val="22"/>
              </w:rPr>
            </w:pPr>
            <w:r w:rsidRPr="002A5BFC">
              <w:rPr>
                <w:rFonts w:asciiTheme="minorHAnsi" w:hAnsiTheme="minorHAnsi"/>
                <w:sz w:val="22"/>
              </w:rPr>
              <w:t>22 615</w:t>
            </w:r>
          </w:p>
        </w:tc>
        <w:tc>
          <w:tcPr>
            <w:tcW w:w="1244" w:type="dxa"/>
            <w:gridSpan w:val="2"/>
            <w:tcBorders>
              <w:top w:val="nil"/>
              <w:left w:val="nil"/>
              <w:bottom w:val="single" w:sz="8"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976</w:t>
            </w:r>
          </w:p>
        </w:tc>
        <w:tc>
          <w:tcPr>
            <w:tcW w:w="1166" w:type="dxa"/>
            <w:tcBorders>
              <w:top w:val="nil"/>
              <w:left w:val="nil"/>
              <w:bottom w:val="single" w:sz="8"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1 135</w:t>
            </w:r>
          </w:p>
        </w:tc>
        <w:tc>
          <w:tcPr>
            <w:tcW w:w="992" w:type="dxa"/>
            <w:tcBorders>
              <w:top w:val="nil"/>
              <w:left w:val="nil"/>
              <w:bottom w:val="single" w:sz="8"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1 708</w:t>
            </w:r>
          </w:p>
        </w:tc>
        <w:tc>
          <w:tcPr>
            <w:tcW w:w="993" w:type="dxa"/>
            <w:tcBorders>
              <w:top w:val="nil"/>
              <w:left w:val="nil"/>
              <w:bottom w:val="single" w:sz="8"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250</w:t>
            </w:r>
          </w:p>
        </w:tc>
        <w:tc>
          <w:tcPr>
            <w:tcW w:w="1134" w:type="dxa"/>
            <w:tcBorders>
              <w:top w:val="nil"/>
              <w:left w:val="nil"/>
              <w:bottom w:val="single" w:sz="8" w:space="0" w:color="auto"/>
              <w:right w:val="single" w:sz="4"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2 389</w:t>
            </w:r>
          </w:p>
        </w:tc>
        <w:tc>
          <w:tcPr>
            <w:tcW w:w="850" w:type="dxa"/>
            <w:tcBorders>
              <w:top w:val="nil"/>
              <w:left w:val="nil"/>
              <w:bottom w:val="single" w:sz="8" w:space="0" w:color="auto"/>
              <w:right w:val="single" w:sz="8" w:space="0" w:color="auto"/>
            </w:tcBorders>
            <w:shd w:val="clear" w:color="auto" w:fill="auto"/>
            <w:noWrap/>
            <w:vAlign w:val="bottom"/>
            <w:hideMark/>
          </w:tcPr>
          <w:p w:rsidR="002A5BFC" w:rsidRPr="00AE798B" w:rsidRDefault="002A5BFC" w:rsidP="00696DB7">
            <w:pPr>
              <w:spacing w:line="240" w:lineRule="auto"/>
              <w:jc w:val="right"/>
              <w:rPr>
                <w:rFonts w:ascii="Calibri" w:eastAsia="Times New Roman" w:hAnsi="Calibri" w:cs="Times New Roman"/>
                <w:color w:val="000000"/>
                <w:sz w:val="22"/>
                <w:lang w:eastAsia="cs-CZ"/>
              </w:rPr>
            </w:pPr>
            <w:r w:rsidRPr="00AE798B">
              <w:rPr>
                <w:rFonts w:ascii="Calibri" w:eastAsia="Times New Roman" w:hAnsi="Calibri" w:cs="Times New Roman"/>
                <w:color w:val="000000"/>
                <w:sz w:val="22"/>
                <w:lang w:eastAsia="cs-CZ"/>
              </w:rPr>
              <w:t>1 937</w:t>
            </w:r>
          </w:p>
        </w:tc>
      </w:tr>
      <w:tr w:rsidR="00E337FD" w:rsidRPr="00E164E7" w:rsidTr="00696DB7">
        <w:trPr>
          <w:trHeight w:val="330"/>
        </w:trPr>
        <w:tc>
          <w:tcPr>
            <w:tcW w:w="9791" w:type="dxa"/>
            <w:gridSpan w:val="14"/>
            <w:tcBorders>
              <w:top w:val="single" w:sz="8" w:space="0" w:color="auto"/>
              <w:left w:val="single" w:sz="8" w:space="0" w:color="auto"/>
              <w:bottom w:val="double" w:sz="6" w:space="0" w:color="auto"/>
              <w:right w:val="single" w:sz="8" w:space="0" w:color="000000"/>
            </w:tcBorders>
            <w:shd w:val="clear" w:color="auto" w:fill="auto"/>
            <w:noWrap/>
            <w:vAlign w:val="center"/>
            <w:hideMark/>
          </w:tcPr>
          <w:p w:rsidR="00E337FD" w:rsidRPr="00E164E7" w:rsidRDefault="00E337FD" w:rsidP="002F443B">
            <w:pPr>
              <w:spacing w:line="240" w:lineRule="auto"/>
              <w:jc w:val="center"/>
              <w:rPr>
                <w:rFonts w:ascii="Calibri" w:eastAsia="Times New Roman" w:hAnsi="Calibri" w:cs="Times New Roman"/>
                <w:b/>
                <w:bCs/>
                <w:color w:val="000000"/>
                <w:szCs w:val="24"/>
                <w:lang w:eastAsia="cs-CZ"/>
              </w:rPr>
            </w:pPr>
            <w:r w:rsidRPr="00E164E7">
              <w:rPr>
                <w:rFonts w:ascii="Calibri" w:eastAsia="Times New Roman" w:hAnsi="Calibri" w:cs="Times New Roman"/>
                <w:b/>
                <w:bCs/>
                <w:color w:val="000000"/>
                <w:szCs w:val="24"/>
                <w:lang w:eastAsia="cs-CZ"/>
              </w:rPr>
              <w:t xml:space="preserve">Odhad struktury dlouhodobě evidovaných uchazečů o zaměstnání </w:t>
            </w:r>
            <w:r w:rsidR="002F443B">
              <w:rPr>
                <w:rFonts w:ascii="Calibri" w:eastAsia="Times New Roman" w:hAnsi="Calibri" w:cs="Times New Roman"/>
                <w:b/>
                <w:bCs/>
                <w:color w:val="000000"/>
                <w:szCs w:val="24"/>
                <w:lang w:eastAsia="cs-CZ"/>
              </w:rPr>
              <w:t xml:space="preserve">- </w:t>
            </w:r>
            <w:r>
              <w:rPr>
                <w:rFonts w:ascii="Calibri" w:eastAsia="Times New Roman" w:hAnsi="Calibri" w:cs="Times New Roman"/>
                <w:b/>
                <w:bCs/>
                <w:color w:val="000000"/>
                <w:szCs w:val="24"/>
                <w:lang w:eastAsia="cs-CZ"/>
              </w:rPr>
              <w:t>podíly</w:t>
            </w:r>
          </w:p>
        </w:tc>
      </w:tr>
      <w:tr w:rsidR="00E337FD" w:rsidRPr="00E164E7" w:rsidTr="00696DB7">
        <w:trPr>
          <w:trHeight w:val="315"/>
        </w:trPr>
        <w:tc>
          <w:tcPr>
            <w:tcW w:w="1460" w:type="dxa"/>
            <w:gridSpan w:val="4"/>
            <w:vMerge w:val="restart"/>
            <w:tcBorders>
              <w:top w:val="double" w:sz="6" w:space="0" w:color="auto"/>
              <w:left w:val="single" w:sz="8" w:space="0" w:color="auto"/>
              <w:bottom w:val="nil"/>
              <w:right w:val="nil"/>
            </w:tcBorders>
            <w:shd w:val="clear" w:color="auto" w:fill="auto"/>
            <w:noWrap/>
            <w:vAlign w:val="center"/>
            <w:hideMark/>
          </w:tcPr>
          <w:p w:rsidR="00E337FD" w:rsidRPr="00E164E7" w:rsidRDefault="00E337FD" w:rsidP="00696DB7">
            <w:pPr>
              <w:spacing w:line="240" w:lineRule="auto"/>
              <w:jc w:val="center"/>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Kraj</w:t>
            </w:r>
          </w:p>
        </w:tc>
        <w:tc>
          <w:tcPr>
            <w:tcW w:w="2236" w:type="dxa"/>
            <w:gridSpan w:val="4"/>
            <w:tcBorders>
              <w:top w:val="double" w:sz="6" w:space="0" w:color="auto"/>
              <w:left w:val="double" w:sz="6" w:space="0" w:color="auto"/>
              <w:bottom w:val="nil"/>
              <w:right w:val="double" w:sz="6" w:space="0" w:color="000000"/>
            </w:tcBorders>
            <w:shd w:val="clear" w:color="auto" w:fill="auto"/>
            <w:noWrap/>
            <w:hideMark/>
          </w:tcPr>
          <w:p w:rsidR="00E337FD" w:rsidRPr="00E164E7" w:rsidRDefault="00E337FD" w:rsidP="00696DB7">
            <w:pPr>
              <w:spacing w:line="240" w:lineRule="auto"/>
              <w:jc w:val="center"/>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 xml:space="preserve">počet </w:t>
            </w:r>
            <w:proofErr w:type="spellStart"/>
            <w:r w:rsidRPr="00E164E7">
              <w:rPr>
                <w:rFonts w:ascii="Calibri" w:eastAsia="Times New Roman" w:hAnsi="Calibri" w:cs="Times New Roman"/>
                <w:b/>
                <w:bCs/>
                <w:color w:val="000000"/>
                <w:sz w:val="22"/>
                <w:lang w:eastAsia="cs-CZ"/>
              </w:rPr>
              <w:t>UoZ</w:t>
            </w:r>
            <w:proofErr w:type="spellEnd"/>
            <w:r w:rsidRPr="00E164E7">
              <w:rPr>
                <w:rFonts w:ascii="Calibri" w:eastAsia="Times New Roman" w:hAnsi="Calibri" w:cs="Times New Roman"/>
                <w:b/>
                <w:bCs/>
                <w:color w:val="000000"/>
                <w:sz w:val="22"/>
                <w:lang w:eastAsia="cs-CZ"/>
              </w:rPr>
              <w:t xml:space="preserve"> nad 12 M</w:t>
            </w:r>
          </w:p>
        </w:tc>
        <w:tc>
          <w:tcPr>
            <w:tcW w:w="6095" w:type="dxa"/>
            <w:gridSpan w:val="6"/>
            <w:tcBorders>
              <w:top w:val="double" w:sz="6" w:space="0" w:color="auto"/>
              <w:left w:val="nil"/>
              <w:bottom w:val="nil"/>
              <w:right w:val="single" w:sz="8" w:space="0" w:color="000000"/>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 xml:space="preserve">kvalifikovaný odhad podílu níže uvedených skupin na </w:t>
            </w:r>
            <w:proofErr w:type="spellStart"/>
            <w:r w:rsidRPr="00E164E7">
              <w:rPr>
                <w:rFonts w:ascii="Calibri" w:eastAsia="Times New Roman" w:hAnsi="Calibri" w:cs="Times New Roman"/>
                <w:b/>
                <w:bCs/>
                <w:color w:val="000000"/>
                <w:sz w:val="22"/>
                <w:lang w:eastAsia="cs-CZ"/>
              </w:rPr>
              <w:t>UoZ</w:t>
            </w:r>
            <w:proofErr w:type="spellEnd"/>
            <w:r w:rsidRPr="00E164E7">
              <w:rPr>
                <w:rFonts w:ascii="Calibri" w:eastAsia="Times New Roman" w:hAnsi="Calibri" w:cs="Times New Roman"/>
                <w:b/>
                <w:bCs/>
                <w:color w:val="000000"/>
                <w:sz w:val="22"/>
                <w:lang w:eastAsia="cs-CZ"/>
              </w:rPr>
              <w:t xml:space="preserve"> nad 12M</w:t>
            </w:r>
          </w:p>
        </w:tc>
      </w:tr>
      <w:tr w:rsidR="00E337FD" w:rsidRPr="00E164E7" w:rsidTr="00696DB7">
        <w:trPr>
          <w:trHeight w:val="315"/>
        </w:trPr>
        <w:tc>
          <w:tcPr>
            <w:tcW w:w="1460" w:type="dxa"/>
            <w:gridSpan w:val="4"/>
            <w:vMerge/>
            <w:tcBorders>
              <w:top w:val="double" w:sz="6" w:space="0" w:color="auto"/>
              <w:left w:val="single" w:sz="8" w:space="0" w:color="auto"/>
              <w:bottom w:val="nil"/>
              <w:right w:val="nil"/>
            </w:tcBorders>
            <w:vAlign w:val="center"/>
            <w:hideMark/>
          </w:tcPr>
          <w:p w:rsidR="00E337FD" w:rsidRPr="00E164E7" w:rsidRDefault="00E337FD" w:rsidP="00696DB7">
            <w:pPr>
              <w:spacing w:line="240" w:lineRule="auto"/>
              <w:jc w:val="left"/>
              <w:rPr>
                <w:rFonts w:ascii="Calibri" w:eastAsia="Times New Roman" w:hAnsi="Calibri" w:cs="Times New Roman"/>
                <w:b/>
                <w:bCs/>
                <w:color w:val="000000"/>
                <w:sz w:val="22"/>
                <w:lang w:eastAsia="cs-CZ"/>
              </w:rPr>
            </w:pPr>
          </w:p>
        </w:tc>
        <w:tc>
          <w:tcPr>
            <w:tcW w:w="984" w:type="dxa"/>
            <w:gridSpan w:val="2"/>
            <w:tcBorders>
              <w:top w:val="nil"/>
              <w:left w:val="double" w:sz="6" w:space="0" w:color="auto"/>
              <w:bottom w:val="nil"/>
              <w:right w:val="nil"/>
            </w:tcBorders>
            <w:shd w:val="clear" w:color="auto" w:fill="auto"/>
            <w:noWrap/>
            <w:vAlign w:val="bottom"/>
            <w:hideMark/>
          </w:tcPr>
          <w:p w:rsidR="00E337FD" w:rsidRPr="00E164E7" w:rsidRDefault="00E337FD"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252" w:type="dxa"/>
            <w:gridSpan w:val="2"/>
            <w:tcBorders>
              <w:top w:val="dashed" w:sz="4" w:space="0" w:color="auto"/>
              <w:left w:val="dashed" w:sz="4" w:space="0" w:color="auto"/>
              <w:bottom w:val="nil"/>
              <w:right w:val="double" w:sz="6" w:space="0" w:color="auto"/>
            </w:tcBorders>
            <w:shd w:val="clear" w:color="auto" w:fill="auto"/>
            <w:noWrap/>
            <w:vAlign w:val="bottom"/>
            <w:hideMark/>
          </w:tcPr>
          <w:p w:rsidR="00E337FD" w:rsidRPr="00E164E7" w:rsidRDefault="00E337FD"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xml:space="preserve"> % nad 24M</w:t>
            </w:r>
          </w:p>
        </w:tc>
        <w:tc>
          <w:tcPr>
            <w:tcW w:w="960" w:type="dxa"/>
            <w:tcBorders>
              <w:top w:val="dashed" w:sz="4" w:space="0" w:color="auto"/>
              <w:left w:val="nil"/>
              <w:bottom w:val="nil"/>
              <w:right w:val="single" w:sz="4" w:space="0" w:color="auto"/>
            </w:tcBorders>
            <w:shd w:val="clear" w:color="auto" w:fill="auto"/>
            <w:noWrap/>
            <w:vAlign w:val="bottom"/>
            <w:hideMark/>
          </w:tcPr>
          <w:p w:rsidR="00E337FD" w:rsidRPr="00E164E7" w:rsidRDefault="00E337FD"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exekuce</w:t>
            </w:r>
          </w:p>
        </w:tc>
        <w:tc>
          <w:tcPr>
            <w:tcW w:w="1166" w:type="dxa"/>
            <w:tcBorders>
              <w:top w:val="dashed" w:sz="4" w:space="0" w:color="auto"/>
              <w:left w:val="nil"/>
              <w:bottom w:val="nil"/>
              <w:right w:val="single" w:sz="4" w:space="0" w:color="auto"/>
            </w:tcBorders>
            <w:shd w:val="clear" w:color="auto" w:fill="auto"/>
            <w:noWrap/>
            <w:vAlign w:val="bottom"/>
            <w:hideMark/>
          </w:tcPr>
          <w:p w:rsidR="00E337FD" w:rsidRPr="00E164E7" w:rsidRDefault="00E337FD"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xml:space="preserve">§25 </w:t>
            </w:r>
            <w:proofErr w:type="gramStart"/>
            <w:r w:rsidRPr="00E164E7">
              <w:rPr>
                <w:rFonts w:ascii="Calibri" w:eastAsia="Times New Roman" w:hAnsi="Calibri" w:cs="Times New Roman"/>
                <w:color w:val="000000"/>
                <w:sz w:val="22"/>
                <w:lang w:eastAsia="cs-CZ"/>
              </w:rPr>
              <w:t>odst.3</w:t>
            </w:r>
            <w:proofErr w:type="gramEnd"/>
          </w:p>
        </w:tc>
        <w:tc>
          <w:tcPr>
            <w:tcW w:w="992" w:type="dxa"/>
            <w:tcBorders>
              <w:top w:val="dashed" w:sz="4" w:space="0" w:color="auto"/>
              <w:left w:val="nil"/>
              <w:bottom w:val="nil"/>
              <w:right w:val="single" w:sz="4" w:space="0" w:color="auto"/>
            </w:tcBorders>
            <w:shd w:val="clear" w:color="auto" w:fill="auto"/>
            <w:noWrap/>
            <w:vAlign w:val="bottom"/>
            <w:hideMark/>
          </w:tcPr>
          <w:p w:rsidR="00E337FD" w:rsidRPr="00E164E7" w:rsidRDefault="00E337FD"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max. ZŠ</w:t>
            </w:r>
          </w:p>
        </w:tc>
        <w:tc>
          <w:tcPr>
            <w:tcW w:w="993" w:type="dxa"/>
            <w:tcBorders>
              <w:top w:val="dashed" w:sz="4" w:space="0" w:color="auto"/>
              <w:left w:val="nil"/>
              <w:bottom w:val="nil"/>
              <w:right w:val="single" w:sz="4" w:space="0" w:color="auto"/>
            </w:tcBorders>
            <w:shd w:val="clear" w:color="auto" w:fill="auto"/>
            <w:noWrap/>
            <w:vAlign w:val="bottom"/>
            <w:hideMark/>
          </w:tcPr>
          <w:p w:rsidR="00E337FD" w:rsidRPr="00E164E7" w:rsidRDefault="00E337FD"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do 25 let</w:t>
            </w:r>
          </w:p>
        </w:tc>
        <w:tc>
          <w:tcPr>
            <w:tcW w:w="1134" w:type="dxa"/>
            <w:tcBorders>
              <w:top w:val="dashed" w:sz="4" w:space="0" w:color="auto"/>
              <w:left w:val="nil"/>
              <w:bottom w:val="nil"/>
              <w:right w:val="single" w:sz="4" w:space="0" w:color="auto"/>
            </w:tcBorders>
            <w:shd w:val="clear" w:color="auto" w:fill="auto"/>
            <w:noWrap/>
            <w:vAlign w:val="bottom"/>
            <w:hideMark/>
          </w:tcPr>
          <w:p w:rsidR="00E337FD" w:rsidRPr="00E164E7" w:rsidRDefault="00E337FD"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nad 55 let</w:t>
            </w:r>
          </w:p>
        </w:tc>
        <w:tc>
          <w:tcPr>
            <w:tcW w:w="850" w:type="dxa"/>
            <w:tcBorders>
              <w:top w:val="dashed" w:sz="4" w:space="0" w:color="auto"/>
              <w:left w:val="nil"/>
              <w:bottom w:val="nil"/>
              <w:right w:val="single" w:sz="8" w:space="0" w:color="auto"/>
            </w:tcBorders>
            <w:shd w:val="clear" w:color="auto" w:fill="auto"/>
            <w:noWrap/>
            <w:vAlign w:val="bottom"/>
            <w:hideMark/>
          </w:tcPr>
          <w:p w:rsidR="00E337FD" w:rsidRPr="00E164E7" w:rsidRDefault="00E337FD"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OZP</w:t>
            </w:r>
          </w:p>
        </w:tc>
      </w:tr>
      <w:tr w:rsidR="002A5BFC" w:rsidRPr="00E164E7" w:rsidTr="002A5BFC">
        <w:trPr>
          <w:trHeight w:val="300"/>
        </w:trPr>
        <w:tc>
          <w:tcPr>
            <w:tcW w:w="381" w:type="dxa"/>
            <w:gridSpan w:val="2"/>
            <w:tcBorders>
              <w:top w:val="single" w:sz="8" w:space="0" w:color="auto"/>
              <w:left w:val="single" w:sz="8" w:space="0" w:color="auto"/>
              <w:bottom w:val="nil"/>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ČR</w:t>
            </w:r>
          </w:p>
        </w:tc>
        <w:tc>
          <w:tcPr>
            <w:tcW w:w="1079" w:type="dxa"/>
            <w:gridSpan w:val="2"/>
            <w:tcBorders>
              <w:top w:val="single" w:sz="8" w:space="0" w:color="auto"/>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 </w:t>
            </w:r>
          </w:p>
        </w:tc>
        <w:tc>
          <w:tcPr>
            <w:tcW w:w="984" w:type="dxa"/>
            <w:gridSpan w:val="2"/>
            <w:tcBorders>
              <w:top w:val="single" w:sz="8" w:space="0" w:color="auto"/>
              <w:left w:val="double" w:sz="6" w:space="0" w:color="auto"/>
              <w:bottom w:val="single" w:sz="4" w:space="0" w:color="auto"/>
              <w:right w:val="single" w:sz="4" w:space="0" w:color="auto"/>
            </w:tcBorders>
            <w:shd w:val="clear" w:color="auto" w:fill="auto"/>
            <w:noWrap/>
            <w:vAlign w:val="center"/>
            <w:hideMark/>
          </w:tcPr>
          <w:p w:rsidR="002A5BFC" w:rsidRPr="002A5BFC" w:rsidRDefault="003B34DF" w:rsidP="002A5BFC">
            <w:pPr>
              <w:spacing w:line="240" w:lineRule="auto"/>
              <w:jc w:val="right"/>
              <w:rPr>
                <w:rFonts w:asciiTheme="minorHAnsi" w:eastAsia="Times New Roman" w:hAnsiTheme="minorHAnsi" w:cs="Times New Roman"/>
                <w:b/>
                <w:bCs/>
                <w:color w:val="000000"/>
                <w:sz w:val="22"/>
                <w:lang w:eastAsia="cs-CZ"/>
              </w:rPr>
            </w:pPr>
            <w:r>
              <w:rPr>
                <w:rFonts w:asciiTheme="minorHAnsi" w:eastAsia="Times New Roman" w:hAnsiTheme="minorHAnsi" w:cs="Times New Roman"/>
                <w:b/>
                <w:bCs/>
                <w:color w:val="000000"/>
                <w:sz w:val="22"/>
                <w:lang w:eastAsia="cs-CZ"/>
              </w:rPr>
              <w:t>154 273</w:t>
            </w:r>
          </w:p>
        </w:tc>
        <w:tc>
          <w:tcPr>
            <w:tcW w:w="1252" w:type="dxa"/>
            <w:gridSpan w:val="2"/>
            <w:tcBorders>
              <w:top w:val="single" w:sz="8" w:space="0" w:color="auto"/>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b/>
                <w:sz w:val="22"/>
              </w:rPr>
            </w:pPr>
            <w:r w:rsidRPr="002A5BFC">
              <w:rPr>
                <w:rFonts w:asciiTheme="minorHAnsi" w:hAnsiTheme="minorHAnsi"/>
                <w:b/>
                <w:sz w:val="22"/>
              </w:rPr>
              <w:t>69,3 %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21,9%</w:t>
            </w:r>
          </w:p>
        </w:tc>
        <w:tc>
          <w:tcPr>
            <w:tcW w:w="1166" w:type="dxa"/>
            <w:tcBorders>
              <w:top w:val="single" w:sz="8" w:space="0" w:color="auto"/>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21,0%</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36,7%</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4,7%</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29,4%</w:t>
            </w:r>
          </w:p>
        </w:tc>
        <w:tc>
          <w:tcPr>
            <w:tcW w:w="850" w:type="dxa"/>
            <w:tcBorders>
              <w:top w:val="single" w:sz="8" w:space="0" w:color="auto"/>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21,7%</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Praha</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12 161</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58,2%</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19,3%</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16,9%</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24,2%</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4,4%</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28,2%</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13,8%</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SČK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14 853</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67,9%</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16,0%</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22,4%</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36,1%</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5,0%</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29,7%</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23,1%</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JČK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5 206</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65,4%</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22,6%</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22,6%</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34,5%</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3,8%</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32,6%</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32,4%</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PLK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5 219</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69,1%</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Pr>
                <w:rFonts w:ascii="Calibri" w:eastAsia="Times New Roman" w:hAnsi="Calibri" w:cs="Times New Roman"/>
                <w:color w:val="000000"/>
                <w:sz w:val="22"/>
                <w:lang w:eastAsia="cs-CZ"/>
              </w:rPr>
              <w:t>14,1</w:t>
            </w:r>
            <w:r w:rsidRPr="00E164E7">
              <w:rPr>
                <w:rFonts w:ascii="Calibri" w:eastAsia="Times New Roman" w:hAnsi="Calibri" w:cs="Times New Roman"/>
                <w:color w:val="000000"/>
                <w:sz w:val="22"/>
                <w:lang w:eastAsia="cs-CZ"/>
              </w:rPr>
              <w:t>%</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D75428">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11,</w:t>
            </w:r>
            <w:r>
              <w:rPr>
                <w:rFonts w:ascii="Calibri" w:eastAsia="Times New Roman" w:hAnsi="Calibri" w:cs="Times New Roman"/>
                <w:color w:val="000000"/>
                <w:sz w:val="22"/>
                <w:lang w:eastAsia="cs-CZ"/>
              </w:rPr>
              <w:t xml:space="preserve">7 </w:t>
            </w:r>
            <w:r w:rsidRPr="00E164E7">
              <w:rPr>
                <w:rFonts w:ascii="Calibri" w:eastAsia="Times New Roman" w:hAnsi="Calibri" w:cs="Times New Roman"/>
                <w:color w:val="000000"/>
                <w:sz w:val="22"/>
                <w:lang w:eastAsia="cs-CZ"/>
              </w:rPr>
              <w:t>%</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38,</w:t>
            </w:r>
            <w:r>
              <w:rPr>
                <w:rFonts w:ascii="Calibri" w:eastAsia="Times New Roman" w:hAnsi="Calibri" w:cs="Times New Roman"/>
                <w:color w:val="000000"/>
                <w:sz w:val="22"/>
                <w:lang w:eastAsia="cs-CZ"/>
              </w:rPr>
              <w:t>7</w:t>
            </w:r>
            <w:r w:rsidRPr="00E164E7">
              <w:rPr>
                <w:rFonts w:ascii="Calibri" w:eastAsia="Times New Roman" w:hAnsi="Calibri" w:cs="Times New Roman"/>
                <w:color w:val="000000"/>
                <w:sz w:val="22"/>
                <w:lang w:eastAsia="cs-CZ"/>
              </w:rPr>
              <w:t>%</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3,8%</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D75428">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34,</w:t>
            </w:r>
            <w:r>
              <w:rPr>
                <w:rFonts w:ascii="Calibri" w:eastAsia="Times New Roman" w:hAnsi="Calibri" w:cs="Times New Roman"/>
                <w:color w:val="000000"/>
                <w:sz w:val="22"/>
                <w:lang w:eastAsia="cs-CZ"/>
              </w:rPr>
              <w:t xml:space="preserve">5 </w:t>
            </w:r>
            <w:r w:rsidRPr="00E164E7">
              <w:rPr>
                <w:rFonts w:ascii="Calibri" w:eastAsia="Times New Roman" w:hAnsi="Calibri" w:cs="Times New Roman"/>
                <w:color w:val="000000"/>
                <w:sz w:val="22"/>
                <w:lang w:eastAsia="cs-CZ"/>
              </w:rPr>
              <w:t>%</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5B0DAF">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33,</w:t>
            </w:r>
            <w:r>
              <w:rPr>
                <w:rFonts w:ascii="Calibri" w:eastAsia="Times New Roman" w:hAnsi="Calibri" w:cs="Times New Roman"/>
                <w:color w:val="000000"/>
                <w:sz w:val="22"/>
                <w:lang w:eastAsia="cs-CZ"/>
              </w:rPr>
              <w:t xml:space="preserve">8 </w:t>
            </w:r>
            <w:r w:rsidRPr="00E164E7">
              <w:rPr>
                <w:rFonts w:ascii="Calibri" w:eastAsia="Times New Roman" w:hAnsi="Calibri" w:cs="Times New Roman"/>
                <w:color w:val="000000"/>
                <w:sz w:val="22"/>
                <w:lang w:eastAsia="cs-CZ"/>
              </w:rPr>
              <w:t>%</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KVK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5 366</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72,7%</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w:t>
            </w:r>
            <w:r>
              <w:rPr>
                <w:rFonts w:ascii="Calibri" w:eastAsia="Times New Roman" w:hAnsi="Calibri" w:cs="Times New Roman"/>
                <w:color w:val="000000"/>
                <w:sz w:val="22"/>
                <w:lang w:eastAsia="cs-CZ"/>
              </w:rPr>
              <w:t>7</w:t>
            </w:r>
            <w:r w:rsidRPr="00E164E7">
              <w:rPr>
                <w:rFonts w:ascii="Calibri" w:eastAsia="Times New Roman" w:hAnsi="Calibri" w:cs="Times New Roman"/>
                <w:color w:val="000000"/>
                <w:sz w:val="22"/>
                <w:lang w:eastAsia="cs-CZ"/>
              </w:rPr>
              <w:t>,</w:t>
            </w:r>
            <w:r>
              <w:rPr>
                <w:rFonts w:ascii="Calibri" w:eastAsia="Times New Roman" w:hAnsi="Calibri" w:cs="Times New Roman"/>
                <w:color w:val="000000"/>
                <w:sz w:val="22"/>
                <w:lang w:eastAsia="cs-CZ"/>
              </w:rPr>
              <w:t xml:space="preserve">6 </w:t>
            </w:r>
            <w:r w:rsidRPr="00E164E7">
              <w:rPr>
                <w:rFonts w:ascii="Calibri" w:eastAsia="Times New Roman" w:hAnsi="Calibri" w:cs="Times New Roman"/>
                <w:color w:val="000000"/>
                <w:sz w:val="22"/>
                <w:lang w:eastAsia="cs-CZ"/>
              </w:rPr>
              <w:t>%</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11,</w:t>
            </w:r>
            <w:r>
              <w:rPr>
                <w:rFonts w:ascii="Calibri" w:eastAsia="Times New Roman" w:hAnsi="Calibri" w:cs="Times New Roman"/>
                <w:color w:val="000000"/>
                <w:sz w:val="22"/>
                <w:lang w:eastAsia="cs-CZ"/>
              </w:rPr>
              <w:t xml:space="preserve">1 </w:t>
            </w:r>
            <w:r w:rsidRPr="00E164E7">
              <w:rPr>
                <w:rFonts w:ascii="Calibri" w:eastAsia="Times New Roman" w:hAnsi="Calibri" w:cs="Times New Roman"/>
                <w:color w:val="000000"/>
                <w:sz w:val="22"/>
                <w:lang w:eastAsia="cs-CZ"/>
              </w:rPr>
              <w:t>%</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5</w:t>
            </w:r>
            <w:r>
              <w:rPr>
                <w:rFonts w:ascii="Calibri" w:eastAsia="Times New Roman" w:hAnsi="Calibri" w:cs="Times New Roman"/>
                <w:color w:val="000000"/>
                <w:sz w:val="22"/>
                <w:lang w:eastAsia="cs-CZ"/>
              </w:rPr>
              <w:t>3</w:t>
            </w:r>
            <w:r w:rsidRPr="00E164E7">
              <w:rPr>
                <w:rFonts w:ascii="Calibri" w:eastAsia="Times New Roman" w:hAnsi="Calibri" w:cs="Times New Roman"/>
                <w:color w:val="000000"/>
                <w:sz w:val="22"/>
                <w:lang w:eastAsia="cs-CZ"/>
              </w:rPr>
              <w:t>,</w:t>
            </w:r>
            <w:r>
              <w:rPr>
                <w:rFonts w:ascii="Calibri" w:eastAsia="Times New Roman" w:hAnsi="Calibri" w:cs="Times New Roman"/>
                <w:color w:val="000000"/>
                <w:sz w:val="22"/>
                <w:lang w:eastAsia="cs-CZ"/>
              </w:rPr>
              <w:t xml:space="preserve">8 </w:t>
            </w:r>
            <w:r w:rsidRPr="00E164E7">
              <w:rPr>
                <w:rFonts w:ascii="Calibri" w:eastAsia="Times New Roman" w:hAnsi="Calibri" w:cs="Times New Roman"/>
                <w:color w:val="000000"/>
                <w:sz w:val="22"/>
                <w:lang w:eastAsia="cs-CZ"/>
              </w:rPr>
              <w:t>%</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Pr>
                <w:rFonts w:ascii="Calibri" w:eastAsia="Times New Roman" w:hAnsi="Calibri" w:cs="Times New Roman"/>
                <w:color w:val="000000"/>
                <w:sz w:val="22"/>
                <w:lang w:eastAsia="cs-CZ"/>
              </w:rPr>
              <w:t>4</w:t>
            </w:r>
            <w:r w:rsidRPr="00E164E7">
              <w:rPr>
                <w:rFonts w:ascii="Calibri" w:eastAsia="Times New Roman" w:hAnsi="Calibri" w:cs="Times New Roman"/>
                <w:color w:val="000000"/>
                <w:sz w:val="22"/>
                <w:lang w:eastAsia="cs-CZ"/>
              </w:rPr>
              <w:t>,</w:t>
            </w:r>
            <w:r>
              <w:rPr>
                <w:rFonts w:ascii="Calibri" w:eastAsia="Times New Roman" w:hAnsi="Calibri" w:cs="Times New Roman"/>
                <w:color w:val="000000"/>
                <w:sz w:val="22"/>
                <w:lang w:eastAsia="cs-CZ"/>
              </w:rPr>
              <w:t xml:space="preserve">9 </w:t>
            </w:r>
            <w:r w:rsidRPr="00E164E7">
              <w:rPr>
                <w:rFonts w:ascii="Calibri" w:eastAsia="Times New Roman" w:hAnsi="Calibri" w:cs="Times New Roman"/>
                <w:color w:val="000000"/>
                <w:sz w:val="22"/>
                <w:lang w:eastAsia="cs-CZ"/>
              </w:rPr>
              <w:t>%</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29,</w:t>
            </w:r>
            <w:r>
              <w:rPr>
                <w:rFonts w:ascii="Calibri" w:eastAsia="Times New Roman" w:hAnsi="Calibri" w:cs="Times New Roman"/>
                <w:color w:val="000000"/>
                <w:sz w:val="22"/>
                <w:lang w:eastAsia="cs-CZ"/>
              </w:rPr>
              <w:t xml:space="preserve">0 </w:t>
            </w:r>
            <w:r w:rsidRPr="00E164E7">
              <w:rPr>
                <w:rFonts w:ascii="Calibri" w:eastAsia="Times New Roman" w:hAnsi="Calibri" w:cs="Times New Roman"/>
                <w:color w:val="000000"/>
                <w:sz w:val="22"/>
                <w:lang w:eastAsia="cs-CZ"/>
              </w:rPr>
              <w:t>%</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16,</w:t>
            </w:r>
            <w:r>
              <w:rPr>
                <w:rFonts w:ascii="Calibri" w:eastAsia="Times New Roman" w:hAnsi="Calibri" w:cs="Times New Roman"/>
                <w:color w:val="000000"/>
                <w:sz w:val="22"/>
                <w:lang w:eastAsia="cs-CZ"/>
              </w:rPr>
              <w:t xml:space="preserve">3 </w:t>
            </w:r>
            <w:r w:rsidRPr="00E164E7">
              <w:rPr>
                <w:rFonts w:ascii="Calibri" w:eastAsia="Times New Roman" w:hAnsi="Calibri" w:cs="Times New Roman"/>
                <w:color w:val="000000"/>
                <w:sz w:val="22"/>
                <w:lang w:eastAsia="cs-CZ"/>
              </w:rPr>
              <w:t>%</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ULK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21 509</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71,7%</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31,4%</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11,5%</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52,3%</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5,0%</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24,7%</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17,6%</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LBK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6 105</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67,7%</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26,8%</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13,7%</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38,2%</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5,1%</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28,5%</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22,2%</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KHK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4 720</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64,6%</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w:t>
            </w:r>
            <w:r>
              <w:rPr>
                <w:rFonts w:ascii="Calibri" w:eastAsia="Times New Roman" w:hAnsi="Calibri" w:cs="Times New Roman"/>
                <w:color w:val="000000"/>
                <w:sz w:val="22"/>
                <w:lang w:eastAsia="cs-CZ"/>
              </w:rPr>
              <w:t>6</w:t>
            </w:r>
            <w:r w:rsidRPr="00E164E7">
              <w:rPr>
                <w:rFonts w:ascii="Calibri" w:eastAsia="Times New Roman" w:hAnsi="Calibri" w:cs="Times New Roman"/>
                <w:color w:val="000000"/>
                <w:sz w:val="22"/>
                <w:lang w:eastAsia="cs-CZ"/>
              </w:rPr>
              <w:t>,9%</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w:t>
            </w:r>
            <w:r>
              <w:rPr>
                <w:rFonts w:ascii="Calibri" w:eastAsia="Times New Roman" w:hAnsi="Calibri" w:cs="Times New Roman"/>
                <w:color w:val="000000"/>
                <w:sz w:val="22"/>
                <w:lang w:eastAsia="cs-CZ"/>
              </w:rPr>
              <w:t>3</w:t>
            </w:r>
            <w:r w:rsidRPr="00E164E7">
              <w:rPr>
                <w:rFonts w:ascii="Calibri" w:eastAsia="Times New Roman" w:hAnsi="Calibri" w:cs="Times New Roman"/>
                <w:color w:val="000000"/>
                <w:sz w:val="22"/>
                <w:lang w:eastAsia="cs-CZ"/>
              </w:rPr>
              <w:t>,</w:t>
            </w:r>
            <w:r>
              <w:rPr>
                <w:rFonts w:ascii="Calibri" w:eastAsia="Times New Roman" w:hAnsi="Calibri" w:cs="Times New Roman"/>
                <w:color w:val="000000"/>
                <w:sz w:val="22"/>
                <w:lang w:eastAsia="cs-CZ"/>
              </w:rPr>
              <w:t xml:space="preserve">7 </w:t>
            </w:r>
            <w:r w:rsidRPr="00E164E7">
              <w:rPr>
                <w:rFonts w:ascii="Calibri" w:eastAsia="Times New Roman" w:hAnsi="Calibri" w:cs="Times New Roman"/>
                <w:color w:val="000000"/>
                <w:sz w:val="22"/>
                <w:lang w:eastAsia="cs-CZ"/>
              </w:rPr>
              <w:t>%</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37,4%</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5,</w:t>
            </w:r>
            <w:r>
              <w:rPr>
                <w:rFonts w:ascii="Calibri" w:eastAsia="Times New Roman" w:hAnsi="Calibri" w:cs="Times New Roman"/>
                <w:color w:val="000000"/>
                <w:sz w:val="22"/>
                <w:lang w:eastAsia="cs-CZ"/>
              </w:rPr>
              <w:t xml:space="preserve">6 </w:t>
            </w:r>
            <w:r w:rsidRPr="00E164E7">
              <w:rPr>
                <w:rFonts w:ascii="Calibri" w:eastAsia="Times New Roman" w:hAnsi="Calibri" w:cs="Times New Roman"/>
                <w:color w:val="000000"/>
                <w:sz w:val="22"/>
                <w:lang w:eastAsia="cs-CZ"/>
              </w:rPr>
              <w:t>%</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w:t>
            </w:r>
            <w:r>
              <w:rPr>
                <w:rFonts w:ascii="Calibri" w:eastAsia="Times New Roman" w:hAnsi="Calibri" w:cs="Times New Roman"/>
                <w:color w:val="000000"/>
                <w:sz w:val="22"/>
                <w:lang w:eastAsia="cs-CZ"/>
              </w:rPr>
              <w:t>1</w:t>
            </w:r>
            <w:r w:rsidRPr="00E164E7">
              <w:rPr>
                <w:rFonts w:ascii="Calibri" w:eastAsia="Times New Roman" w:hAnsi="Calibri" w:cs="Times New Roman"/>
                <w:color w:val="000000"/>
                <w:sz w:val="22"/>
                <w:lang w:eastAsia="cs-CZ"/>
              </w:rPr>
              <w:t>,1%</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w:t>
            </w:r>
            <w:r>
              <w:rPr>
                <w:rFonts w:ascii="Calibri" w:eastAsia="Times New Roman" w:hAnsi="Calibri" w:cs="Times New Roman"/>
                <w:color w:val="000000"/>
                <w:sz w:val="22"/>
                <w:lang w:eastAsia="cs-CZ"/>
              </w:rPr>
              <w:t>6</w:t>
            </w:r>
            <w:r w:rsidRPr="00E164E7">
              <w:rPr>
                <w:rFonts w:ascii="Calibri" w:eastAsia="Times New Roman" w:hAnsi="Calibri" w:cs="Times New Roman"/>
                <w:color w:val="000000"/>
                <w:sz w:val="22"/>
                <w:lang w:eastAsia="cs-CZ"/>
              </w:rPr>
              <w:t>,</w:t>
            </w:r>
            <w:r>
              <w:rPr>
                <w:rFonts w:ascii="Calibri" w:eastAsia="Times New Roman" w:hAnsi="Calibri" w:cs="Times New Roman"/>
                <w:color w:val="000000"/>
                <w:sz w:val="22"/>
                <w:lang w:eastAsia="cs-CZ"/>
              </w:rPr>
              <w:t>2</w:t>
            </w:r>
            <w:r w:rsidRPr="00E164E7">
              <w:rPr>
                <w:rFonts w:ascii="Calibri" w:eastAsia="Times New Roman" w:hAnsi="Calibri" w:cs="Times New Roman"/>
                <w:color w:val="000000"/>
                <w:sz w:val="22"/>
                <w:lang w:eastAsia="cs-CZ"/>
              </w:rPr>
              <w:t>%</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PAK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4 195</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67,3%</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27,2%</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12,9%</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36,8%</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4,9%</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35,2%</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33,1%</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Vysočina</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6 642</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71,6%</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21,3%</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30,1%</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23,4%</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3,8%</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31,5%</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30,9%</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JMK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20 269</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68,8%</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21,4%</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27,0%</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30,6%</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5,3%</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27,3%</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21,6%</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OLK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10 138</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72,5%</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25,0%</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20,0%</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35,0%</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5,0%</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32,0%</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21,0%</w:t>
            </w:r>
          </w:p>
        </w:tc>
      </w:tr>
      <w:tr w:rsidR="002A5BFC" w:rsidRPr="00E164E7" w:rsidTr="002A5BFC">
        <w:trPr>
          <w:trHeight w:val="300"/>
        </w:trPr>
        <w:tc>
          <w:tcPr>
            <w:tcW w:w="381" w:type="dxa"/>
            <w:gridSpan w:val="2"/>
            <w:tcBorders>
              <w:top w:val="nil"/>
              <w:left w:val="single" w:sz="8" w:space="0" w:color="auto"/>
              <w:bottom w:val="nil"/>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4"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MSK</w:t>
            </w:r>
          </w:p>
        </w:tc>
        <w:tc>
          <w:tcPr>
            <w:tcW w:w="984" w:type="dxa"/>
            <w:gridSpan w:val="2"/>
            <w:tcBorders>
              <w:top w:val="nil"/>
              <w:left w:val="double" w:sz="6" w:space="0" w:color="auto"/>
              <w:bottom w:val="single" w:sz="4"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6 904</w:t>
            </w:r>
          </w:p>
        </w:tc>
        <w:tc>
          <w:tcPr>
            <w:tcW w:w="1252" w:type="dxa"/>
            <w:gridSpan w:val="2"/>
            <w:tcBorders>
              <w:top w:val="nil"/>
              <w:left w:val="nil"/>
              <w:bottom w:val="single" w:sz="4"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67,7%</w:t>
            </w:r>
          </w:p>
        </w:tc>
        <w:tc>
          <w:tcPr>
            <w:tcW w:w="960"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15,7%</w:t>
            </w:r>
          </w:p>
        </w:tc>
        <w:tc>
          <w:tcPr>
            <w:tcW w:w="1166"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30,5%</w:t>
            </w:r>
          </w:p>
        </w:tc>
        <w:tc>
          <w:tcPr>
            <w:tcW w:w="992"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38,1%</w:t>
            </w:r>
          </w:p>
        </w:tc>
        <w:tc>
          <w:tcPr>
            <w:tcW w:w="993"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4,5%</w:t>
            </w:r>
          </w:p>
        </w:tc>
        <w:tc>
          <w:tcPr>
            <w:tcW w:w="1134" w:type="dxa"/>
            <w:tcBorders>
              <w:top w:val="nil"/>
              <w:left w:val="nil"/>
              <w:bottom w:val="single" w:sz="4"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29,9%</w:t>
            </w:r>
          </w:p>
        </w:tc>
        <w:tc>
          <w:tcPr>
            <w:tcW w:w="850" w:type="dxa"/>
            <w:tcBorders>
              <w:top w:val="nil"/>
              <w:left w:val="nil"/>
              <w:bottom w:val="single" w:sz="4"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18,9%</w:t>
            </w:r>
          </w:p>
        </w:tc>
      </w:tr>
      <w:tr w:rsidR="002A5BFC" w:rsidRPr="00E164E7" w:rsidTr="002A5BFC">
        <w:trPr>
          <w:trHeight w:val="315"/>
        </w:trPr>
        <w:tc>
          <w:tcPr>
            <w:tcW w:w="381" w:type="dxa"/>
            <w:gridSpan w:val="2"/>
            <w:tcBorders>
              <w:top w:val="nil"/>
              <w:left w:val="single" w:sz="8" w:space="0" w:color="auto"/>
              <w:bottom w:val="single" w:sz="8" w:space="0" w:color="auto"/>
              <w:right w:val="single" w:sz="4" w:space="0" w:color="auto"/>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 </w:t>
            </w:r>
          </w:p>
        </w:tc>
        <w:tc>
          <w:tcPr>
            <w:tcW w:w="1079" w:type="dxa"/>
            <w:gridSpan w:val="2"/>
            <w:tcBorders>
              <w:top w:val="nil"/>
              <w:left w:val="nil"/>
              <w:bottom w:val="single" w:sz="8" w:space="0" w:color="auto"/>
              <w:right w:val="nil"/>
            </w:tcBorders>
            <w:shd w:val="clear" w:color="auto" w:fill="auto"/>
            <w:noWrap/>
            <w:vAlign w:val="bottom"/>
            <w:hideMark/>
          </w:tcPr>
          <w:p w:rsidR="002A5BFC" w:rsidRPr="00E164E7" w:rsidRDefault="002A5BFC" w:rsidP="00696DB7">
            <w:pPr>
              <w:spacing w:line="240" w:lineRule="auto"/>
              <w:jc w:val="lef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ZLK</w:t>
            </w:r>
          </w:p>
        </w:tc>
        <w:tc>
          <w:tcPr>
            <w:tcW w:w="984" w:type="dxa"/>
            <w:gridSpan w:val="2"/>
            <w:tcBorders>
              <w:top w:val="nil"/>
              <w:left w:val="double" w:sz="6" w:space="0" w:color="auto"/>
              <w:bottom w:val="single" w:sz="8" w:space="0" w:color="auto"/>
              <w:right w:val="single" w:sz="4" w:space="0" w:color="auto"/>
            </w:tcBorders>
            <w:shd w:val="clear" w:color="auto" w:fill="auto"/>
            <w:noWrap/>
            <w:vAlign w:val="center"/>
            <w:hideMark/>
          </w:tcPr>
          <w:p w:rsidR="002A5BFC" w:rsidRPr="002A5BFC" w:rsidRDefault="002A5BFC" w:rsidP="002A5BFC">
            <w:pPr>
              <w:jc w:val="right"/>
              <w:rPr>
                <w:rFonts w:asciiTheme="minorHAnsi" w:hAnsiTheme="minorHAnsi"/>
                <w:sz w:val="22"/>
              </w:rPr>
            </w:pPr>
            <w:r w:rsidRPr="002A5BFC">
              <w:rPr>
                <w:rFonts w:asciiTheme="minorHAnsi" w:hAnsiTheme="minorHAnsi"/>
                <w:sz w:val="22"/>
              </w:rPr>
              <w:t>30 986</w:t>
            </w:r>
          </w:p>
        </w:tc>
        <w:tc>
          <w:tcPr>
            <w:tcW w:w="1252" w:type="dxa"/>
            <w:gridSpan w:val="2"/>
            <w:tcBorders>
              <w:top w:val="nil"/>
              <w:left w:val="nil"/>
              <w:bottom w:val="single" w:sz="8" w:space="0" w:color="auto"/>
              <w:right w:val="double" w:sz="6" w:space="0" w:color="auto"/>
            </w:tcBorders>
            <w:shd w:val="clear" w:color="auto" w:fill="auto"/>
            <w:noWrap/>
            <w:vAlign w:val="center"/>
          </w:tcPr>
          <w:p w:rsidR="002A5BFC" w:rsidRPr="002A5BFC" w:rsidRDefault="002A5BFC" w:rsidP="002A5BFC">
            <w:pPr>
              <w:jc w:val="right"/>
              <w:rPr>
                <w:rFonts w:asciiTheme="minorHAnsi" w:hAnsiTheme="minorHAnsi"/>
                <w:sz w:val="22"/>
              </w:rPr>
            </w:pPr>
            <w:r w:rsidRPr="002A5BFC">
              <w:rPr>
                <w:rFonts w:asciiTheme="minorHAnsi" w:hAnsiTheme="minorHAnsi"/>
                <w:sz w:val="22"/>
              </w:rPr>
              <w:t>73,0%</w:t>
            </w:r>
          </w:p>
        </w:tc>
        <w:tc>
          <w:tcPr>
            <w:tcW w:w="960" w:type="dxa"/>
            <w:tcBorders>
              <w:top w:val="nil"/>
              <w:left w:val="nil"/>
              <w:bottom w:val="single" w:sz="8"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13,7%</w:t>
            </w:r>
          </w:p>
        </w:tc>
        <w:tc>
          <w:tcPr>
            <w:tcW w:w="1166" w:type="dxa"/>
            <w:tcBorders>
              <w:top w:val="nil"/>
              <w:left w:val="nil"/>
              <w:bottom w:val="single" w:sz="8"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16,0%</w:t>
            </w:r>
          </w:p>
        </w:tc>
        <w:tc>
          <w:tcPr>
            <w:tcW w:w="992" w:type="dxa"/>
            <w:tcBorders>
              <w:top w:val="nil"/>
              <w:left w:val="nil"/>
              <w:bottom w:val="single" w:sz="8"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24,0%</w:t>
            </w:r>
          </w:p>
        </w:tc>
        <w:tc>
          <w:tcPr>
            <w:tcW w:w="993" w:type="dxa"/>
            <w:tcBorders>
              <w:top w:val="nil"/>
              <w:left w:val="nil"/>
              <w:bottom w:val="single" w:sz="8"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3,5%</w:t>
            </w:r>
          </w:p>
        </w:tc>
        <w:tc>
          <w:tcPr>
            <w:tcW w:w="1134" w:type="dxa"/>
            <w:tcBorders>
              <w:top w:val="nil"/>
              <w:left w:val="nil"/>
              <w:bottom w:val="single" w:sz="8" w:space="0" w:color="auto"/>
              <w:right w:val="single" w:sz="4"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33,6%</w:t>
            </w:r>
          </w:p>
        </w:tc>
        <w:tc>
          <w:tcPr>
            <w:tcW w:w="850" w:type="dxa"/>
            <w:tcBorders>
              <w:top w:val="nil"/>
              <w:left w:val="nil"/>
              <w:bottom w:val="single" w:sz="8" w:space="0" w:color="auto"/>
              <w:right w:val="single" w:sz="8" w:space="0" w:color="auto"/>
            </w:tcBorders>
            <w:shd w:val="clear" w:color="auto" w:fill="auto"/>
            <w:noWrap/>
            <w:vAlign w:val="bottom"/>
            <w:hideMark/>
          </w:tcPr>
          <w:p w:rsidR="002A5BFC" w:rsidRPr="00E164E7" w:rsidRDefault="002A5BFC" w:rsidP="00696DB7">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27,3%</w:t>
            </w:r>
          </w:p>
        </w:tc>
      </w:tr>
    </w:tbl>
    <w:p w:rsidR="00E337FD" w:rsidRDefault="00E337FD" w:rsidP="00696DB7">
      <w:pPr>
        <w:spacing w:line="240" w:lineRule="auto"/>
        <w:ind w:left="-284"/>
        <w:rPr>
          <w:highlight w:val="yellow"/>
        </w:rPr>
      </w:pPr>
    </w:p>
    <w:p w:rsidR="00E337FD" w:rsidRDefault="00E337FD" w:rsidP="00696DB7">
      <w:pPr>
        <w:spacing w:line="240" w:lineRule="auto"/>
      </w:pPr>
      <w:r w:rsidRPr="00E164E7">
        <w:t xml:space="preserve">Pro </w:t>
      </w:r>
      <w:r>
        <w:t>srovnání uvádíme, že k 3</w:t>
      </w:r>
      <w:r w:rsidR="00C26D7F">
        <w:t>0</w:t>
      </w:r>
      <w:r>
        <w:t xml:space="preserve">. </w:t>
      </w:r>
      <w:r w:rsidR="00C26D7F">
        <w:t>9</w:t>
      </w:r>
      <w:r>
        <w:t>. 2016 byla struktura uchazečů o zaměstnání v celé ČR dle jednotlivých sledovaných kategorií znevýhodnění následující:</w:t>
      </w:r>
    </w:p>
    <w:p w:rsidR="00E337FD" w:rsidRDefault="00E337FD" w:rsidP="00696DB7">
      <w:pPr>
        <w:spacing w:line="240" w:lineRule="auto"/>
      </w:pPr>
    </w:p>
    <w:p w:rsidR="009B715F" w:rsidRDefault="009B715F" w:rsidP="009B715F">
      <w:pPr>
        <w:pStyle w:val="Titulek"/>
        <w:keepNext/>
      </w:pPr>
      <w:bookmarkStart w:id="31" w:name="_Toc465674539"/>
      <w:r>
        <w:t xml:space="preserve">Tabulka </w:t>
      </w:r>
      <w:r w:rsidR="006C5B50">
        <w:fldChar w:fldCharType="begin"/>
      </w:r>
      <w:r w:rsidR="006C5B50">
        <w:instrText xml:space="preserve"> SEQ Tabulka \* ARABIC </w:instrText>
      </w:r>
      <w:r w:rsidR="006C5B50">
        <w:fldChar w:fldCharType="separate"/>
      </w:r>
      <w:r w:rsidR="005B254A">
        <w:rPr>
          <w:noProof/>
        </w:rPr>
        <w:t>9</w:t>
      </w:r>
      <w:r w:rsidR="006C5B50">
        <w:rPr>
          <w:noProof/>
        </w:rPr>
        <w:fldChar w:fldCharType="end"/>
      </w:r>
      <w:r w:rsidR="002F443B">
        <w:t xml:space="preserve">: Počty a podíly znevýhodněných osob mezi </w:t>
      </w:r>
      <w:proofErr w:type="spellStart"/>
      <w:r w:rsidR="002F443B">
        <w:t>UoZ</w:t>
      </w:r>
      <w:proofErr w:type="spellEnd"/>
      <w:r w:rsidR="002F443B">
        <w:t xml:space="preserve"> k 3</w:t>
      </w:r>
      <w:r w:rsidR="00C26D7F">
        <w:t>0</w:t>
      </w:r>
      <w:r w:rsidR="002F443B">
        <w:t xml:space="preserve">. </w:t>
      </w:r>
      <w:r w:rsidR="00C26D7F">
        <w:t>9</w:t>
      </w:r>
      <w:r w:rsidR="002F443B">
        <w:t>. 2016</w:t>
      </w:r>
      <w:bookmarkEnd w:id="31"/>
    </w:p>
    <w:tbl>
      <w:tblPr>
        <w:tblW w:w="9082" w:type="dxa"/>
        <w:tblInd w:w="60" w:type="dxa"/>
        <w:tblCellMar>
          <w:left w:w="70" w:type="dxa"/>
          <w:right w:w="70" w:type="dxa"/>
        </w:tblCellMar>
        <w:tblLook w:val="04A0" w:firstRow="1" w:lastRow="0" w:firstColumn="1" w:lastColumn="0" w:noHBand="0" w:noVBand="1"/>
      </w:tblPr>
      <w:tblGrid>
        <w:gridCol w:w="1003"/>
        <w:gridCol w:w="850"/>
        <w:gridCol w:w="992"/>
        <w:gridCol w:w="851"/>
        <w:gridCol w:w="992"/>
        <w:gridCol w:w="851"/>
        <w:gridCol w:w="992"/>
        <w:gridCol w:w="850"/>
        <w:gridCol w:w="851"/>
        <w:gridCol w:w="850"/>
      </w:tblGrid>
      <w:tr w:rsidR="00E337FD" w:rsidRPr="00E164E7" w:rsidTr="00E337FD">
        <w:trPr>
          <w:trHeight w:val="315"/>
        </w:trPr>
        <w:tc>
          <w:tcPr>
            <w:tcW w:w="7381" w:type="dxa"/>
            <w:gridSpan w:val="8"/>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37FD" w:rsidRPr="00E164E7" w:rsidRDefault="00E337FD" w:rsidP="00C26D7F">
            <w:pPr>
              <w:spacing w:line="240" w:lineRule="auto"/>
              <w:jc w:val="center"/>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 xml:space="preserve">Počet a podíl znevýhodněných </w:t>
            </w:r>
            <w:proofErr w:type="spellStart"/>
            <w:r w:rsidRPr="00E164E7">
              <w:rPr>
                <w:rFonts w:ascii="Calibri" w:eastAsia="Times New Roman" w:hAnsi="Calibri" w:cs="Times New Roman"/>
                <w:b/>
                <w:bCs/>
                <w:color w:val="000000"/>
                <w:sz w:val="22"/>
                <w:lang w:eastAsia="cs-CZ"/>
              </w:rPr>
              <w:t>UoZ</w:t>
            </w:r>
            <w:proofErr w:type="spellEnd"/>
            <w:r w:rsidRPr="00E164E7">
              <w:rPr>
                <w:rFonts w:ascii="Calibri" w:eastAsia="Times New Roman" w:hAnsi="Calibri" w:cs="Times New Roman"/>
                <w:b/>
                <w:bCs/>
                <w:color w:val="000000"/>
                <w:sz w:val="22"/>
                <w:lang w:eastAsia="cs-CZ"/>
              </w:rPr>
              <w:t xml:space="preserve"> k 3</w:t>
            </w:r>
            <w:r w:rsidR="00C26D7F">
              <w:rPr>
                <w:rFonts w:ascii="Calibri" w:eastAsia="Times New Roman" w:hAnsi="Calibri" w:cs="Times New Roman"/>
                <w:b/>
                <w:bCs/>
                <w:color w:val="000000"/>
                <w:sz w:val="22"/>
                <w:lang w:eastAsia="cs-CZ"/>
              </w:rPr>
              <w:t>0</w:t>
            </w:r>
            <w:r w:rsidRPr="00E164E7">
              <w:rPr>
                <w:rFonts w:ascii="Calibri" w:eastAsia="Times New Roman" w:hAnsi="Calibri" w:cs="Times New Roman"/>
                <w:b/>
                <w:bCs/>
                <w:color w:val="000000"/>
                <w:sz w:val="22"/>
                <w:lang w:eastAsia="cs-CZ"/>
              </w:rPr>
              <w:t xml:space="preserve">. </w:t>
            </w:r>
            <w:r w:rsidR="00C26D7F">
              <w:rPr>
                <w:rFonts w:ascii="Calibri" w:eastAsia="Times New Roman" w:hAnsi="Calibri" w:cs="Times New Roman"/>
                <w:b/>
                <w:bCs/>
                <w:color w:val="000000"/>
                <w:sz w:val="22"/>
                <w:lang w:eastAsia="cs-CZ"/>
              </w:rPr>
              <w:t>9</w:t>
            </w:r>
            <w:r w:rsidRPr="00E164E7">
              <w:rPr>
                <w:rFonts w:ascii="Calibri" w:eastAsia="Times New Roman" w:hAnsi="Calibri" w:cs="Times New Roman"/>
                <w:b/>
                <w:bCs/>
                <w:color w:val="000000"/>
                <w:sz w:val="22"/>
                <w:lang w:eastAsia="cs-CZ"/>
              </w:rPr>
              <w:t>. 2016 dle sledovaných kategorií</w:t>
            </w:r>
          </w:p>
        </w:tc>
        <w:tc>
          <w:tcPr>
            <w:tcW w:w="1701" w:type="dxa"/>
            <w:gridSpan w:val="2"/>
            <w:vMerge w:val="restart"/>
            <w:tcBorders>
              <w:top w:val="single" w:sz="8" w:space="0" w:color="auto"/>
              <w:left w:val="single" w:sz="8" w:space="0" w:color="auto"/>
              <w:bottom w:val="single" w:sz="4" w:space="0" w:color="auto"/>
              <w:right w:val="single" w:sz="8" w:space="0" w:color="000000"/>
            </w:tcBorders>
            <w:shd w:val="clear" w:color="auto" w:fill="auto"/>
            <w:noWrap/>
            <w:hideMark/>
          </w:tcPr>
          <w:p w:rsidR="00E337FD" w:rsidRPr="00E164E7" w:rsidRDefault="00E337FD" w:rsidP="00696DB7">
            <w:pPr>
              <w:spacing w:line="240" w:lineRule="auto"/>
              <w:jc w:val="center"/>
              <w:rPr>
                <w:rFonts w:ascii="Calibri" w:eastAsia="Times New Roman" w:hAnsi="Calibri" w:cs="Times New Roman"/>
                <w:b/>
                <w:bCs/>
                <w:color w:val="000000"/>
                <w:sz w:val="22"/>
                <w:lang w:eastAsia="cs-CZ"/>
              </w:rPr>
            </w:pPr>
            <w:r w:rsidRPr="00E164E7">
              <w:rPr>
                <w:rFonts w:ascii="Calibri" w:eastAsia="Times New Roman" w:hAnsi="Calibri" w:cs="Times New Roman"/>
                <w:b/>
                <w:bCs/>
                <w:color w:val="000000"/>
                <w:sz w:val="22"/>
                <w:lang w:eastAsia="cs-CZ"/>
              </w:rPr>
              <w:t xml:space="preserve">nekolidující </w:t>
            </w:r>
            <w:proofErr w:type="spellStart"/>
            <w:r w:rsidRPr="00E164E7">
              <w:rPr>
                <w:rFonts w:ascii="Calibri" w:eastAsia="Times New Roman" w:hAnsi="Calibri" w:cs="Times New Roman"/>
                <w:b/>
                <w:bCs/>
                <w:color w:val="000000"/>
                <w:sz w:val="22"/>
                <w:lang w:eastAsia="cs-CZ"/>
              </w:rPr>
              <w:t>zam</w:t>
            </w:r>
            <w:proofErr w:type="spellEnd"/>
            <w:r w:rsidRPr="00E164E7">
              <w:rPr>
                <w:rFonts w:ascii="Calibri" w:eastAsia="Times New Roman" w:hAnsi="Calibri" w:cs="Times New Roman"/>
                <w:b/>
                <w:bCs/>
                <w:color w:val="000000"/>
                <w:sz w:val="22"/>
                <w:lang w:eastAsia="cs-CZ"/>
              </w:rPr>
              <w:t>.</w:t>
            </w:r>
          </w:p>
        </w:tc>
      </w:tr>
      <w:tr w:rsidR="00E337FD" w:rsidRPr="00E164E7" w:rsidTr="00E337FD">
        <w:trPr>
          <w:trHeight w:val="315"/>
        </w:trPr>
        <w:tc>
          <w:tcPr>
            <w:tcW w:w="1853" w:type="dxa"/>
            <w:gridSpan w:val="2"/>
            <w:tcBorders>
              <w:top w:val="single" w:sz="4" w:space="0" w:color="auto"/>
              <w:left w:val="single" w:sz="8" w:space="0" w:color="auto"/>
              <w:bottom w:val="nil"/>
              <w:right w:val="single" w:sz="4" w:space="0" w:color="auto"/>
            </w:tcBorders>
            <w:shd w:val="clear" w:color="auto" w:fill="auto"/>
            <w:noWrap/>
            <w:vAlign w:val="center"/>
            <w:hideMark/>
          </w:tcPr>
          <w:p w:rsidR="00E337FD" w:rsidRPr="00E164E7" w:rsidRDefault="00E337FD" w:rsidP="00696DB7">
            <w:pPr>
              <w:spacing w:line="240" w:lineRule="auto"/>
              <w:jc w:val="center"/>
              <w:rPr>
                <w:rFonts w:ascii="Calibri" w:eastAsia="Times New Roman" w:hAnsi="Calibri" w:cs="Times New Roman"/>
                <w:i/>
                <w:iCs/>
                <w:color w:val="000000"/>
                <w:sz w:val="22"/>
                <w:lang w:eastAsia="cs-CZ"/>
              </w:rPr>
            </w:pPr>
            <w:r w:rsidRPr="00E164E7">
              <w:rPr>
                <w:rFonts w:ascii="Calibri" w:eastAsia="Times New Roman" w:hAnsi="Calibri" w:cs="Times New Roman"/>
                <w:i/>
                <w:iCs/>
                <w:color w:val="000000"/>
                <w:sz w:val="22"/>
                <w:lang w:eastAsia="cs-CZ"/>
              </w:rPr>
              <w:t>max. ZŠ</w:t>
            </w:r>
          </w:p>
        </w:tc>
        <w:tc>
          <w:tcPr>
            <w:tcW w:w="1843" w:type="dxa"/>
            <w:gridSpan w:val="2"/>
            <w:tcBorders>
              <w:top w:val="single" w:sz="4" w:space="0" w:color="auto"/>
              <w:left w:val="nil"/>
              <w:bottom w:val="nil"/>
              <w:right w:val="single" w:sz="4" w:space="0" w:color="auto"/>
            </w:tcBorders>
            <w:shd w:val="clear" w:color="auto" w:fill="auto"/>
            <w:noWrap/>
            <w:vAlign w:val="center"/>
            <w:hideMark/>
          </w:tcPr>
          <w:p w:rsidR="00E337FD" w:rsidRPr="00E164E7" w:rsidRDefault="00E337FD" w:rsidP="00696DB7">
            <w:pPr>
              <w:spacing w:line="240" w:lineRule="auto"/>
              <w:jc w:val="center"/>
              <w:rPr>
                <w:rFonts w:ascii="Calibri" w:eastAsia="Times New Roman" w:hAnsi="Calibri" w:cs="Times New Roman"/>
                <w:i/>
                <w:iCs/>
                <w:color w:val="000000"/>
                <w:sz w:val="22"/>
                <w:lang w:eastAsia="cs-CZ"/>
              </w:rPr>
            </w:pPr>
            <w:r w:rsidRPr="00E164E7">
              <w:rPr>
                <w:rFonts w:ascii="Calibri" w:eastAsia="Times New Roman" w:hAnsi="Calibri" w:cs="Times New Roman"/>
                <w:i/>
                <w:iCs/>
                <w:color w:val="000000"/>
                <w:sz w:val="22"/>
                <w:lang w:eastAsia="cs-CZ"/>
              </w:rPr>
              <w:t>do 25 let</w:t>
            </w:r>
          </w:p>
        </w:tc>
        <w:tc>
          <w:tcPr>
            <w:tcW w:w="1843" w:type="dxa"/>
            <w:gridSpan w:val="2"/>
            <w:tcBorders>
              <w:top w:val="single" w:sz="4" w:space="0" w:color="auto"/>
              <w:left w:val="nil"/>
              <w:bottom w:val="nil"/>
              <w:right w:val="single" w:sz="4" w:space="0" w:color="auto"/>
            </w:tcBorders>
            <w:shd w:val="clear" w:color="auto" w:fill="auto"/>
            <w:noWrap/>
            <w:vAlign w:val="center"/>
            <w:hideMark/>
          </w:tcPr>
          <w:p w:rsidR="00E337FD" w:rsidRPr="00E164E7" w:rsidRDefault="00E337FD" w:rsidP="00696DB7">
            <w:pPr>
              <w:spacing w:line="240" w:lineRule="auto"/>
              <w:jc w:val="center"/>
              <w:rPr>
                <w:rFonts w:ascii="Calibri" w:eastAsia="Times New Roman" w:hAnsi="Calibri" w:cs="Times New Roman"/>
                <w:i/>
                <w:iCs/>
                <w:color w:val="000000"/>
                <w:sz w:val="22"/>
                <w:lang w:eastAsia="cs-CZ"/>
              </w:rPr>
            </w:pPr>
            <w:r w:rsidRPr="00E164E7">
              <w:rPr>
                <w:rFonts w:ascii="Calibri" w:eastAsia="Times New Roman" w:hAnsi="Calibri" w:cs="Times New Roman"/>
                <w:i/>
                <w:iCs/>
                <w:color w:val="000000"/>
                <w:sz w:val="22"/>
                <w:lang w:eastAsia="cs-CZ"/>
              </w:rPr>
              <w:t>nad 55 let</w:t>
            </w:r>
          </w:p>
        </w:tc>
        <w:tc>
          <w:tcPr>
            <w:tcW w:w="1842" w:type="dxa"/>
            <w:gridSpan w:val="2"/>
            <w:tcBorders>
              <w:top w:val="single" w:sz="4" w:space="0" w:color="auto"/>
              <w:left w:val="nil"/>
              <w:bottom w:val="nil"/>
              <w:right w:val="single" w:sz="4" w:space="0" w:color="auto"/>
            </w:tcBorders>
            <w:shd w:val="clear" w:color="auto" w:fill="auto"/>
            <w:noWrap/>
            <w:vAlign w:val="center"/>
            <w:hideMark/>
          </w:tcPr>
          <w:p w:rsidR="00E337FD" w:rsidRPr="00E164E7" w:rsidRDefault="00E337FD" w:rsidP="00696DB7">
            <w:pPr>
              <w:spacing w:line="240" w:lineRule="auto"/>
              <w:jc w:val="center"/>
              <w:rPr>
                <w:rFonts w:ascii="Calibri" w:eastAsia="Times New Roman" w:hAnsi="Calibri" w:cs="Times New Roman"/>
                <w:i/>
                <w:iCs/>
                <w:color w:val="000000"/>
                <w:sz w:val="22"/>
                <w:lang w:eastAsia="cs-CZ"/>
              </w:rPr>
            </w:pPr>
            <w:r w:rsidRPr="00E164E7">
              <w:rPr>
                <w:rFonts w:ascii="Calibri" w:eastAsia="Times New Roman" w:hAnsi="Calibri" w:cs="Times New Roman"/>
                <w:i/>
                <w:iCs/>
                <w:color w:val="000000"/>
                <w:sz w:val="22"/>
                <w:lang w:eastAsia="cs-CZ"/>
              </w:rPr>
              <w:t>OZP</w:t>
            </w:r>
          </w:p>
        </w:tc>
        <w:tc>
          <w:tcPr>
            <w:tcW w:w="1701" w:type="dxa"/>
            <w:gridSpan w:val="2"/>
            <w:vMerge/>
            <w:tcBorders>
              <w:top w:val="single" w:sz="8" w:space="0" w:color="auto"/>
              <w:left w:val="single" w:sz="8" w:space="0" w:color="auto"/>
              <w:bottom w:val="single" w:sz="4" w:space="0" w:color="auto"/>
              <w:right w:val="single" w:sz="8" w:space="0" w:color="000000"/>
            </w:tcBorders>
            <w:vAlign w:val="center"/>
            <w:hideMark/>
          </w:tcPr>
          <w:p w:rsidR="00E337FD" w:rsidRPr="00E164E7" w:rsidRDefault="00E337FD" w:rsidP="00696DB7">
            <w:pPr>
              <w:spacing w:line="240" w:lineRule="auto"/>
              <w:jc w:val="left"/>
              <w:rPr>
                <w:rFonts w:ascii="Calibri" w:eastAsia="Times New Roman" w:hAnsi="Calibri" w:cs="Times New Roman"/>
                <w:b/>
                <w:bCs/>
                <w:color w:val="000000"/>
                <w:sz w:val="22"/>
                <w:lang w:eastAsia="cs-CZ"/>
              </w:rPr>
            </w:pPr>
          </w:p>
        </w:tc>
      </w:tr>
      <w:tr w:rsidR="00E337FD" w:rsidRPr="00E164E7" w:rsidTr="00E337FD">
        <w:trPr>
          <w:trHeight w:val="300"/>
        </w:trPr>
        <w:tc>
          <w:tcPr>
            <w:tcW w:w="100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počet</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počet</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počet</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počet</w:t>
            </w:r>
          </w:p>
        </w:tc>
        <w:tc>
          <w:tcPr>
            <w:tcW w:w="850" w:type="dxa"/>
            <w:tcBorders>
              <w:top w:val="single" w:sz="8" w:space="0" w:color="auto"/>
              <w:left w:val="nil"/>
              <w:bottom w:val="single" w:sz="4" w:space="0" w:color="auto"/>
              <w:right w:val="nil"/>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podíl</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počet</w:t>
            </w:r>
          </w:p>
        </w:tc>
        <w:tc>
          <w:tcPr>
            <w:tcW w:w="850" w:type="dxa"/>
            <w:tcBorders>
              <w:top w:val="single" w:sz="8" w:space="0" w:color="auto"/>
              <w:left w:val="nil"/>
              <w:bottom w:val="single" w:sz="4" w:space="0" w:color="auto"/>
              <w:right w:val="single" w:sz="8" w:space="0" w:color="auto"/>
            </w:tcBorders>
            <w:shd w:val="clear" w:color="auto" w:fill="auto"/>
            <w:noWrap/>
            <w:vAlign w:val="bottom"/>
            <w:hideMark/>
          </w:tcPr>
          <w:p w:rsidR="00E337FD" w:rsidRPr="00E164E7" w:rsidRDefault="00E337FD" w:rsidP="00696DB7">
            <w:pPr>
              <w:spacing w:line="240" w:lineRule="auto"/>
              <w:jc w:val="center"/>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w:t>
            </w:r>
          </w:p>
        </w:tc>
      </w:tr>
      <w:tr w:rsidR="00E337FD" w:rsidRPr="00E164E7" w:rsidTr="00E337FD">
        <w:trPr>
          <w:trHeight w:val="315"/>
        </w:trPr>
        <w:tc>
          <w:tcPr>
            <w:tcW w:w="1003" w:type="dxa"/>
            <w:tcBorders>
              <w:top w:val="nil"/>
              <w:left w:val="single" w:sz="8" w:space="0" w:color="auto"/>
              <w:bottom w:val="single" w:sz="8" w:space="0" w:color="auto"/>
              <w:right w:val="single" w:sz="4" w:space="0" w:color="auto"/>
            </w:tcBorders>
            <w:shd w:val="clear" w:color="auto" w:fill="auto"/>
            <w:noWrap/>
            <w:vAlign w:val="bottom"/>
            <w:hideMark/>
          </w:tcPr>
          <w:p w:rsidR="00E337FD" w:rsidRPr="00E164E7" w:rsidRDefault="00C26D7F" w:rsidP="00696DB7">
            <w:pPr>
              <w:spacing w:line="240" w:lineRule="auto"/>
              <w:jc w:val="right"/>
              <w:rPr>
                <w:rFonts w:ascii="Calibri" w:eastAsia="Times New Roman" w:hAnsi="Calibri" w:cs="Times New Roman"/>
                <w:color w:val="000000"/>
                <w:sz w:val="22"/>
                <w:lang w:eastAsia="cs-CZ"/>
              </w:rPr>
            </w:pPr>
            <w:r>
              <w:rPr>
                <w:rFonts w:ascii="Calibri" w:eastAsia="Times New Roman" w:hAnsi="Calibri" w:cs="Times New Roman"/>
                <w:color w:val="000000"/>
                <w:sz w:val="22"/>
                <w:lang w:eastAsia="cs-CZ"/>
              </w:rPr>
              <w:t>114 901</w:t>
            </w:r>
          </w:p>
        </w:tc>
        <w:tc>
          <w:tcPr>
            <w:tcW w:w="850" w:type="dxa"/>
            <w:tcBorders>
              <w:top w:val="nil"/>
              <w:left w:val="nil"/>
              <w:bottom w:val="single" w:sz="8" w:space="0" w:color="auto"/>
              <w:right w:val="single" w:sz="4" w:space="0" w:color="auto"/>
            </w:tcBorders>
            <w:shd w:val="clear" w:color="auto" w:fill="auto"/>
            <w:noWrap/>
            <w:vAlign w:val="bottom"/>
            <w:hideMark/>
          </w:tcPr>
          <w:p w:rsidR="00E337FD" w:rsidRPr="00E164E7" w:rsidRDefault="00C26D7F" w:rsidP="00696DB7">
            <w:pPr>
              <w:spacing w:line="240" w:lineRule="auto"/>
              <w:jc w:val="right"/>
              <w:rPr>
                <w:rFonts w:ascii="Calibri" w:eastAsia="Times New Roman" w:hAnsi="Calibri" w:cs="Times New Roman"/>
                <w:color w:val="000000"/>
                <w:sz w:val="22"/>
                <w:lang w:eastAsia="cs-CZ"/>
              </w:rPr>
            </w:pPr>
            <w:r>
              <w:rPr>
                <w:rFonts w:ascii="Calibri" w:eastAsia="Times New Roman" w:hAnsi="Calibri" w:cs="Times New Roman"/>
                <w:color w:val="000000"/>
                <w:sz w:val="22"/>
                <w:lang w:eastAsia="cs-CZ"/>
              </w:rPr>
              <w:t xml:space="preserve">30,4 </w:t>
            </w:r>
            <w:r w:rsidR="00E337FD" w:rsidRPr="00E164E7">
              <w:rPr>
                <w:rFonts w:ascii="Calibri" w:eastAsia="Times New Roman" w:hAnsi="Calibri" w:cs="Times New Roman"/>
                <w:color w:val="000000"/>
                <w:sz w:val="22"/>
                <w:lang w:eastAsia="cs-CZ"/>
              </w:rPr>
              <w:t>%</w:t>
            </w:r>
          </w:p>
        </w:tc>
        <w:tc>
          <w:tcPr>
            <w:tcW w:w="992" w:type="dxa"/>
            <w:tcBorders>
              <w:top w:val="nil"/>
              <w:left w:val="nil"/>
              <w:bottom w:val="single" w:sz="8" w:space="0" w:color="auto"/>
              <w:right w:val="single" w:sz="4" w:space="0" w:color="auto"/>
            </w:tcBorders>
            <w:shd w:val="clear" w:color="auto" w:fill="auto"/>
            <w:noWrap/>
            <w:vAlign w:val="bottom"/>
            <w:hideMark/>
          </w:tcPr>
          <w:p w:rsidR="00E337FD" w:rsidRPr="00E164E7" w:rsidRDefault="00C26D7F" w:rsidP="00696DB7">
            <w:pPr>
              <w:spacing w:line="240" w:lineRule="auto"/>
              <w:jc w:val="right"/>
              <w:rPr>
                <w:rFonts w:ascii="Calibri" w:eastAsia="Times New Roman" w:hAnsi="Calibri" w:cs="Times New Roman"/>
                <w:color w:val="000000"/>
                <w:sz w:val="22"/>
                <w:lang w:eastAsia="cs-CZ"/>
              </w:rPr>
            </w:pPr>
            <w:r>
              <w:rPr>
                <w:rFonts w:ascii="Calibri" w:eastAsia="Times New Roman" w:hAnsi="Calibri" w:cs="Times New Roman"/>
                <w:color w:val="000000"/>
                <w:sz w:val="22"/>
                <w:lang w:eastAsia="cs-CZ"/>
              </w:rPr>
              <w:t>54 962</w:t>
            </w:r>
          </w:p>
        </w:tc>
        <w:tc>
          <w:tcPr>
            <w:tcW w:w="851" w:type="dxa"/>
            <w:tcBorders>
              <w:top w:val="nil"/>
              <w:left w:val="nil"/>
              <w:bottom w:val="single" w:sz="8" w:space="0" w:color="auto"/>
              <w:right w:val="single" w:sz="4" w:space="0" w:color="auto"/>
            </w:tcBorders>
            <w:shd w:val="clear" w:color="auto" w:fill="auto"/>
            <w:noWrap/>
            <w:vAlign w:val="bottom"/>
            <w:hideMark/>
          </w:tcPr>
          <w:p w:rsidR="00E337FD" w:rsidRPr="00E164E7" w:rsidRDefault="00E501A9" w:rsidP="00696DB7">
            <w:pPr>
              <w:spacing w:line="240" w:lineRule="auto"/>
              <w:jc w:val="right"/>
              <w:rPr>
                <w:rFonts w:ascii="Calibri" w:eastAsia="Times New Roman" w:hAnsi="Calibri" w:cs="Times New Roman"/>
                <w:color w:val="000000"/>
                <w:sz w:val="22"/>
                <w:lang w:eastAsia="cs-CZ"/>
              </w:rPr>
            </w:pPr>
            <w:r>
              <w:rPr>
                <w:rFonts w:ascii="Calibri" w:eastAsia="Times New Roman" w:hAnsi="Calibri" w:cs="Times New Roman"/>
                <w:color w:val="000000"/>
                <w:sz w:val="22"/>
                <w:lang w:eastAsia="cs-CZ"/>
              </w:rPr>
              <w:t>14</w:t>
            </w:r>
            <w:r w:rsidR="00E337FD" w:rsidRPr="00E164E7">
              <w:rPr>
                <w:rFonts w:ascii="Calibri" w:eastAsia="Times New Roman" w:hAnsi="Calibri" w:cs="Times New Roman"/>
                <w:color w:val="000000"/>
                <w:sz w:val="22"/>
                <w:lang w:eastAsia="cs-CZ"/>
              </w:rPr>
              <w:t>,5%</w:t>
            </w:r>
          </w:p>
        </w:tc>
        <w:tc>
          <w:tcPr>
            <w:tcW w:w="992" w:type="dxa"/>
            <w:tcBorders>
              <w:top w:val="nil"/>
              <w:left w:val="nil"/>
              <w:bottom w:val="single" w:sz="8" w:space="0" w:color="auto"/>
              <w:right w:val="single" w:sz="4" w:space="0" w:color="auto"/>
            </w:tcBorders>
            <w:shd w:val="clear" w:color="auto" w:fill="auto"/>
            <w:noWrap/>
            <w:vAlign w:val="bottom"/>
            <w:hideMark/>
          </w:tcPr>
          <w:p w:rsidR="00E337FD" w:rsidRPr="00E164E7" w:rsidRDefault="00E501A9" w:rsidP="00696DB7">
            <w:pPr>
              <w:spacing w:line="240" w:lineRule="auto"/>
              <w:jc w:val="right"/>
              <w:rPr>
                <w:rFonts w:ascii="Calibri" w:eastAsia="Times New Roman" w:hAnsi="Calibri" w:cs="Times New Roman"/>
                <w:color w:val="000000"/>
                <w:sz w:val="22"/>
                <w:lang w:eastAsia="cs-CZ"/>
              </w:rPr>
            </w:pPr>
            <w:r>
              <w:rPr>
                <w:rFonts w:ascii="Calibri" w:eastAsia="Times New Roman" w:hAnsi="Calibri" w:cs="Times New Roman"/>
                <w:color w:val="000000"/>
                <w:sz w:val="22"/>
                <w:lang w:eastAsia="cs-CZ"/>
              </w:rPr>
              <w:t>78 639</w:t>
            </w:r>
          </w:p>
        </w:tc>
        <w:tc>
          <w:tcPr>
            <w:tcW w:w="851" w:type="dxa"/>
            <w:tcBorders>
              <w:top w:val="nil"/>
              <w:left w:val="nil"/>
              <w:bottom w:val="single" w:sz="8" w:space="0" w:color="auto"/>
              <w:right w:val="single" w:sz="4" w:space="0" w:color="auto"/>
            </w:tcBorders>
            <w:shd w:val="clear" w:color="auto" w:fill="auto"/>
            <w:noWrap/>
            <w:vAlign w:val="bottom"/>
            <w:hideMark/>
          </w:tcPr>
          <w:p w:rsidR="00E337FD" w:rsidRPr="00E164E7" w:rsidRDefault="00E337FD" w:rsidP="00E501A9">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20,</w:t>
            </w:r>
            <w:r w:rsidR="00E501A9">
              <w:rPr>
                <w:rFonts w:ascii="Calibri" w:eastAsia="Times New Roman" w:hAnsi="Calibri" w:cs="Times New Roman"/>
                <w:color w:val="000000"/>
                <w:sz w:val="22"/>
                <w:lang w:eastAsia="cs-CZ"/>
              </w:rPr>
              <w:t>8</w:t>
            </w:r>
            <w:r w:rsidRPr="00E164E7">
              <w:rPr>
                <w:rFonts w:ascii="Calibri" w:eastAsia="Times New Roman" w:hAnsi="Calibri" w:cs="Times New Roman"/>
                <w:color w:val="000000"/>
                <w:sz w:val="22"/>
                <w:lang w:eastAsia="cs-CZ"/>
              </w:rPr>
              <w:t>%</w:t>
            </w:r>
          </w:p>
        </w:tc>
        <w:tc>
          <w:tcPr>
            <w:tcW w:w="992" w:type="dxa"/>
            <w:tcBorders>
              <w:top w:val="nil"/>
              <w:left w:val="nil"/>
              <w:bottom w:val="single" w:sz="8" w:space="0" w:color="auto"/>
              <w:right w:val="single" w:sz="4" w:space="0" w:color="auto"/>
            </w:tcBorders>
            <w:shd w:val="clear" w:color="auto" w:fill="auto"/>
            <w:noWrap/>
            <w:vAlign w:val="bottom"/>
            <w:hideMark/>
          </w:tcPr>
          <w:p w:rsidR="00E337FD" w:rsidRPr="00E164E7" w:rsidRDefault="00E501A9" w:rsidP="00696DB7">
            <w:pPr>
              <w:spacing w:line="240" w:lineRule="auto"/>
              <w:jc w:val="right"/>
              <w:rPr>
                <w:rFonts w:ascii="Calibri" w:eastAsia="Times New Roman" w:hAnsi="Calibri" w:cs="Times New Roman"/>
                <w:color w:val="000000"/>
                <w:sz w:val="22"/>
                <w:lang w:eastAsia="cs-CZ"/>
              </w:rPr>
            </w:pPr>
            <w:r>
              <w:rPr>
                <w:rFonts w:ascii="Calibri" w:eastAsia="Times New Roman" w:hAnsi="Calibri" w:cs="Times New Roman"/>
                <w:color w:val="000000"/>
                <w:sz w:val="22"/>
                <w:lang w:eastAsia="cs-CZ"/>
              </w:rPr>
              <w:t>54 385</w:t>
            </w:r>
          </w:p>
        </w:tc>
        <w:tc>
          <w:tcPr>
            <w:tcW w:w="850" w:type="dxa"/>
            <w:tcBorders>
              <w:top w:val="nil"/>
              <w:left w:val="nil"/>
              <w:bottom w:val="single" w:sz="8" w:space="0" w:color="auto"/>
              <w:right w:val="nil"/>
            </w:tcBorders>
            <w:shd w:val="clear" w:color="auto" w:fill="auto"/>
            <w:noWrap/>
            <w:vAlign w:val="bottom"/>
            <w:hideMark/>
          </w:tcPr>
          <w:p w:rsidR="00E337FD" w:rsidRPr="00E164E7" w:rsidRDefault="00E337FD" w:rsidP="00E501A9">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14,</w:t>
            </w:r>
            <w:r w:rsidR="00E501A9">
              <w:rPr>
                <w:rFonts w:ascii="Calibri" w:eastAsia="Times New Roman" w:hAnsi="Calibri" w:cs="Times New Roman"/>
                <w:color w:val="000000"/>
                <w:sz w:val="22"/>
                <w:lang w:eastAsia="cs-CZ"/>
              </w:rPr>
              <w:t>4</w:t>
            </w:r>
            <w:r w:rsidRPr="00E164E7">
              <w:rPr>
                <w:rFonts w:ascii="Calibri" w:eastAsia="Times New Roman" w:hAnsi="Calibri" w:cs="Times New Roman"/>
                <w:color w:val="000000"/>
                <w:sz w:val="22"/>
                <w:lang w:eastAsia="cs-CZ"/>
              </w:rPr>
              <w:t>%</w:t>
            </w:r>
          </w:p>
        </w:tc>
        <w:tc>
          <w:tcPr>
            <w:tcW w:w="851" w:type="dxa"/>
            <w:tcBorders>
              <w:top w:val="nil"/>
              <w:left w:val="single" w:sz="8" w:space="0" w:color="auto"/>
              <w:bottom w:val="single" w:sz="8" w:space="0" w:color="auto"/>
              <w:right w:val="single" w:sz="4" w:space="0" w:color="auto"/>
            </w:tcBorders>
            <w:shd w:val="clear" w:color="auto" w:fill="auto"/>
            <w:noWrap/>
            <w:vAlign w:val="bottom"/>
            <w:hideMark/>
          </w:tcPr>
          <w:p w:rsidR="00E337FD" w:rsidRPr="00E164E7" w:rsidRDefault="00E501A9" w:rsidP="00696DB7">
            <w:pPr>
              <w:spacing w:line="240" w:lineRule="auto"/>
              <w:jc w:val="right"/>
              <w:rPr>
                <w:rFonts w:ascii="Calibri" w:eastAsia="Times New Roman" w:hAnsi="Calibri" w:cs="Times New Roman"/>
                <w:color w:val="000000"/>
                <w:sz w:val="22"/>
                <w:lang w:eastAsia="cs-CZ"/>
              </w:rPr>
            </w:pPr>
            <w:r>
              <w:rPr>
                <w:rFonts w:ascii="Calibri" w:eastAsia="Times New Roman" w:hAnsi="Calibri" w:cs="Times New Roman"/>
                <w:color w:val="000000"/>
                <w:sz w:val="22"/>
                <w:lang w:eastAsia="cs-CZ"/>
              </w:rPr>
              <w:t>44 789</w:t>
            </w:r>
          </w:p>
        </w:tc>
        <w:tc>
          <w:tcPr>
            <w:tcW w:w="850" w:type="dxa"/>
            <w:tcBorders>
              <w:top w:val="nil"/>
              <w:left w:val="nil"/>
              <w:bottom w:val="single" w:sz="8" w:space="0" w:color="auto"/>
              <w:right w:val="single" w:sz="8" w:space="0" w:color="auto"/>
            </w:tcBorders>
            <w:shd w:val="clear" w:color="auto" w:fill="auto"/>
            <w:noWrap/>
            <w:vAlign w:val="bottom"/>
            <w:hideMark/>
          </w:tcPr>
          <w:p w:rsidR="00E337FD" w:rsidRPr="00E164E7" w:rsidRDefault="00E337FD" w:rsidP="00E501A9">
            <w:pPr>
              <w:spacing w:line="240" w:lineRule="auto"/>
              <w:jc w:val="right"/>
              <w:rPr>
                <w:rFonts w:ascii="Calibri" w:eastAsia="Times New Roman" w:hAnsi="Calibri" w:cs="Times New Roman"/>
                <w:color w:val="000000"/>
                <w:sz w:val="22"/>
                <w:lang w:eastAsia="cs-CZ"/>
              </w:rPr>
            </w:pPr>
            <w:r w:rsidRPr="00E164E7">
              <w:rPr>
                <w:rFonts w:ascii="Calibri" w:eastAsia="Times New Roman" w:hAnsi="Calibri" w:cs="Times New Roman"/>
                <w:color w:val="000000"/>
                <w:sz w:val="22"/>
                <w:lang w:eastAsia="cs-CZ"/>
              </w:rPr>
              <w:t>11,</w:t>
            </w:r>
            <w:r w:rsidR="00E501A9">
              <w:rPr>
                <w:rFonts w:ascii="Calibri" w:eastAsia="Times New Roman" w:hAnsi="Calibri" w:cs="Times New Roman"/>
                <w:color w:val="000000"/>
                <w:sz w:val="22"/>
                <w:lang w:eastAsia="cs-CZ"/>
              </w:rPr>
              <w:t>8</w:t>
            </w:r>
            <w:r w:rsidRPr="00E164E7">
              <w:rPr>
                <w:rFonts w:ascii="Calibri" w:eastAsia="Times New Roman" w:hAnsi="Calibri" w:cs="Times New Roman"/>
                <w:color w:val="000000"/>
                <w:sz w:val="22"/>
                <w:lang w:eastAsia="cs-CZ"/>
              </w:rPr>
              <w:t>%</w:t>
            </w:r>
          </w:p>
        </w:tc>
      </w:tr>
    </w:tbl>
    <w:p w:rsidR="00E337FD" w:rsidRDefault="00E337FD" w:rsidP="00696DB7">
      <w:pPr>
        <w:spacing w:line="240" w:lineRule="auto"/>
        <w:rPr>
          <w:highlight w:val="yellow"/>
        </w:rPr>
      </w:pPr>
    </w:p>
    <w:p w:rsidR="00E337FD" w:rsidRDefault="00E337FD" w:rsidP="00696DB7">
      <w:pPr>
        <w:spacing w:line="240" w:lineRule="auto"/>
      </w:pPr>
      <w:r w:rsidRPr="00FA3C4C">
        <w:t xml:space="preserve">Z porovnání je zjevné, že ve skupině </w:t>
      </w:r>
      <w:proofErr w:type="spellStart"/>
      <w:r w:rsidR="00291EC0">
        <w:t>UoZ</w:t>
      </w:r>
      <w:proofErr w:type="spellEnd"/>
      <w:r w:rsidRPr="00FA3C4C">
        <w:t xml:space="preserve"> nezaměstnaných déle než 12 měsíců jsou významněji zastoupeny starší osoby (nad 55 let), a to o 9 p. b. </w:t>
      </w:r>
      <w:proofErr w:type="gramStart"/>
      <w:r w:rsidRPr="00FA3C4C">
        <w:t>proti</w:t>
      </w:r>
      <w:proofErr w:type="gramEnd"/>
      <w:r w:rsidRPr="00FA3C4C">
        <w:t xml:space="preserve"> celé skupině </w:t>
      </w:r>
      <w:proofErr w:type="spellStart"/>
      <w:r w:rsidR="00291EC0">
        <w:t>UoZ</w:t>
      </w:r>
      <w:proofErr w:type="spellEnd"/>
      <w:r w:rsidRPr="00FA3C4C">
        <w:t xml:space="preserve">. </w:t>
      </w:r>
      <w:r w:rsidRPr="00B266F0">
        <w:rPr>
          <w:b/>
        </w:rPr>
        <w:t>Z kvalifikovaného odhadu ÚP ČR vyplývá, že 57 % osob starších 55 let je nezaměstnáno déle než 1 rok</w:t>
      </w:r>
      <w:r w:rsidRPr="00FA3C4C">
        <w:t xml:space="preserve">. Obdobná je situace u osob s nejnižším vzděláním, které jsou mezi dlouhodobě nezaměstnanými zastoupeny o 7 p. b. </w:t>
      </w:r>
      <w:proofErr w:type="gramStart"/>
      <w:r w:rsidRPr="00FA3C4C">
        <w:t>více</w:t>
      </w:r>
      <w:proofErr w:type="gramEnd"/>
      <w:r w:rsidRPr="00FA3C4C">
        <w:t xml:space="preserve"> než </w:t>
      </w:r>
      <w:r>
        <w:t xml:space="preserve">mezi </w:t>
      </w:r>
      <w:r w:rsidRPr="00FA3C4C">
        <w:t xml:space="preserve">všemi </w:t>
      </w:r>
      <w:proofErr w:type="spellStart"/>
      <w:r w:rsidR="00291EC0">
        <w:t>UoZ</w:t>
      </w:r>
      <w:proofErr w:type="spellEnd"/>
      <w:r w:rsidRPr="00FA3C4C">
        <w:t xml:space="preserve">, tj. </w:t>
      </w:r>
      <w:r w:rsidRPr="00B266F0">
        <w:rPr>
          <w:b/>
        </w:rPr>
        <w:t xml:space="preserve">polovina </w:t>
      </w:r>
      <w:proofErr w:type="spellStart"/>
      <w:r w:rsidR="00291EC0">
        <w:rPr>
          <w:b/>
        </w:rPr>
        <w:t>UoZ</w:t>
      </w:r>
      <w:proofErr w:type="spellEnd"/>
      <w:r w:rsidRPr="00B266F0">
        <w:rPr>
          <w:b/>
        </w:rPr>
        <w:t xml:space="preserve"> s nejvýše dosaženým základním vzděláním je nezaměstnána déle než 12 měsíců</w:t>
      </w:r>
      <w:r w:rsidRPr="00FA3C4C">
        <w:t>. Rovněž OZP jsou významněji zastoupeny mezi dlouhodobě nezaměstnanými osobam</w:t>
      </w:r>
      <w:r>
        <w:t xml:space="preserve">i než v celé skupině </w:t>
      </w:r>
      <w:proofErr w:type="spellStart"/>
      <w:r w:rsidR="00291EC0">
        <w:t>UoZ</w:t>
      </w:r>
      <w:proofErr w:type="spellEnd"/>
      <w:r w:rsidR="00291EC0">
        <w:t>,</w:t>
      </w:r>
      <w:r w:rsidRPr="00FA3C4C">
        <w:t xml:space="preserve"> a to o 7,4 p. b., což znamená, že </w:t>
      </w:r>
      <w:r>
        <w:rPr>
          <w:b/>
        </w:rPr>
        <w:t xml:space="preserve">zhruba 62 % </w:t>
      </w:r>
      <w:proofErr w:type="spellStart"/>
      <w:r w:rsidR="00291EC0">
        <w:rPr>
          <w:b/>
        </w:rPr>
        <w:t>UoZ</w:t>
      </w:r>
      <w:proofErr w:type="spellEnd"/>
      <w:r w:rsidRPr="00B266F0">
        <w:rPr>
          <w:b/>
        </w:rPr>
        <w:t xml:space="preserve"> se zdravotním postižením je nezaměstnáno déle než 1 rok</w:t>
      </w:r>
      <w:r w:rsidRPr="00FA3C4C">
        <w:t xml:space="preserve">. Naopak nižší zastoupení vykazují mladší osoby do 25 let, a to o 7,8 p. b., tj. pouze 15 % </w:t>
      </w:r>
      <w:proofErr w:type="spellStart"/>
      <w:r w:rsidR="009C1B68">
        <w:t>UoZ</w:t>
      </w:r>
      <w:proofErr w:type="spellEnd"/>
      <w:r w:rsidRPr="00FA3C4C">
        <w:t xml:space="preserve"> mladších 25 let je nezaměstnáno déle než 1 rok. </w:t>
      </w:r>
    </w:p>
    <w:p w:rsidR="00E337FD" w:rsidRDefault="00E337FD" w:rsidP="00696DB7">
      <w:pPr>
        <w:spacing w:line="240" w:lineRule="auto"/>
      </w:pPr>
    </w:p>
    <w:p w:rsidR="00E337FD" w:rsidRPr="00FA3C4C" w:rsidRDefault="00E337FD" w:rsidP="00696DB7">
      <w:pPr>
        <w:spacing w:line="240" w:lineRule="auto"/>
      </w:pPr>
      <w:r>
        <w:t xml:space="preserve">Ve skupině dlouhodobě nezaměstnaných </w:t>
      </w:r>
      <w:proofErr w:type="spellStart"/>
      <w:r w:rsidR="009C1B68">
        <w:t>UoZ</w:t>
      </w:r>
      <w:proofErr w:type="spellEnd"/>
      <w:r>
        <w:t xml:space="preserve"> jsou však významně zastoupeny osoby pracující na tzv. nekolidujícím zaměstnání, tedy osoby vykonávající výdělečnou činnost, která je kvůli svému nízkému rozsahu slučitelná s vedením dané osoby v evidenci </w:t>
      </w:r>
      <w:proofErr w:type="spellStart"/>
      <w:r w:rsidR="009C1B68">
        <w:t>UoZ</w:t>
      </w:r>
      <w:proofErr w:type="spellEnd"/>
      <w:r>
        <w:t xml:space="preserve"> na základě § 25 odst. 3 zákona o zaměstnanosti. Tyto osoby tvoří kvalifikovaným odhadem 1/5 všech dlouhodobě nezaměstnaných </w:t>
      </w:r>
      <w:proofErr w:type="spellStart"/>
      <w:r w:rsidR="009C1B68">
        <w:t>UoZ</w:t>
      </w:r>
      <w:proofErr w:type="spellEnd"/>
      <w:r>
        <w:t xml:space="preserve"> a </w:t>
      </w:r>
      <w:r w:rsidRPr="00B266F0">
        <w:rPr>
          <w:b/>
        </w:rPr>
        <w:t>73 % uchazečů na nekolidujícím zaměstnání je nezaměstnáno déle než 12 měsíců.</w:t>
      </w:r>
    </w:p>
    <w:p w:rsidR="00E337FD" w:rsidRDefault="00E337FD" w:rsidP="00696DB7">
      <w:pPr>
        <w:spacing w:line="240" w:lineRule="auto"/>
        <w:rPr>
          <w:highlight w:val="yellow"/>
        </w:rPr>
      </w:pPr>
    </w:p>
    <w:p w:rsidR="00E337FD" w:rsidRDefault="00E337FD" w:rsidP="00696DB7">
      <w:pPr>
        <w:spacing w:line="240" w:lineRule="auto"/>
      </w:pPr>
      <w:r w:rsidRPr="0035249E">
        <w:t xml:space="preserve">V rozboru regionálních rozdílů ve struktuře dlouhodobě nezaměstnaných osob </w:t>
      </w:r>
      <w:r w:rsidRPr="00B266F0">
        <w:rPr>
          <w:b/>
        </w:rPr>
        <w:t>dominují strukturálně postižené regiony</w:t>
      </w:r>
      <w:r w:rsidRPr="0035249E">
        <w:t xml:space="preserve"> (zejména Karlovarský, Ústecký)</w:t>
      </w:r>
      <w:r>
        <w:t xml:space="preserve">, které v dlouhodobé nezaměstnanosti vykazují vyšší zastoupení osob na trhu práce znevýhodněných, zejména v oblasti nižší kvalifikace (KVK a ULK přes 50 % dlouhodobě nezaměstnaných) a osob s exekucí (přes 30 %). Vysoké zastoupení znevýhodněných osob mezi dlouhodobě nezaměstnanými </w:t>
      </w:r>
      <w:proofErr w:type="spellStart"/>
      <w:r w:rsidR="009C1B68">
        <w:t>UoZ</w:t>
      </w:r>
      <w:proofErr w:type="spellEnd"/>
      <w:r>
        <w:t xml:space="preserve"> v regionálním srovnání však vykazují i regiony s relativně příznivou situací na trhu práce, např. Plzeňský či Pardubický kraj, což je však dáno projevem tzv. „teorie fronty“, kdy na trh práce předně vstupují osoby s méně hendikepy. Graf níže zároveň názorně ukazuje, ve kterých regionech nejčastěji dochází ke kumulaci znevýhodnění (1 </w:t>
      </w:r>
      <w:proofErr w:type="spellStart"/>
      <w:r>
        <w:t>UoZ</w:t>
      </w:r>
      <w:proofErr w:type="spellEnd"/>
      <w:r>
        <w:t xml:space="preserve"> může být zastoupen ve více skupinách, proto součet může být vyšší nežli 100 %)</w:t>
      </w:r>
    </w:p>
    <w:p w:rsidR="00E337FD" w:rsidRDefault="00E337FD" w:rsidP="00696DB7">
      <w:pPr>
        <w:spacing w:line="240" w:lineRule="auto"/>
      </w:pPr>
    </w:p>
    <w:p w:rsidR="009B715F" w:rsidRDefault="00805809" w:rsidP="009B715F">
      <w:pPr>
        <w:pStyle w:val="Titulek"/>
        <w:keepNext/>
      </w:pPr>
      <w:bookmarkStart w:id="32" w:name="_Toc465675933"/>
      <w:r>
        <w:t>Graf</w:t>
      </w:r>
      <w:r w:rsidR="009B715F">
        <w:t xml:space="preserve"> </w:t>
      </w:r>
      <w:r w:rsidR="006C5B50">
        <w:fldChar w:fldCharType="begin"/>
      </w:r>
      <w:r w:rsidR="006C5B50">
        <w:instrText xml:space="preserve"> SEQ Graf_č.: \* ARABIC </w:instrText>
      </w:r>
      <w:r w:rsidR="006C5B50">
        <w:fldChar w:fldCharType="separate"/>
      </w:r>
      <w:r w:rsidR="005B254A">
        <w:rPr>
          <w:noProof/>
        </w:rPr>
        <w:t>14</w:t>
      </w:r>
      <w:r w:rsidR="006C5B50">
        <w:rPr>
          <w:noProof/>
        </w:rPr>
        <w:fldChar w:fldCharType="end"/>
      </w:r>
      <w:r w:rsidR="009B715F">
        <w:t xml:space="preserve"> - </w:t>
      </w:r>
      <w:r w:rsidR="009B715F" w:rsidRPr="009B715F">
        <w:t xml:space="preserve">Struktura dlouhodobě nezaměstnaných </w:t>
      </w:r>
      <w:proofErr w:type="spellStart"/>
      <w:r w:rsidR="009B715F" w:rsidRPr="009B715F">
        <w:t>UoZ</w:t>
      </w:r>
      <w:proofErr w:type="spellEnd"/>
      <w:r w:rsidR="009B715F" w:rsidRPr="009B715F">
        <w:t xml:space="preserve"> – součet podílů sledovaných skupin, k 3</w:t>
      </w:r>
      <w:r w:rsidR="00724111">
        <w:t>0</w:t>
      </w:r>
      <w:r w:rsidR="009B715F" w:rsidRPr="009B715F">
        <w:t xml:space="preserve">. </w:t>
      </w:r>
      <w:r w:rsidR="00724111">
        <w:t>9</w:t>
      </w:r>
      <w:r w:rsidR="009B715F" w:rsidRPr="009B715F">
        <w:t>. 2016</w:t>
      </w:r>
      <w:bookmarkEnd w:id="32"/>
    </w:p>
    <w:p w:rsidR="00E337FD" w:rsidRPr="0035249E" w:rsidRDefault="00E337FD" w:rsidP="00696DB7">
      <w:pPr>
        <w:spacing w:line="240" w:lineRule="auto"/>
      </w:pPr>
      <w:r>
        <w:rPr>
          <w:noProof/>
          <w:lang w:eastAsia="cs-CZ"/>
        </w:rPr>
        <w:drawing>
          <wp:inline distT="0" distB="0" distL="0" distR="0" wp14:anchorId="65573C51" wp14:editId="5EB1D4A7">
            <wp:extent cx="5688419" cy="3391786"/>
            <wp:effectExtent l="0" t="0" r="26670" b="18415"/>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E337FD" w:rsidRDefault="00E337FD" w:rsidP="00696DB7">
      <w:pPr>
        <w:spacing w:line="240" w:lineRule="auto"/>
        <w:rPr>
          <w:highlight w:val="yellow"/>
        </w:rPr>
      </w:pPr>
    </w:p>
    <w:p w:rsidR="00E337FD" w:rsidRDefault="00E337FD" w:rsidP="00696DB7">
      <w:pPr>
        <w:spacing w:line="240" w:lineRule="auto"/>
        <w:rPr>
          <w:highlight w:val="yellow"/>
        </w:rPr>
      </w:pPr>
    </w:p>
    <w:p w:rsidR="00E337FD" w:rsidRDefault="00E337FD" w:rsidP="00696DB7">
      <w:pPr>
        <w:spacing w:line="240" w:lineRule="auto"/>
        <w:rPr>
          <w:highlight w:val="yellow"/>
        </w:rPr>
      </w:pPr>
    </w:p>
    <w:p w:rsidR="00E337FD" w:rsidRDefault="009B715F" w:rsidP="00696DB7">
      <w:pPr>
        <w:spacing w:line="240" w:lineRule="auto"/>
        <w:rPr>
          <w:highlight w:val="yellow"/>
        </w:rPr>
      </w:pPr>
      <w:r w:rsidRPr="004805CA">
        <w:rPr>
          <w:noProof/>
          <w:sz w:val="20"/>
          <w:lang w:eastAsia="cs-CZ"/>
        </w:rPr>
        <w:drawing>
          <wp:anchor distT="0" distB="0" distL="114300" distR="114300" simplePos="0" relativeHeight="251663360" behindDoc="0" locked="0" layoutInCell="1" allowOverlap="1" wp14:anchorId="6737F3B7" wp14:editId="688DA6A5">
            <wp:simplePos x="0" y="0"/>
            <wp:positionH relativeFrom="column">
              <wp:posOffset>-6985</wp:posOffset>
            </wp:positionH>
            <wp:positionV relativeFrom="paragraph">
              <wp:posOffset>333375</wp:posOffset>
            </wp:positionV>
            <wp:extent cx="5762625" cy="4720590"/>
            <wp:effectExtent l="0" t="0" r="9525" b="22860"/>
            <wp:wrapSquare wrapText="bothSides"/>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114300" distR="114300" simplePos="0" relativeHeight="251675648" behindDoc="0" locked="0" layoutInCell="1" allowOverlap="1" wp14:anchorId="1D3EE8C0" wp14:editId="1173DB4E">
                <wp:simplePos x="0" y="0"/>
                <wp:positionH relativeFrom="column">
                  <wp:posOffset>-4445</wp:posOffset>
                </wp:positionH>
                <wp:positionV relativeFrom="paragraph">
                  <wp:posOffset>-128270</wp:posOffset>
                </wp:positionV>
                <wp:extent cx="5760720" cy="457200"/>
                <wp:effectExtent l="0" t="0" r="0" b="0"/>
                <wp:wrapSquare wrapText="bothSides"/>
                <wp:docPr id="23" name="Textové pole 23"/>
                <wp:cNvGraphicFramePr/>
                <a:graphic xmlns:a="http://schemas.openxmlformats.org/drawingml/2006/main">
                  <a:graphicData uri="http://schemas.microsoft.com/office/word/2010/wordprocessingShape">
                    <wps:wsp>
                      <wps:cNvSpPr txBox="1"/>
                      <wps:spPr>
                        <a:xfrm>
                          <a:off x="0" y="0"/>
                          <a:ext cx="5760720" cy="457200"/>
                        </a:xfrm>
                        <a:prstGeom prst="rect">
                          <a:avLst/>
                        </a:prstGeom>
                        <a:solidFill>
                          <a:prstClr val="white"/>
                        </a:solidFill>
                        <a:ln>
                          <a:noFill/>
                        </a:ln>
                        <a:effectLst/>
                      </wps:spPr>
                      <wps:txbx>
                        <w:txbxContent>
                          <w:p w:rsidR="006C5B50" w:rsidRPr="00481FA0" w:rsidRDefault="006C5B50" w:rsidP="009B715F">
                            <w:pPr>
                              <w:pStyle w:val="Titulek"/>
                              <w:spacing w:before="120" w:after="120"/>
                              <w:rPr>
                                <w:noProof/>
                                <w:sz w:val="20"/>
                              </w:rPr>
                            </w:pPr>
                            <w:bookmarkStart w:id="33" w:name="_Toc465675934"/>
                            <w:r>
                              <w:t xml:space="preserve">Graf </w:t>
                            </w:r>
                            <w:fldSimple w:instr=" SEQ Graf_č.: \* ARABIC ">
                              <w:r w:rsidR="005B254A">
                                <w:rPr>
                                  <w:noProof/>
                                </w:rPr>
                                <w:t>15</w:t>
                              </w:r>
                            </w:fldSimple>
                            <w:r w:rsidRPr="009B715F">
                              <w:t xml:space="preserve"> Struktura dlouhodobě nezaměstnaných </w:t>
                            </w:r>
                            <w:proofErr w:type="spellStart"/>
                            <w:r w:rsidRPr="009B715F">
                              <w:t>UoZ</w:t>
                            </w:r>
                            <w:proofErr w:type="spellEnd"/>
                            <w:r w:rsidRPr="009B715F">
                              <w:t xml:space="preserve"> – počty ve sledovaných skupinách, </w:t>
                            </w:r>
                            <w:r>
                              <w:t>k 30</w:t>
                            </w:r>
                            <w:r w:rsidRPr="009B715F">
                              <w:t xml:space="preserve">. </w:t>
                            </w:r>
                            <w:r>
                              <w:t>9</w:t>
                            </w:r>
                            <w:r w:rsidRPr="009B715F">
                              <w:t>. 2016</w:t>
                            </w:r>
                            <w:bookmarkEnd w:id="3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ové pole 23" o:spid="_x0000_s1028" type="#_x0000_t202" style="position:absolute;left:0;text-align:left;margin-left:-.35pt;margin-top:-10.1pt;width:453.6pt;height:36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" stroked="f">
                <v:textbox inset="0,0,0,0">
                  <w:txbxContent>
                    <w:p w:rsidR="006C5B50" w:rsidRPr="00481FA0" w:rsidRDefault="006C5B50" w:rsidP="009B715F">
                      <w:pPr>
                        <w:pStyle w:val="Titulek"/>
                        <w:spacing w:before="120" w:after="120"/>
                        <w:rPr>
                          <w:noProof/>
                          <w:sz w:val="20"/>
                        </w:rPr>
                      </w:pPr>
                      <w:bookmarkStart w:id="34" w:name="_Toc465675934"/>
                      <w:r>
                        <w:t xml:space="preserve">Graf </w:t>
                      </w:r>
                      <w:fldSimple w:instr=" SEQ Graf_č.: \* ARABIC ">
                        <w:r w:rsidR="005B254A">
                          <w:rPr>
                            <w:noProof/>
                          </w:rPr>
                          <w:t>15</w:t>
                        </w:r>
                      </w:fldSimple>
                      <w:r w:rsidRPr="009B715F">
                        <w:t xml:space="preserve"> Struktura dlouhodobě nezaměstnaných </w:t>
                      </w:r>
                      <w:proofErr w:type="spellStart"/>
                      <w:r w:rsidRPr="009B715F">
                        <w:t>UoZ</w:t>
                      </w:r>
                      <w:proofErr w:type="spellEnd"/>
                      <w:r w:rsidRPr="009B715F">
                        <w:t xml:space="preserve"> – počty ve sledovaných skupinách, </w:t>
                      </w:r>
                      <w:r>
                        <w:t>k 30</w:t>
                      </w:r>
                      <w:r w:rsidRPr="009B715F">
                        <w:t xml:space="preserve">. </w:t>
                      </w:r>
                      <w:r>
                        <w:t>9</w:t>
                      </w:r>
                      <w:r w:rsidRPr="009B715F">
                        <w:t>. 2016</w:t>
                      </w:r>
                      <w:bookmarkEnd w:id="34"/>
                    </w:p>
                  </w:txbxContent>
                </v:textbox>
                <w10:wrap type="square"/>
              </v:shape>
            </w:pict>
          </mc:Fallback>
        </mc:AlternateContent>
      </w:r>
      <w:r w:rsidR="00E337FD" w:rsidRPr="004805CA">
        <w:rPr>
          <w:i/>
          <w:sz w:val="20"/>
        </w:rPr>
        <w:t xml:space="preserve"> </w:t>
      </w:r>
    </w:p>
    <w:p w:rsidR="00E337FD" w:rsidRDefault="00E337FD" w:rsidP="00696DB7">
      <w:pPr>
        <w:spacing w:line="240" w:lineRule="auto"/>
        <w:rPr>
          <w:highlight w:val="yellow"/>
        </w:rPr>
      </w:pPr>
    </w:p>
    <w:p w:rsidR="000E3262" w:rsidRPr="000E3262" w:rsidRDefault="000E3262" w:rsidP="001F4C42">
      <w:pPr>
        <w:pStyle w:val="Nadpis1"/>
        <w:numPr>
          <w:ilvl w:val="0"/>
          <w:numId w:val="6"/>
        </w:numPr>
        <w:spacing w:before="240" w:after="120"/>
      </w:pPr>
      <w:bookmarkStart w:id="35" w:name="_Toc465674775"/>
      <w:r w:rsidRPr="000E3262">
        <w:t>Odhad přirozené míry nezaměstnanosti</w:t>
      </w:r>
      <w:bookmarkEnd w:id="35"/>
    </w:p>
    <w:p w:rsidR="000E3262" w:rsidRDefault="000E3262" w:rsidP="00696DB7">
      <w:pPr>
        <w:spacing w:after="200" w:line="240" w:lineRule="auto"/>
        <w:rPr>
          <w:rFonts w:cs="Arial"/>
        </w:rPr>
      </w:pPr>
      <w:r>
        <w:rPr>
          <w:rFonts w:cs="Arial"/>
        </w:rPr>
        <w:t xml:space="preserve">Možnosti trhu práce uspokojit poptávku po pracovní síle významně ovlivňuje úroveň tzv. přirozené míry nezaměstnanosti. Ta je definována různými způsoby, zpravidla obsahuje složku frikční a strukturální, obsažena však není složka cyklická, neboť přirozená míra nezaměstnanosti ideálně nastává v ekonomice setrvávající na úrovni potenciálního produktu. Výše přirozené míry nezaměstnanosti se různí jak v čase, tak v různých ekonomikách, neboť je ovlivňována celou řadou faktorů (migrace, úroveň mezd, nastavení sociálního systému, demografie). </w:t>
      </w:r>
      <w:r>
        <w:rPr>
          <w:rFonts w:cs="Arial"/>
          <w:b/>
        </w:rPr>
        <w:t>Přirozená míra nezaměstnanosti nicméně neznamená její nevyhnutelnost či ideální stav.</w:t>
      </w:r>
      <w:r>
        <w:rPr>
          <w:rFonts w:cs="Arial"/>
        </w:rPr>
        <w:t xml:space="preserve"> Zejména strukturální složku přirozené míry nezaměstnanosti je nutné eliminovat, neboť na rozdíl od nezaměstnanosti frikční odráží disfunkci trhu práce při harmonizaci nabídky a poptávky.</w:t>
      </w:r>
    </w:p>
    <w:p w:rsidR="000E3262" w:rsidRDefault="000E3262" w:rsidP="00696DB7">
      <w:pPr>
        <w:spacing w:after="200" w:line="240" w:lineRule="auto"/>
        <w:rPr>
          <w:rFonts w:cs="Arial"/>
        </w:rPr>
      </w:pPr>
      <w:r>
        <w:rPr>
          <w:rFonts w:cs="Arial"/>
        </w:rPr>
        <w:t xml:space="preserve">Přirozená míra nezaměstnanosti se odhaduje kolem 4 % až 6 % v USA. V evropských zemích je přirozená míra nezaměstnanosti uvažována jako vyšší, a to v důsledku nastavení sociálních systémů. Její výše však není v čase konstantní a zvyšuje se v důsledku dlouhodobě vysokých hodnot míry nezaměstnanosti – tzv. hystereze, kdy dochází k posilování zejména strukturální složky nezaměstnanosti (úroveň frikční nezaměstnanosti bývává určována na hladině 2 % až 3 %). S ohledem na uvedené skutečnosti, lze přirozenou míru nezaměstnanosti v ČR odhadovat kolem </w:t>
      </w:r>
      <w:r w:rsidR="005B51ED">
        <w:rPr>
          <w:rFonts w:cs="Arial"/>
        </w:rPr>
        <w:t>6</w:t>
      </w:r>
      <w:r>
        <w:rPr>
          <w:rFonts w:cs="Arial"/>
        </w:rPr>
        <w:t xml:space="preserve"> % z celkového objemu pracovní síly.  </w:t>
      </w:r>
    </w:p>
    <w:p w:rsidR="000E3262" w:rsidRDefault="000E3262" w:rsidP="00696DB7">
      <w:pPr>
        <w:spacing w:after="200" w:line="240" w:lineRule="auto"/>
        <w:rPr>
          <w:rFonts w:cs="Arial"/>
          <w:b/>
        </w:rPr>
      </w:pPr>
      <w:r>
        <w:rPr>
          <w:rFonts w:cs="Arial"/>
        </w:rPr>
        <w:t>Ve 2. čtvrtletí 2016 činil objem pracovní síly dle VŠPS v ČR 5 3</w:t>
      </w:r>
      <w:r w:rsidR="005B51ED">
        <w:rPr>
          <w:rFonts w:cs="Arial"/>
        </w:rPr>
        <w:t>38</w:t>
      </w:r>
      <w:r>
        <w:rPr>
          <w:rFonts w:cs="Arial"/>
        </w:rPr>
        <w:t xml:space="preserve"> tis. osob, objem přirozené nezaměstnanosti tak lze při její výši </w:t>
      </w:r>
      <w:r w:rsidR="00774580">
        <w:rPr>
          <w:rFonts w:cs="Arial"/>
        </w:rPr>
        <w:t>6</w:t>
      </w:r>
      <w:r w:rsidR="005B51ED">
        <w:rPr>
          <w:rFonts w:cs="Arial"/>
        </w:rPr>
        <w:t xml:space="preserve"> % odhadnout na 3</w:t>
      </w:r>
      <w:r w:rsidR="00774580">
        <w:rPr>
          <w:rFonts w:cs="Arial"/>
        </w:rPr>
        <w:t>2</w:t>
      </w:r>
      <w:r>
        <w:rPr>
          <w:rFonts w:cs="Arial"/>
        </w:rPr>
        <w:t xml:space="preserve">0 tis. osob. </w:t>
      </w:r>
      <w:r>
        <w:rPr>
          <w:rFonts w:cs="Arial"/>
          <w:b/>
        </w:rPr>
        <w:t xml:space="preserve">Na trhu práce tak bylo </w:t>
      </w:r>
      <w:r w:rsidR="00774580">
        <w:rPr>
          <w:rFonts w:cs="Arial"/>
          <w:b/>
        </w:rPr>
        <w:t>nad rámec odhadované přirozené míry nezaměstnanosti bez práce 60 až 70 tis. osob, které lze označit za disponibilní pracovní sílu</w:t>
      </w:r>
      <w:r>
        <w:rPr>
          <w:rFonts w:cs="Arial"/>
        </w:rPr>
        <w:t xml:space="preserve">. Zhruba </w:t>
      </w:r>
      <w:r w:rsidR="00631C35">
        <w:rPr>
          <w:rFonts w:cs="Arial"/>
        </w:rPr>
        <w:t>3</w:t>
      </w:r>
      <w:r>
        <w:rPr>
          <w:rFonts w:cs="Arial"/>
        </w:rPr>
        <w:t xml:space="preserve"> % objemu pracovní síly lze označit za nezaměstnanost frikční (přirozená fluktuace za lépe placenou prací, demografická výměna, stěhování…), </w:t>
      </w:r>
      <w:r w:rsidR="00774580">
        <w:rPr>
          <w:rFonts w:cs="Arial"/>
        </w:rPr>
        <w:t xml:space="preserve">což je cca 160 tis. osob, </w:t>
      </w:r>
      <w:r>
        <w:rPr>
          <w:rFonts w:cs="Arial"/>
        </w:rPr>
        <w:t xml:space="preserve">zatímco strukturální složku </w:t>
      </w:r>
      <w:r w:rsidR="00774580">
        <w:rPr>
          <w:rFonts w:cs="Arial"/>
        </w:rPr>
        <w:t xml:space="preserve">(včetně dobrovolné nezaměstnanosti z důvodů negativního vlivu sociálních dávek), </w:t>
      </w:r>
      <w:r>
        <w:rPr>
          <w:rFonts w:cs="Arial"/>
        </w:rPr>
        <w:t xml:space="preserve">lze odhadnout </w:t>
      </w:r>
      <w:r w:rsidR="005B51ED">
        <w:rPr>
          <w:rFonts w:cs="Arial"/>
        </w:rPr>
        <w:t xml:space="preserve">též </w:t>
      </w:r>
      <w:r>
        <w:rPr>
          <w:rFonts w:cs="Arial"/>
        </w:rPr>
        <w:t xml:space="preserve">na </w:t>
      </w:r>
      <w:r w:rsidR="00774580">
        <w:rPr>
          <w:rFonts w:cs="Arial"/>
        </w:rPr>
        <w:t>3</w:t>
      </w:r>
      <w:r>
        <w:rPr>
          <w:rFonts w:cs="Arial"/>
        </w:rPr>
        <w:t xml:space="preserve"> %, tj. cca </w:t>
      </w:r>
      <w:r w:rsidR="009C1B68">
        <w:rPr>
          <w:rFonts w:cs="Arial"/>
        </w:rPr>
        <w:br/>
      </w:r>
      <w:r w:rsidR="00631C35">
        <w:rPr>
          <w:rFonts w:cs="Arial"/>
        </w:rPr>
        <w:t>1</w:t>
      </w:r>
      <w:r w:rsidR="00774580">
        <w:rPr>
          <w:rFonts w:cs="Arial"/>
        </w:rPr>
        <w:t>6</w:t>
      </w:r>
      <w:r w:rsidR="00631C35">
        <w:rPr>
          <w:rFonts w:cs="Arial"/>
        </w:rPr>
        <w:t>0 000</w:t>
      </w:r>
      <w:r>
        <w:rPr>
          <w:rFonts w:cs="Arial"/>
        </w:rPr>
        <w:t xml:space="preserve"> osob, což koreluje s počtem uchazečů o zaměstnání evidovaných déle než 12 měsíců. </w:t>
      </w:r>
      <w:r>
        <w:rPr>
          <w:rFonts w:cs="Arial"/>
          <w:b/>
        </w:rPr>
        <w:t>Český trh práce se tak v současné době pohybuje na hranici přirozené míry nezaměstnanosti, přičemž její významnou část tvoří strukturální složka.</w:t>
      </w:r>
    </w:p>
    <w:p w:rsidR="003F77D9" w:rsidRPr="009B715F" w:rsidRDefault="003F77D9" w:rsidP="001F4C42">
      <w:pPr>
        <w:pStyle w:val="Nadpis1"/>
        <w:numPr>
          <w:ilvl w:val="0"/>
          <w:numId w:val="6"/>
        </w:numPr>
      </w:pPr>
      <w:bookmarkStart w:id="36" w:name="_Toc465674776"/>
      <w:r w:rsidRPr="009B715F">
        <w:t>Analýza nabídky a poptávky</w:t>
      </w:r>
      <w:bookmarkEnd w:id="36"/>
      <w:r w:rsidRPr="009B715F">
        <w:t xml:space="preserve"> </w:t>
      </w:r>
    </w:p>
    <w:p w:rsidR="008D7208" w:rsidRDefault="008D7208" w:rsidP="008D7208">
      <w:pPr>
        <w:spacing w:before="120" w:line="240" w:lineRule="auto"/>
        <w:rPr>
          <w:rFonts w:cs="Arial"/>
          <w:szCs w:val="24"/>
        </w:rPr>
      </w:pPr>
      <w:r w:rsidRPr="00C605D8">
        <w:rPr>
          <w:rFonts w:cs="Arial"/>
          <w:szCs w:val="24"/>
        </w:rPr>
        <w:t>Přes pozitivní vývoj na trhu práce v ČR zejména v oblasti poptávky po pracovní síle se v mnoha povoláních</w:t>
      </w:r>
      <w:r w:rsidR="00D306E6">
        <w:rPr>
          <w:rFonts w:cs="Arial"/>
          <w:szCs w:val="24"/>
        </w:rPr>
        <w:t xml:space="preserve"> (jak ukazují předcházející kapitoly)</w:t>
      </w:r>
      <w:r w:rsidRPr="00C605D8">
        <w:rPr>
          <w:rFonts w:cs="Arial"/>
          <w:szCs w:val="24"/>
        </w:rPr>
        <w:t xml:space="preserve"> objevují výrazné disproporce mezi poptávkou a nabídkou, čili mezi počtem </w:t>
      </w:r>
      <w:r w:rsidR="009C1B68">
        <w:rPr>
          <w:rFonts w:cs="Arial"/>
          <w:szCs w:val="24"/>
        </w:rPr>
        <w:t>VPM</w:t>
      </w:r>
      <w:r w:rsidRPr="00C605D8">
        <w:rPr>
          <w:rFonts w:cs="Arial"/>
          <w:szCs w:val="24"/>
        </w:rPr>
        <w:t xml:space="preserve"> v evidenci ÚP ČR </w:t>
      </w:r>
      <w:r w:rsidR="009C1B68">
        <w:rPr>
          <w:rFonts w:cs="Arial"/>
          <w:szCs w:val="24"/>
        </w:rPr>
        <w:br/>
      </w:r>
      <w:r w:rsidRPr="00C605D8">
        <w:rPr>
          <w:rFonts w:cs="Arial"/>
          <w:szCs w:val="24"/>
        </w:rPr>
        <w:t xml:space="preserve">a počtem </w:t>
      </w:r>
      <w:proofErr w:type="spellStart"/>
      <w:r w:rsidR="009C1B68">
        <w:rPr>
          <w:rFonts w:cs="Arial"/>
          <w:szCs w:val="24"/>
        </w:rPr>
        <w:t>UoZ</w:t>
      </w:r>
      <w:proofErr w:type="spellEnd"/>
      <w:r w:rsidRPr="00C605D8">
        <w:rPr>
          <w:rFonts w:cs="Arial"/>
          <w:szCs w:val="24"/>
        </w:rPr>
        <w:t>. Příčiny tohoto nesouladu lze definovat jak na straně poptávky (</w:t>
      </w:r>
      <w:r w:rsidR="009C1B68">
        <w:rPr>
          <w:rFonts w:cs="Arial"/>
          <w:szCs w:val="24"/>
        </w:rPr>
        <w:t>VPM</w:t>
      </w:r>
      <w:r w:rsidRPr="00C605D8">
        <w:rPr>
          <w:rFonts w:cs="Arial"/>
          <w:szCs w:val="24"/>
        </w:rPr>
        <w:t>), tak na straně nabídky (</w:t>
      </w:r>
      <w:proofErr w:type="spellStart"/>
      <w:r w:rsidR="009C1B68">
        <w:rPr>
          <w:rFonts w:cs="Arial"/>
          <w:szCs w:val="24"/>
        </w:rPr>
        <w:t>UoZ</w:t>
      </w:r>
      <w:proofErr w:type="spellEnd"/>
      <w:r w:rsidRPr="00C605D8">
        <w:rPr>
          <w:rFonts w:cs="Arial"/>
          <w:szCs w:val="24"/>
        </w:rPr>
        <w:t xml:space="preserve">). V následujícím textu jsou tyto příčiny definovány pro nejčastější skupiny povolání. </w:t>
      </w:r>
    </w:p>
    <w:p w:rsidR="00A834BC" w:rsidRPr="00C605D8" w:rsidRDefault="00A834BC" w:rsidP="008D7208">
      <w:pPr>
        <w:spacing w:before="120" w:line="240" w:lineRule="auto"/>
        <w:rPr>
          <w:rFonts w:cs="Arial"/>
          <w:szCs w:val="24"/>
        </w:rPr>
      </w:pPr>
    </w:p>
    <w:p w:rsidR="008D7208" w:rsidRPr="00D306E6" w:rsidRDefault="008D7208" w:rsidP="001F4C42">
      <w:pPr>
        <w:pStyle w:val="Nadpis2"/>
        <w:numPr>
          <w:ilvl w:val="1"/>
          <w:numId w:val="6"/>
        </w:numPr>
      </w:pPr>
      <w:bookmarkStart w:id="37" w:name="_Toc465674777"/>
      <w:r w:rsidRPr="00D306E6">
        <w:t>Nejčastěji poptávané skupiny povolání</w:t>
      </w:r>
      <w:bookmarkEnd w:id="37"/>
    </w:p>
    <w:p w:rsidR="008D7208" w:rsidRPr="00C605D8" w:rsidRDefault="008D7208" w:rsidP="008D7208">
      <w:pPr>
        <w:spacing w:before="120" w:line="240" w:lineRule="auto"/>
        <w:rPr>
          <w:rFonts w:cs="Arial"/>
          <w:szCs w:val="24"/>
        </w:rPr>
      </w:pPr>
      <w:r w:rsidRPr="00C605D8">
        <w:rPr>
          <w:rFonts w:cs="Arial"/>
          <w:szCs w:val="24"/>
        </w:rPr>
        <w:t>Ze strany zaměstnavatelů jsou nejčastěji poptávána, resp. ÚP ČR hlášena, pracovní místa v 7., 8. a 9. třídě zaměstnání. Jedná se v převážné většině o pracovní místa s nižšími kvalifikačními požadavky, s nízkou nabízenou odměnou za vykonanou práci a obtížnějšími pracovními podmínkami. Řada z těchto pracovních míst je zaměstnavateli hlášena z důvodu obsazení pracovních míst občany třetích zemí.</w:t>
      </w:r>
    </w:p>
    <w:p w:rsidR="008D7208" w:rsidRPr="00C605D8" w:rsidRDefault="008D7208" w:rsidP="008D7208">
      <w:pPr>
        <w:spacing w:before="120" w:line="240" w:lineRule="auto"/>
        <w:rPr>
          <w:rFonts w:cs="Arial"/>
          <w:b/>
          <w:szCs w:val="24"/>
        </w:rPr>
      </w:pPr>
      <w:r w:rsidRPr="00C605D8">
        <w:rPr>
          <w:rFonts w:cs="Arial"/>
          <w:szCs w:val="24"/>
        </w:rPr>
        <w:t xml:space="preserve">V oblasti poptávky po pracovní síle, lze vysledovat </w:t>
      </w:r>
      <w:r w:rsidRPr="00C605D8">
        <w:rPr>
          <w:rFonts w:cs="Arial"/>
          <w:b/>
          <w:szCs w:val="24"/>
        </w:rPr>
        <w:t>dva základní determinanty omezující funkční zprostředkování zaměstnání a vytvářející diskrepanci na trhu práce:</w:t>
      </w:r>
    </w:p>
    <w:p w:rsidR="008D7208" w:rsidRPr="00C605D8" w:rsidRDefault="008D7208" w:rsidP="001F4C42">
      <w:pPr>
        <w:pStyle w:val="Odstavecseseznamem"/>
        <w:numPr>
          <w:ilvl w:val="0"/>
          <w:numId w:val="1"/>
        </w:numPr>
        <w:spacing w:before="120" w:line="240" w:lineRule="auto"/>
        <w:rPr>
          <w:rFonts w:cs="Arial"/>
          <w:b/>
          <w:szCs w:val="24"/>
        </w:rPr>
      </w:pPr>
      <w:r w:rsidRPr="00C605D8">
        <w:rPr>
          <w:rFonts w:cs="Arial"/>
          <w:b/>
          <w:szCs w:val="24"/>
        </w:rPr>
        <w:t>poptávka po oborech, které se potýkají s nedostatkem pracovní síly (zejména technické obory).</w:t>
      </w:r>
    </w:p>
    <w:p w:rsidR="008D7208" w:rsidRPr="00157D44" w:rsidRDefault="008D7208" w:rsidP="001F4C42">
      <w:pPr>
        <w:pStyle w:val="Odstavecseseznamem"/>
        <w:numPr>
          <w:ilvl w:val="0"/>
          <w:numId w:val="1"/>
        </w:numPr>
        <w:spacing w:before="120" w:line="240" w:lineRule="auto"/>
        <w:rPr>
          <w:rFonts w:cs="Arial"/>
          <w:b/>
          <w:szCs w:val="24"/>
        </w:rPr>
      </w:pPr>
      <w:r w:rsidRPr="00157D44">
        <w:rPr>
          <w:rFonts w:cs="Arial"/>
          <w:b/>
          <w:szCs w:val="24"/>
        </w:rPr>
        <w:t>vzájemná synergie sociálního systému (</w:t>
      </w:r>
      <w:r>
        <w:rPr>
          <w:rFonts w:cs="Arial"/>
          <w:b/>
          <w:szCs w:val="24"/>
        </w:rPr>
        <w:t xml:space="preserve">sociálního příjmu), mzdových, </w:t>
      </w:r>
      <w:r w:rsidRPr="00157D44">
        <w:rPr>
          <w:rFonts w:cs="Arial"/>
          <w:b/>
          <w:szCs w:val="24"/>
        </w:rPr>
        <w:t xml:space="preserve">pracovních </w:t>
      </w:r>
      <w:r>
        <w:rPr>
          <w:rFonts w:cs="Arial"/>
          <w:b/>
          <w:szCs w:val="24"/>
        </w:rPr>
        <w:t xml:space="preserve">a životních </w:t>
      </w:r>
      <w:r w:rsidRPr="00157D44">
        <w:rPr>
          <w:rFonts w:cs="Arial"/>
          <w:b/>
          <w:szCs w:val="24"/>
        </w:rPr>
        <w:t>podmínek snižující motivaci pracovní síly k akceptaci zaměstnání</w:t>
      </w:r>
      <w:r>
        <w:rPr>
          <w:rFonts w:cs="Arial"/>
          <w:b/>
          <w:szCs w:val="24"/>
        </w:rPr>
        <w:t xml:space="preserve"> </w:t>
      </w:r>
      <w:r>
        <w:rPr>
          <w:rFonts w:cs="Arial"/>
          <w:szCs w:val="24"/>
        </w:rPr>
        <w:t>(včetně problémů zadluženosti domácností).</w:t>
      </w:r>
    </w:p>
    <w:p w:rsidR="008D7208" w:rsidRPr="00C605D8" w:rsidRDefault="008D7208" w:rsidP="008D7208">
      <w:pPr>
        <w:spacing w:before="120" w:line="240" w:lineRule="auto"/>
        <w:rPr>
          <w:rFonts w:cs="Arial"/>
          <w:szCs w:val="24"/>
        </w:rPr>
      </w:pPr>
      <w:r w:rsidRPr="00C605D8">
        <w:rPr>
          <w:rFonts w:cs="Arial"/>
          <w:szCs w:val="24"/>
        </w:rPr>
        <w:t>Nejčastěji poptávané (a neobsazené) jsou níže uvedené skupiny povolání:</w:t>
      </w:r>
    </w:p>
    <w:p w:rsidR="008D7208" w:rsidRPr="00C605D8" w:rsidRDefault="008D7208" w:rsidP="008D7208">
      <w:pPr>
        <w:spacing w:before="120"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 xml:space="preserve">Pomocní pracovníci ve výrobě – CZ ISCO 932 </w:t>
      </w:r>
    </w:p>
    <w:p w:rsidR="008D7208" w:rsidRPr="00C605D8" w:rsidRDefault="008D7208" w:rsidP="008D7208">
      <w:pPr>
        <w:spacing w:line="240" w:lineRule="auto"/>
        <w:rPr>
          <w:rFonts w:cs="Arial"/>
          <w:szCs w:val="24"/>
        </w:rPr>
      </w:pPr>
      <w:r w:rsidRPr="00C605D8">
        <w:rPr>
          <w:rFonts w:cs="Arial"/>
          <w:szCs w:val="24"/>
        </w:rPr>
        <w:t xml:space="preserve">Jedná se o skupinu prací s nízkými kvalifikačními požadavky s často vysoce nízkou (minimální) mzdou. Její výše není pro </w:t>
      </w:r>
      <w:proofErr w:type="spellStart"/>
      <w:r w:rsidR="009C1B68">
        <w:rPr>
          <w:rFonts w:cs="Arial"/>
          <w:szCs w:val="24"/>
        </w:rPr>
        <w:t>UoZ</w:t>
      </w:r>
      <w:proofErr w:type="spellEnd"/>
      <w:r w:rsidRPr="00C605D8">
        <w:rPr>
          <w:rFonts w:cs="Arial"/>
          <w:szCs w:val="24"/>
        </w:rPr>
        <w:t xml:space="preserve"> dostatečně motivující, zejména v případě nutnosti dojížďky do zaměstnání mimo místo bydliště, kdy není schopna adekvátně kompenzovat zvýšené náklady (doprava, zabezpečení péče o dítě či jinou závislou osobu atd.). Problematická je rovněž fyzická náročnost práce v kombinaci s požadavky na směnnost provozu (dvou až třísměnné provozy). Motivace k přijetí takovéhoto zaměstnání je dále snižována volenými formami pracovně-právních vztahů – často jsou využívány agentury práce a dohody mimo pracovní poměr. </w:t>
      </w:r>
    </w:p>
    <w:p w:rsidR="008D7208" w:rsidRPr="00C605D8" w:rsidRDefault="008D7208" w:rsidP="008D7208">
      <w:pPr>
        <w:spacing w:line="240" w:lineRule="auto"/>
        <w:rPr>
          <w:rFonts w:cs="Arial"/>
          <w:i/>
          <w:szCs w:val="24"/>
        </w:rPr>
      </w:pPr>
    </w:p>
    <w:p w:rsidR="008D7208" w:rsidRPr="00C605D8" w:rsidRDefault="008D7208" w:rsidP="008D7208">
      <w:pPr>
        <w:spacing w:line="240" w:lineRule="auto"/>
        <w:rPr>
          <w:rFonts w:cs="Arial"/>
          <w:b/>
          <w:i/>
          <w:szCs w:val="24"/>
        </w:rPr>
      </w:pPr>
      <w:r w:rsidRPr="00C605D8">
        <w:rPr>
          <w:rFonts w:cs="Arial"/>
          <w:b/>
          <w:i/>
          <w:szCs w:val="24"/>
        </w:rPr>
        <w:t>Montážní dělníci výrobků a zařízení – CZ ISCO 821</w:t>
      </w:r>
    </w:p>
    <w:p w:rsidR="008D7208" w:rsidRPr="00C605D8" w:rsidRDefault="008D7208" w:rsidP="008D7208">
      <w:pPr>
        <w:spacing w:line="240" w:lineRule="auto"/>
        <w:rPr>
          <w:rFonts w:cs="Arial"/>
          <w:szCs w:val="24"/>
        </w:rPr>
      </w:pPr>
      <w:r w:rsidRPr="00C605D8">
        <w:rPr>
          <w:rFonts w:cs="Arial"/>
          <w:szCs w:val="24"/>
        </w:rPr>
        <w:t xml:space="preserve">U této skupiny převažují obdobné problémy, jako v předcházejícím případě. Rozdíl tvoří vyšší kvalifikační požadavky na zaměstnance, kdy zaměstnavatelé požadují vyučení a mnohdy také praxi v oboru. </w:t>
      </w:r>
      <w:r>
        <w:rPr>
          <w:rFonts w:cs="Arial"/>
          <w:szCs w:val="24"/>
        </w:rPr>
        <w:t xml:space="preserve">Mzdové a pracovní podmínky (směnné provozy) </w:t>
      </w:r>
      <w:r w:rsidRPr="00C605D8">
        <w:rPr>
          <w:rFonts w:cs="Arial"/>
          <w:szCs w:val="24"/>
        </w:rPr>
        <w:t xml:space="preserve">ve spojení </w:t>
      </w:r>
      <w:r>
        <w:rPr>
          <w:rFonts w:cs="Arial"/>
          <w:szCs w:val="24"/>
        </w:rPr>
        <w:t>s využíváním</w:t>
      </w:r>
      <w:r w:rsidRPr="00C605D8">
        <w:rPr>
          <w:rFonts w:cs="Arial"/>
          <w:szCs w:val="24"/>
        </w:rPr>
        <w:t xml:space="preserve"> agenturního zaměstnávání však způsobují nezájem o tyto pozice ze strany uchazečů o zaměstnání. Dalším problémem je přímá závislost pracovních míst na zakázkách zaměstnavatele, kdy v případě nové zakázky zaměstnavatel poptává vyšší počet kvalifikovaných zaměstnanců s praxí a naopak v případě ztráty zakázek zaměstnance propouští. Jedná se tedy o skupinu povolání s charakteristickou vysokou fluktuací způsobenou jak pracovní silou, tak vlastní závislostí vykonávaných prací na objemu zakázek, včetně vlivu sezónnosti. </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Řidiči nákladních automobilů, autobusů a tramvají – CZ ISCO 833</w:t>
      </w:r>
    </w:p>
    <w:p w:rsidR="008D7208" w:rsidRPr="00C605D8" w:rsidRDefault="008D7208" w:rsidP="008D7208">
      <w:pPr>
        <w:spacing w:line="240" w:lineRule="auto"/>
        <w:rPr>
          <w:rFonts w:cs="Arial"/>
          <w:szCs w:val="24"/>
        </w:rPr>
      </w:pPr>
      <w:r w:rsidRPr="00C605D8">
        <w:rPr>
          <w:rFonts w:cs="Arial"/>
          <w:szCs w:val="24"/>
        </w:rPr>
        <w:t xml:space="preserve">Hlavními problémy při snaze obsadit </w:t>
      </w:r>
      <w:r w:rsidR="009C1B68">
        <w:rPr>
          <w:rFonts w:cs="Arial"/>
          <w:szCs w:val="24"/>
        </w:rPr>
        <w:t>VPM</w:t>
      </w:r>
      <w:r>
        <w:rPr>
          <w:rFonts w:cs="Arial"/>
          <w:szCs w:val="24"/>
        </w:rPr>
        <w:t xml:space="preserve"> z této skupiny je obava z </w:t>
      </w:r>
      <w:r w:rsidRPr="00C605D8">
        <w:rPr>
          <w:rFonts w:cs="Arial"/>
          <w:szCs w:val="24"/>
        </w:rPr>
        <w:t xml:space="preserve">odpovědnosti za cestující v případě řidičů autobusu nebo tramvaje. V případě řidičů v nákladní dopravě je výraznou bariérou časová náročnost znemožňující soulad mezi rodinným a pracovním životem. Mnoho </w:t>
      </w:r>
      <w:proofErr w:type="spellStart"/>
      <w:r w:rsidR="009C1B68">
        <w:rPr>
          <w:rFonts w:cs="Arial"/>
          <w:szCs w:val="24"/>
        </w:rPr>
        <w:t>UoZ</w:t>
      </w:r>
      <w:proofErr w:type="spellEnd"/>
      <w:r w:rsidRPr="00C605D8">
        <w:rPr>
          <w:rFonts w:cs="Arial"/>
          <w:szCs w:val="24"/>
        </w:rPr>
        <w:t xml:space="preserve"> má také negativní zkušenost s tlakem zaměstnavatelů na překračování legislativních norem (např. délka jízdy, množství přepravovaného nákladu, technický stav vozidla). Další překážkou jsou vysoké kvalifikační nároky v podobě speciálních (finančně nákladných) řidičských oprávnění a nutná praxe.</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Kováři, nástrojáři a příbuzní pracovníci – CZ ISCO 722</w:t>
      </w:r>
      <w:r w:rsidRPr="00C605D8">
        <w:rPr>
          <w:rFonts w:cs="Arial"/>
          <w:b/>
          <w:i/>
          <w:szCs w:val="24"/>
        </w:rPr>
        <w:tab/>
      </w:r>
    </w:p>
    <w:p w:rsidR="008D7208" w:rsidRPr="00C605D8" w:rsidRDefault="008D7208" w:rsidP="008D7208">
      <w:pPr>
        <w:spacing w:line="240" w:lineRule="auto"/>
        <w:rPr>
          <w:rFonts w:cs="Arial"/>
          <w:szCs w:val="24"/>
        </w:rPr>
      </w:pPr>
      <w:r w:rsidRPr="00C605D8">
        <w:rPr>
          <w:rFonts w:cs="Arial"/>
          <w:szCs w:val="24"/>
        </w:rPr>
        <w:t xml:space="preserve">Vysoký počet </w:t>
      </w:r>
      <w:r w:rsidR="009C1B68">
        <w:rPr>
          <w:rFonts w:cs="Arial"/>
          <w:szCs w:val="24"/>
        </w:rPr>
        <w:t>VPM</w:t>
      </w:r>
      <w:r w:rsidRPr="00C605D8">
        <w:rPr>
          <w:rFonts w:cs="Arial"/>
          <w:szCs w:val="24"/>
        </w:rPr>
        <w:t xml:space="preserve">, která se nedaří v této skupině dlouhodobě obsadit, souvisí </w:t>
      </w:r>
      <w:r w:rsidR="009C1B68">
        <w:rPr>
          <w:rFonts w:cs="Arial"/>
          <w:szCs w:val="24"/>
        </w:rPr>
        <w:br/>
      </w:r>
      <w:r w:rsidRPr="00C605D8">
        <w:rPr>
          <w:rFonts w:cs="Arial"/>
          <w:szCs w:val="24"/>
        </w:rPr>
        <w:t>s vysokými kvalifikačními a dovednostními nároky na zaměstnance a nedostatkem pracovní síly ve strojírenských profesích. Zaměstnavatelé často požadují další znalosti (v případě obsluhy a seřizovačů CNC strojů základní znalost anglického jazyka) a dostatečnou praxi.</w:t>
      </w:r>
    </w:p>
    <w:p w:rsidR="008D7208" w:rsidRPr="00C605D8" w:rsidRDefault="008D7208" w:rsidP="008D7208">
      <w:pPr>
        <w:spacing w:line="240" w:lineRule="auto"/>
        <w:rPr>
          <w:rFonts w:cs="Arial"/>
          <w:b/>
          <w:szCs w:val="24"/>
        </w:rPr>
      </w:pPr>
    </w:p>
    <w:p w:rsidR="008D7208" w:rsidRPr="00C605D8" w:rsidRDefault="008D7208" w:rsidP="008D7208">
      <w:pPr>
        <w:spacing w:line="240" w:lineRule="auto"/>
        <w:rPr>
          <w:rFonts w:cs="Arial"/>
          <w:b/>
          <w:i/>
          <w:szCs w:val="24"/>
        </w:rPr>
      </w:pPr>
      <w:r w:rsidRPr="00C605D8">
        <w:rPr>
          <w:rFonts w:cs="Arial"/>
          <w:b/>
          <w:i/>
          <w:szCs w:val="24"/>
        </w:rPr>
        <w:t>Pracovníci v oblasti ochrany a ostrahy – CZ ISCO 541</w:t>
      </w:r>
    </w:p>
    <w:p w:rsidR="008D7208" w:rsidRDefault="008D7208" w:rsidP="008D7208">
      <w:pPr>
        <w:spacing w:line="240" w:lineRule="auto"/>
        <w:rPr>
          <w:rFonts w:cs="Arial"/>
          <w:szCs w:val="24"/>
        </w:rPr>
      </w:pPr>
      <w:r w:rsidRPr="00C605D8">
        <w:rPr>
          <w:rFonts w:cs="Arial"/>
          <w:szCs w:val="24"/>
        </w:rPr>
        <w:t xml:space="preserve">Část z celkového počtu </w:t>
      </w:r>
      <w:r w:rsidR="009C1B68">
        <w:rPr>
          <w:rFonts w:cs="Arial"/>
          <w:szCs w:val="24"/>
        </w:rPr>
        <w:t>VPM</w:t>
      </w:r>
      <w:r w:rsidRPr="00C605D8">
        <w:rPr>
          <w:rFonts w:cs="Arial"/>
          <w:szCs w:val="24"/>
        </w:rPr>
        <w:t xml:space="preserve"> spadajících do této skupiny jsou dlouhodobě hlášená volná místa Policií ČR. Tyto pozice jsou z důvodu požadavků zaměstnavatele (zejména psychotesty a testy fyzické zdatnosti) velmi obtížně </w:t>
      </w:r>
      <w:proofErr w:type="spellStart"/>
      <w:r w:rsidRPr="00C605D8">
        <w:rPr>
          <w:rFonts w:cs="Arial"/>
          <w:szCs w:val="24"/>
        </w:rPr>
        <w:t>obsaditelné</w:t>
      </w:r>
      <w:proofErr w:type="spellEnd"/>
      <w:r w:rsidRPr="00C605D8">
        <w:rPr>
          <w:rFonts w:cs="Arial"/>
          <w:szCs w:val="24"/>
        </w:rPr>
        <w:t xml:space="preserve">, je nutná motivace a zájem samotného </w:t>
      </w:r>
      <w:proofErr w:type="spellStart"/>
      <w:r w:rsidR="009C1B68">
        <w:rPr>
          <w:rFonts w:cs="Arial"/>
          <w:szCs w:val="24"/>
        </w:rPr>
        <w:t>UoZ</w:t>
      </w:r>
      <w:proofErr w:type="spellEnd"/>
      <w:r w:rsidRPr="00C605D8">
        <w:rPr>
          <w:rFonts w:cs="Arial"/>
          <w:szCs w:val="24"/>
        </w:rPr>
        <w:t xml:space="preserve">. Na zbývající </w:t>
      </w:r>
      <w:r w:rsidR="009C1B68">
        <w:rPr>
          <w:rFonts w:cs="Arial"/>
          <w:szCs w:val="24"/>
        </w:rPr>
        <w:t>VPM</w:t>
      </w:r>
      <w:r w:rsidRPr="00C605D8">
        <w:rPr>
          <w:rFonts w:cs="Arial"/>
          <w:szCs w:val="24"/>
        </w:rPr>
        <w:t xml:space="preserve"> z této skupiny zaměstnavatelé požadují především osoby zdravotně postižené na zkrácené a krátkodobé úvazky. </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Obsluha pojízdných zařízení – CZ ISCO 834</w:t>
      </w:r>
    </w:p>
    <w:p w:rsidR="008D7208" w:rsidRPr="00C605D8" w:rsidRDefault="008D7208" w:rsidP="008D7208">
      <w:pPr>
        <w:spacing w:line="240" w:lineRule="auto"/>
        <w:rPr>
          <w:rFonts w:cs="Arial"/>
          <w:szCs w:val="24"/>
        </w:rPr>
      </w:pPr>
      <w:r w:rsidRPr="00C605D8">
        <w:rPr>
          <w:rFonts w:cs="Arial"/>
          <w:szCs w:val="24"/>
        </w:rPr>
        <w:t>V této skupině jsou majoritně zastoupeni skladníci, obsluha vysokozdvižných vozíků. Jedná se o fyzicky náročnou práci často v nepřetržitých provozech umístěných na periferiích, kam zaměstnanci musí dojíždět. Rovněž v tomto případě je tedy problematické nízké mzdové ohodnocení v kombinaci s fyzicky náročnou prací, dojížďkou a směnností provozů.</w:t>
      </w:r>
    </w:p>
    <w:p w:rsidR="008D7208" w:rsidRDefault="008D7208" w:rsidP="008D7208">
      <w:pPr>
        <w:spacing w:line="240" w:lineRule="auto"/>
        <w:rPr>
          <w:rFonts w:cs="Arial"/>
          <w:szCs w:val="24"/>
        </w:rPr>
      </w:pPr>
    </w:p>
    <w:p w:rsidR="00147F4B" w:rsidRPr="00C605D8" w:rsidRDefault="00147F4B"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Slévači, svářeči a příbuzní pracovníci – CZ ISCO 721</w:t>
      </w:r>
    </w:p>
    <w:p w:rsidR="008D7208" w:rsidRPr="00C605D8" w:rsidRDefault="008D7208" w:rsidP="008D7208">
      <w:pPr>
        <w:spacing w:line="240" w:lineRule="auto"/>
        <w:rPr>
          <w:rFonts w:cs="Arial"/>
          <w:szCs w:val="24"/>
        </w:rPr>
      </w:pPr>
      <w:r w:rsidRPr="00C605D8">
        <w:rPr>
          <w:rFonts w:cs="Arial"/>
          <w:szCs w:val="24"/>
        </w:rPr>
        <w:t>V oborech této skupiny povolání hrají významnou roli vysoké nároky zaměstnavatelů, kteří požadují mimo vzdělání v oboru také osvědčení (různé druhy svářečských průkazů) a odpovídající praxi. Projevuje se rovněž nedostatek vhodné pracovní síly v technických profesích, zejména u mladších ročníků.</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Řemeslníci a kvalifikovaní pracovníci hlavní stavební výroby – CZ ISCO 711</w:t>
      </w:r>
    </w:p>
    <w:p w:rsidR="008D7208" w:rsidRPr="00C605D8" w:rsidRDefault="008D7208" w:rsidP="008D7208">
      <w:pPr>
        <w:spacing w:line="240" w:lineRule="auto"/>
        <w:rPr>
          <w:rFonts w:cs="Arial"/>
          <w:szCs w:val="24"/>
        </w:rPr>
      </w:pPr>
      <w:r w:rsidRPr="00C605D8">
        <w:rPr>
          <w:rFonts w:cs="Arial"/>
          <w:szCs w:val="24"/>
        </w:rPr>
        <w:t xml:space="preserve">Na volné pracovní pozice v této skupině povolání je požadována praxe v oboru, která </w:t>
      </w:r>
      <w:proofErr w:type="spellStart"/>
      <w:r w:rsidR="009C1B68">
        <w:rPr>
          <w:rFonts w:cs="Arial"/>
          <w:szCs w:val="24"/>
        </w:rPr>
        <w:t>UoZ</w:t>
      </w:r>
      <w:proofErr w:type="spellEnd"/>
      <w:r w:rsidRPr="00C605D8">
        <w:rPr>
          <w:rFonts w:cs="Arial"/>
          <w:szCs w:val="24"/>
        </w:rPr>
        <w:t xml:space="preserve"> schází. Dalším významným faktorem je úroveň odměňování a vysoká fluktuace v závislosti na zakázkách.</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Kuchaři, pomocní kuchaři – CZ ISCO 512</w:t>
      </w:r>
    </w:p>
    <w:p w:rsidR="008D7208" w:rsidRPr="00C605D8" w:rsidRDefault="008D7208" w:rsidP="008D7208">
      <w:pPr>
        <w:spacing w:line="240" w:lineRule="auto"/>
        <w:rPr>
          <w:rFonts w:cs="Arial"/>
          <w:szCs w:val="24"/>
        </w:rPr>
      </w:pPr>
      <w:r w:rsidRPr="00C605D8">
        <w:rPr>
          <w:rFonts w:cs="Arial"/>
          <w:szCs w:val="24"/>
        </w:rPr>
        <w:t xml:space="preserve">Zaměstnavatelé velmi často poukazují na nedostatečnou přípravu absolventů kuchařských oborů. Z tohoto důvodu požadují praxi v oboru, kterou mnoho </w:t>
      </w:r>
      <w:proofErr w:type="spellStart"/>
      <w:r w:rsidR="009C1B68">
        <w:rPr>
          <w:rFonts w:cs="Arial"/>
          <w:szCs w:val="24"/>
        </w:rPr>
        <w:t>UoZ</w:t>
      </w:r>
      <w:proofErr w:type="spellEnd"/>
      <w:r w:rsidR="009C1B68" w:rsidRPr="00C605D8">
        <w:rPr>
          <w:rFonts w:cs="Arial"/>
          <w:szCs w:val="24"/>
        </w:rPr>
        <w:t xml:space="preserve"> </w:t>
      </w:r>
      <w:r w:rsidRPr="00C605D8">
        <w:rPr>
          <w:rFonts w:cs="Arial"/>
          <w:szCs w:val="24"/>
        </w:rPr>
        <w:t>v evidenci nesplňuje. Dalším faktorem je časté porušování pracovněprávních vztahů, a to zejména v oblasti odměňování (část mzdy dostávají zaměstnanci „na ruku“). V neposlední řadě ovlivňuje poptávku po nabízených pozicích vysoká fluktuace zaměstnanců v závislosti na sezónním vývoji.</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Prodavači a příbuzní pracovníci v prodejnách – CZ ISCO 522</w:t>
      </w:r>
    </w:p>
    <w:p w:rsidR="008D7208" w:rsidRPr="00C605D8" w:rsidRDefault="008D7208" w:rsidP="008D7208">
      <w:pPr>
        <w:spacing w:line="240" w:lineRule="auto"/>
        <w:rPr>
          <w:rFonts w:cs="Arial"/>
          <w:szCs w:val="24"/>
        </w:rPr>
      </w:pPr>
      <w:r w:rsidRPr="00C605D8">
        <w:rPr>
          <w:rFonts w:cs="Arial"/>
          <w:szCs w:val="24"/>
        </w:rPr>
        <w:t>Pracovní pozice v této skupině povolání jsou mnohdy časově náročné (směnnost, práce o víkendech a svátcích), s</w:t>
      </w:r>
      <w:r>
        <w:rPr>
          <w:rFonts w:cs="Arial"/>
          <w:szCs w:val="24"/>
        </w:rPr>
        <w:t xml:space="preserve"> relativně </w:t>
      </w:r>
      <w:r w:rsidRPr="00C605D8">
        <w:rPr>
          <w:rFonts w:cs="Arial"/>
          <w:szCs w:val="24"/>
        </w:rPr>
        <w:t>nízkou úrovní odměňování. Dalším problémem je množství úvazků uzavíraných mimo pracovní poměr.</w:t>
      </w:r>
    </w:p>
    <w:p w:rsidR="008D7208" w:rsidRPr="00C605D8" w:rsidRDefault="008D7208" w:rsidP="008D7208">
      <w:pPr>
        <w:spacing w:line="240" w:lineRule="auto"/>
        <w:rPr>
          <w:rFonts w:cs="Arial"/>
          <w:szCs w:val="24"/>
        </w:rPr>
      </w:pPr>
    </w:p>
    <w:p w:rsidR="008D7208" w:rsidRPr="005C4D7F" w:rsidRDefault="008D7208" w:rsidP="001F4C42">
      <w:pPr>
        <w:pStyle w:val="Nadpis2"/>
        <w:numPr>
          <w:ilvl w:val="1"/>
          <w:numId w:val="6"/>
        </w:numPr>
      </w:pPr>
      <w:bookmarkStart w:id="38" w:name="_Toc465674778"/>
      <w:r w:rsidRPr="005C4D7F">
        <w:t>Nejpočetnější skupiny uchazečů o zaměstnání</w:t>
      </w:r>
      <w:bookmarkEnd w:id="38"/>
    </w:p>
    <w:p w:rsidR="008D7208" w:rsidRPr="00C605D8" w:rsidRDefault="008D7208" w:rsidP="008D7208">
      <w:pPr>
        <w:spacing w:before="120" w:line="240" w:lineRule="auto"/>
        <w:rPr>
          <w:rFonts w:cs="Arial"/>
          <w:szCs w:val="24"/>
        </w:rPr>
      </w:pPr>
      <w:r w:rsidRPr="00C605D8">
        <w:rPr>
          <w:rFonts w:cs="Arial"/>
          <w:szCs w:val="24"/>
        </w:rPr>
        <w:t>Faktory ovlivňující soulad mezi nabídkou a poptávkou na trhu práce na straně pracovní síly úzce souvisí s faktory uváděnými výše v oblasti poptávky po pracovní síle. Dominují zejména:</w:t>
      </w:r>
    </w:p>
    <w:p w:rsidR="008D7208" w:rsidRPr="00C605D8" w:rsidRDefault="008D7208" w:rsidP="001F4C42">
      <w:pPr>
        <w:pStyle w:val="Odstavecseseznamem"/>
        <w:numPr>
          <w:ilvl w:val="0"/>
          <w:numId w:val="2"/>
        </w:numPr>
        <w:spacing w:before="120" w:line="240" w:lineRule="auto"/>
        <w:ind w:left="714" w:hanging="357"/>
        <w:contextualSpacing w:val="0"/>
        <w:rPr>
          <w:rFonts w:cs="Arial"/>
          <w:b/>
          <w:szCs w:val="24"/>
        </w:rPr>
      </w:pPr>
      <w:r w:rsidRPr="00C605D8">
        <w:rPr>
          <w:rFonts w:cs="Arial"/>
          <w:b/>
          <w:szCs w:val="24"/>
        </w:rPr>
        <w:t>kvalifikace neodpovídající potřebám zaměstnavatelů.</w:t>
      </w:r>
    </w:p>
    <w:p w:rsidR="008D7208" w:rsidRPr="00C605D8" w:rsidRDefault="008D7208" w:rsidP="001F4C42">
      <w:pPr>
        <w:pStyle w:val="Odstavecseseznamem"/>
        <w:numPr>
          <w:ilvl w:val="0"/>
          <w:numId w:val="2"/>
        </w:numPr>
        <w:spacing w:before="120" w:line="240" w:lineRule="auto"/>
        <w:rPr>
          <w:rFonts w:cs="Arial"/>
          <w:b/>
          <w:szCs w:val="24"/>
        </w:rPr>
      </w:pPr>
      <w:r w:rsidRPr="00C605D8">
        <w:rPr>
          <w:rFonts w:cs="Arial"/>
          <w:b/>
          <w:szCs w:val="24"/>
        </w:rPr>
        <w:t xml:space="preserve">neochota pracovní síly akceptovat za </w:t>
      </w:r>
      <w:r>
        <w:rPr>
          <w:rFonts w:cs="Arial"/>
          <w:b/>
          <w:szCs w:val="24"/>
        </w:rPr>
        <w:t xml:space="preserve">nabízených mzdových a pracovních </w:t>
      </w:r>
      <w:r w:rsidRPr="00C605D8">
        <w:rPr>
          <w:rFonts w:cs="Arial"/>
          <w:b/>
          <w:szCs w:val="24"/>
        </w:rPr>
        <w:t xml:space="preserve">podmínek </w:t>
      </w:r>
      <w:r>
        <w:rPr>
          <w:rFonts w:cs="Arial"/>
          <w:b/>
          <w:szCs w:val="24"/>
        </w:rPr>
        <w:t>poptávané</w:t>
      </w:r>
      <w:r w:rsidRPr="00C605D8">
        <w:rPr>
          <w:rFonts w:cs="Arial"/>
          <w:b/>
          <w:szCs w:val="24"/>
        </w:rPr>
        <w:t xml:space="preserve"> pracovní pozic</w:t>
      </w:r>
      <w:r>
        <w:rPr>
          <w:rFonts w:cs="Arial"/>
          <w:b/>
          <w:szCs w:val="24"/>
        </w:rPr>
        <w:t>e</w:t>
      </w:r>
      <w:r w:rsidRPr="00C605D8">
        <w:rPr>
          <w:rFonts w:cs="Arial"/>
          <w:b/>
          <w:szCs w:val="24"/>
        </w:rPr>
        <w:t>, zejména v synergii s dalšími, zejména sociálními, příjmy domácností (sociální dávky)</w:t>
      </w:r>
      <w:r>
        <w:rPr>
          <w:rFonts w:cs="Arial"/>
          <w:b/>
          <w:szCs w:val="24"/>
        </w:rPr>
        <w:t xml:space="preserve"> a životními podmínkami (např. zadluženost).</w:t>
      </w:r>
    </w:p>
    <w:p w:rsidR="008D7208" w:rsidRPr="00C605D8" w:rsidRDefault="008D7208" w:rsidP="008D7208">
      <w:pPr>
        <w:spacing w:line="240" w:lineRule="auto"/>
        <w:ind w:left="360"/>
        <w:rPr>
          <w:rFonts w:cs="Arial"/>
          <w:szCs w:val="24"/>
        </w:rPr>
      </w:pPr>
    </w:p>
    <w:p w:rsidR="008D7208" w:rsidRPr="00C605D8" w:rsidRDefault="008D7208" w:rsidP="008D7208">
      <w:pPr>
        <w:spacing w:line="240" w:lineRule="auto"/>
        <w:rPr>
          <w:rFonts w:cs="Arial"/>
          <w:b/>
          <w:i/>
          <w:szCs w:val="24"/>
        </w:rPr>
      </w:pPr>
      <w:r w:rsidRPr="00C605D8">
        <w:rPr>
          <w:rFonts w:cs="Arial"/>
          <w:b/>
          <w:i/>
          <w:szCs w:val="24"/>
        </w:rPr>
        <w:t>Pomocní pracovníci ve výrobě – CZ ISCO 932</w:t>
      </w:r>
    </w:p>
    <w:p w:rsidR="008D7208" w:rsidRPr="00C605D8" w:rsidRDefault="008D7208" w:rsidP="008D7208">
      <w:pPr>
        <w:spacing w:line="240" w:lineRule="auto"/>
        <w:rPr>
          <w:rFonts w:cs="Arial"/>
          <w:szCs w:val="24"/>
        </w:rPr>
      </w:pPr>
      <w:r w:rsidRPr="00C605D8">
        <w:rPr>
          <w:rFonts w:cs="Arial"/>
          <w:szCs w:val="24"/>
        </w:rPr>
        <w:t xml:space="preserve">Mezi hlavní faktory, které determinují vysoký počet </w:t>
      </w:r>
      <w:proofErr w:type="spellStart"/>
      <w:r w:rsidR="009C1B68">
        <w:rPr>
          <w:rFonts w:cs="Arial"/>
          <w:szCs w:val="24"/>
        </w:rPr>
        <w:t>UoZ</w:t>
      </w:r>
      <w:proofErr w:type="spellEnd"/>
      <w:r w:rsidRPr="00C605D8">
        <w:rPr>
          <w:rFonts w:cs="Arial"/>
          <w:szCs w:val="24"/>
        </w:rPr>
        <w:t xml:space="preserve"> v této skupině, se řadí nízká kvalifikace, nedostatečná praxe a nevyhovující zdravotní stav </w:t>
      </w:r>
      <w:proofErr w:type="spellStart"/>
      <w:r w:rsidR="009C1B68">
        <w:rPr>
          <w:rFonts w:cs="Arial"/>
          <w:szCs w:val="24"/>
        </w:rPr>
        <w:t>UoZ</w:t>
      </w:r>
      <w:proofErr w:type="spellEnd"/>
      <w:r w:rsidRPr="00C605D8">
        <w:rPr>
          <w:rFonts w:cs="Arial"/>
          <w:szCs w:val="24"/>
        </w:rPr>
        <w:t>. Dále to jsou problémy spojené s dojížděním a nesoulad rodinného života se směnným provozem. Stále více zaměstnavatelů požaduje další dovednosti a osvědčení, např. svářečský průkaz nebo oprávnění k obsluze určitého zařízení.</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Prodavači a příbuzní pracovníci v prodejnách – CZ ISCO 522</w:t>
      </w:r>
    </w:p>
    <w:p w:rsidR="008D7208" w:rsidRPr="00C605D8" w:rsidRDefault="008D7208" w:rsidP="008D7208">
      <w:pPr>
        <w:spacing w:line="240" w:lineRule="auto"/>
        <w:rPr>
          <w:rFonts w:cs="Arial"/>
          <w:szCs w:val="24"/>
        </w:rPr>
      </w:pPr>
      <w:r w:rsidRPr="00C605D8">
        <w:rPr>
          <w:rFonts w:cs="Arial"/>
          <w:szCs w:val="24"/>
        </w:rPr>
        <w:t>O pracovní místa v této skupině povolání žádají převážně ženy, které ovšem nemohou mnohdy spojit péči o děti s časovou náročností zaměstnání. Důležitým faktorem je také množství nekolidujících zaměstnání v tomto oboru.</w:t>
      </w:r>
    </w:p>
    <w:p w:rsidR="008D7208" w:rsidRDefault="008D7208" w:rsidP="008D7208">
      <w:pPr>
        <w:spacing w:line="240" w:lineRule="auto"/>
        <w:rPr>
          <w:rFonts w:cs="Arial"/>
          <w:szCs w:val="24"/>
        </w:rPr>
      </w:pPr>
    </w:p>
    <w:p w:rsidR="00147F4B" w:rsidRDefault="00147F4B" w:rsidP="008D7208">
      <w:pPr>
        <w:spacing w:line="240" w:lineRule="auto"/>
        <w:rPr>
          <w:rFonts w:cs="Arial"/>
          <w:szCs w:val="24"/>
        </w:rPr>
      </w:pPr>
    </w:p>
    <w:p w:rsidR="00147F4B" w:rsidRPr="00C605D8" w:rsidRDefault="00147F4B"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Všeobecní administrativní pracovníci – CZ ISCO 411</w:t>
      </w:r>
    </w:p>
    <w:p w:rsidR="008D7208" w:rsidRPr="00C605D8" w:rsidRDefault="008D7208" w:rsidP="008D7208">
      <w:pPr>
        <w:spacing w:line="240" w:lineRule="auto"/>
        <w:rPr>
          <w:rFonts w:cs="Arial"/>
          <w:szCs w:val="24"/>
        </w:rPr>
      </w:pPr>
      <w:r w:rsidRPr="00C605D8">
        <w:rPr>
          <w:rFonts w:cs="Arial"/>
          <w:szCs w:val="24"/>
        </w:rPr>
        <w:t xml:space="preserve">Velkým problémem pro </w:t>
      </w:r>
      <w:proofErr w:type="spellStart"/>
      <w:r w:rsidR="009C1B68">
        <w:rPr>
          <w:rFonts w:cs="Arial"/>
          <w:szCs w:val="24"/>
        </w:rPr>
        <w:t>UoZ</w:t>
      </w:r>
      <w:proofErr w:type="spellEnd"/>
      <w:r w:rsidRPr="00C605D8">
        <w:rPr>
          <w:rFonts w:cs="Arial"/>
          <w:szCs w:val="24"/>
        </w:rPr>
        <w:t>, kteří chtějí pracovat v</w:t>
      </w:r>
      <w:r>
        <w:rPr>
          <w:rFonts w:cs="Arial"/>
          <w:szCs w:val="24"/>
        </w:rPr>
        <w:t> </w:t>
      </w:r>
      <w:r w:rsidRPr="00C605D8">
        <w:rPr>
          <w:rFonts w:cs="Arial"/>
          <w:szCs w:val="24"/>
        </w:rPr>
        <w:t xml:space="preserve">administrativě, je dlouhodobě nízký počet </w:t>
      </w:r>
      <w:r w:rsidR="009C1B68">
        <w:rPr>
          <w:rFonts w:cs="Arial"/>
          <w:szCs w:val="24"/>
        </w:rPr>
        <w:t>VPM</w:t>
      </w:r>
      <w:r w:rsidRPr="00C605D8">
        <w:rPr>
          <w:rFonts w:cs="Arial"/>
          <w:szCs w:val="24"/>
        </w:rPr>
        <w:t xml:space="preserve"> v tomto oboru (za celou ČR připadá celkem </w:t>
      </w:r>
      <w:r w:rsidR="00D306E6">
        <w:rPr>
          <w:rFonts w:cs="Arial"/>
          <w:szCs w:val="24"/>
        </w:rPr>
        <w:t>8,2</w:t>
      </w:r>
      <w:r w:rsidRPr="00C605D8">
        <w:rPr>
          <w:rFonts w:cs="Arial"/>
          <w:szCs w:val="24"/>
        </w:rPr>
        <w:t xml:space="preserve"> uchazeče </w:t>
      </w:r>
      <w:r w:rsidR="009C1B68">
        <w:rPr>
          <w:rFonts w:cs="Arial"/>
          <w:szCs w:val="24"/>
        </w:rPr>
        <w:br/>
      </w:r>
      <w:r w:rsidRPr="00C605D8">
        <w:rPr>
          <w:rFonts w:cs="Arial"/>
          <w:szCs w:val="24"/>
        </w:rPr>
        <w:t>o zaměstnání na jedno volné pracovní místo</w:t>
      </w:r>
      <w:r w:rsidR="00D306E6">
        <w:rPr>
          <w:rFonts w:cs="Arial"/>
          <w:szCs w:val="24"/>
        </w:rPr>
        <w:t xml:space="preserve"> v hlavní třídě zaměstnání 4 „úředníci“, ve skupině 411 „všeobecní administrativní pracovníci dokonce 26 </w:t>
      </w:r>
      <w:proofErr w:type="spellStart"/>
      <w:r w:rsidR="00D306E6">
        <w:rPr>
          <w:rFonts w:cs="Arial"/>
          <w:szCs w:val="24"/>
        </w:rPr>
        <w:t>UoZ</w:t>
      </w:r>
      <w:proofErr w:type="spellEnd"/>
      <w:r w:rsidR="00D306E6">
        <w:rPr>
          <w:rFonts w:cs="Arial"/>
          <w:szCs w:val="24"/>
        </w:rPr>
        <w:t>/VPM</w:t>
      </w:r>
      <w:r w:rsidRPr="00C605D8">
        <w:rPr>
          <w:rFonts w:cs="Arial"/>
          <w:szCs w:val="24"/>
        </w:rPr>
        <w:t xml:space="preserve">). </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 xml:space="preserve">Uklízeči a pomocníci – CZ ISCO 911 </w:t>
      </w:r>
    </w:p>
    <w:p w:rsidR="008D7208" w:rsidRPr="00C605D8" w:rsidRDefault="008D7208" w:rsidP="008D7208">
      <w:pPr>
        <w:spacing w:line="240" w:lineRule="auto"/>
        <w:rPr>
          <w:rFonts w:cs="Arial"/>
          <w:szCs w:val="24"/>
        </w:rPr>
      </w:pPr>
      <w:r w:rsidRPr="00C605D8">
        <w:rPr>
          <w:rFonts w:cs="Arial"/>
          <w:szCs w:val="24"/>
        </w:rPr>
        <w:t xml:space="preserve">Stejně jako v předchozí skupině je i v této oblasti výrazný převis </w:t>
      </w:r>
      <w:proofErr w:type="spellStart"/>
      <w:r w:rsidR="009C1B68">
        <w:rPr>
          <w:rFonts w:cs="Arial"/>
          <w:szCs w:val="24"/>
        </w:rPr>
        <w:t>UoZ</w:t>
      </w:r>
      <w:proofErr w:type="spellEnd"/>
      <w:r w:rsidRPr="00C605D8">
        <w:rPr>
          <w:rFonts w:cs="Arial"/>
          <w:szCs w:val="24"/>
        </w:rPr>
        <w:t xml:space="preserve"> nad množstvím nabízených pozic. Zaměstnavatelé preferují zaměstnávání osob zdravotně postižených, z nichž však řada tyto profese nemůže právě s ohledem na svůj zdravotní stav vykonávat.</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Pracovníci v oblasti ochrany a ostrahy – CZ ISCO 541</w:t>
      </w:r>
    </w:p>
    <w:p w:rsidR="008D7208" w:rsidRPr="00C605D8" w:rsidRDefault="008D7208" w:rsidP="008D7208">
      <w:pPr>
        <w:spacing w:line="240" w:lineRule="auto"/>
        <w:rPr>
          <w:rFonts w:cs="Arial"/>
          <w:szCs w:val="24"/>
        </w:rPr>
      </w:pPr>
      <w:r w:rsidRPr="00C605D8">
        <w:rPr>
          <w:rFonts w:cs="Arial"/>
          <w:szCs w:val="24"/>
        </w:rPr>
        <w:t xml:space="preserve">Většina </w:t>
      </w:r>
      <w:proofErr w:type="spellStart"/>
      <w:r w:rsidR="009C1B68">
        <w:rPr>
          <w:rFonts w:cs="Arial"/>
          <w:szCs w:val="24"/>
        </w:rPr>
        <w:t>UoZ</w:t>
      </w:r>
      <w:proofErr w:type="spellEnd"/>
      <w:r w:rsidRPr="00C605D8">
        <w:rPr>
          <w:rFonts w:cs="Arial"/>
          <w:szCs w:val="24"/>
        </w:rPr>
        <w:t xml:space="preserve"> v této skupině povolání jsou zároveň osoby zdravotně postižené, které ovšem nesplňují požadavky zaměstnavatelů. Důležitým faktorem je v této skupině také množství nekolidujících zaměstnání.</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Řemeslníci a kvalifikovaní pracovníci hlavní stavební výroby – CZ ISCO 711</w:t>
      </w:r>
    </w:p>
    <w:p w:rsidR="008D7208" w:rsidRPr="00C605D8" w:rsidRDefault="009C1B68" w:rsidP="008D7208">
      <w:pPr>
        <w:spacing w:line="240" w:lineRule="auto"/>
        <w:rPr>
          <w:rFonts w:cs="Arial"/>
          <w:szCs w:val="24"/>
        </w:rPr>
      </w:pPr>
      <w:proofErr w:type="spellStart"/>
      <w:r>
        <w:rPr>
          <w:rFonts w:cs="Arial"/>
          <w:szCs w:val="24"/>
        </w:rPr>
        <w:t>UoZ</w:t>
      </w:r>
      <w:proofErr w:type="spellEnd"/>
      <w:r w:rsidRPr="00C605D8">
        <w:rPr>
          <w:rFonts w:cs="Arial"/>
          <w:szCs w:val="24"/>
        </w:rPr>
        <w:t xml:space="preserve"> </w:t>
      </w:r>
      <w:r w:rsidR="008D7208" w:rsidRPr="00C605D8">
        <w:rPr>
          <w:rFonts w:cs="Arial"/>
          <w:szCs w:val="24"/>
        </w:rPr>
        <w:t>mnohdy schází praxe v oboru a nejsou ochotni přijmout nabízené mzdové podmínky za fyzicky náročnou práci.</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Řidiči automobilů (kromě nákladních) – CZ ISCO 832</w:t>
      </w:r>
    </w:p>
    <w:p w:rsidR="008D7208" w:rsidRPr="00C605D8" w:rsidRDefault="009C1B68" w:rsidP="008D7208">
      <w:pPr>
        <w:spacing w:line="240" w:lineRule="auto"/>
        <w:rPr>
          <w:rFonts w:cs="Arial"/>
          <w:szCs w:val="24"/>
        </w:rPr>
      </w:pPr>
      <w:proofErr w:type="spellStart"/>
      <w:r>
        <w:rPr>
          <w:rFonts w:cs="Arial"/>
          <w:szCs w:val="24"/>
        </w:rPr>
        <w:t>UoZ</w:t>
      </w:r>
      <w:proofErr w:type="spellEnd"/>
      <w:r w:rsidR="008D7208" w:rsidRPr="00C605D8">
        <w:rPr>
          <w:rFonts w:cs="Arial"/>
          <w:szCs w:val="24"/>
        </w:rPr>
        <w:t>, kteří vlastní řidičské oprávnění skupiny B, při vstupu do evidence často uvádějí, že chtějí být zaměstnáni jako řidiči osobního automobilu (např. osobní řidič). Těchto míst je na trhu velmi málo a navíc jsou spojena i s dalšími nároky.</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Číšníci, servírky a barmani – CZ ISCO 513</w:t>
      </w:r>
    </w:p>
    <w:p w:rsidR="008D7208" w:rsidRPr="00C605D8" w:rsidRDefault="008D7208" w:rsidP="008D7208">
      <w:pPr>
        <w:spacing w:line="240" w:lineRule="auto"/>
        <w:rPr>
          <w:rFonts w:cs="Arial"/>
          <w:szCs w:val="24"/>
        </w:rPr>
      </w:pPr>
      <w:r w:rsidRPr="00C605D8">
        <w:rPr>
          <w:rFonts w:cs="Arial"/>
          <w:szCs w:val="24"/>
        </w:rPr>
        <w:t>V této oblasti jsou největšími problémy nekolidující zaměstnání a práce na černo, v neposlední řadě také časová náročnost povolání a praxe v odměňování, kdy zaměstnanci dostávají pouze část celkové odměny na základě uzavřené smlouvy (dohody).</w:t>
      </w:r>
    </w:p>
    <w:p w:rsidR="008D7208" w:rsidRPr="00C605D8" w:rsidRDefault="008D7208" w:rsidP="008D7208">
      <w:pPr>
        <w:spacing w:line="240" w:lineRule="auto"/>
        <w:rPr>
          <w:rFonts w:cs="Arial"/>
          <w:szCs w:val="24"/>
        </w:rPr>
      </w:pPr>
    </w:p>
    <w:p w:rsidR="008D7208" w:rsidRPr="00C605D8" w:rsidRDefault="008D7208" w:rsidP="008D7208">
      <w:pPr>
        <w:spacing w:line="240" w:lineRule="auto"/>
        <w:rPr>
          <w:rFonts w:cs="Arial"/>
          <w:b/>
          <w:i/>
          <w:szCs w:val="24"/>
        </w:rPr>
      </w:pPr>
      <w:r w:rsidRPr="00C605D8">
        <w:rPr>
          <w:rFonts w:cs="Arial"/>
          <w:b/>
          <w:i/>
          <w:szCs w:val="24"/>
        </w:rPr>
        <w:t>Kuchaři, pomocní kuchaři – CZ ISCO 512</w:t>
      </w:r>
    </w:p>
    <w:p w:rsidR="008D7208" w:rsidRPr="00C605D8" w:rsidRDefault="009C1B68" w:rsidP="008D7208">
      <w:pPr>
        <w:spacing w:line="240" w:lineRule="auto"/>
        <w:rPr>
          <w:rFonts w:cs="Arial"/>
          <w:szCs w:val="24"/>
        </w:rPr>
      </w:pPr>
      <w:proofErr w:type="spellStart"/>
      <w:r>
        <w:rPr>
          <w:rFonts w:cs="Arial"/>
          <w:szCs w:val="24"/>
        </w:rPr>
        <w:t>UoZ</w:t>
      </w:r>
      <w:proofErr w:type="spellEnd"/>
      <w:r w:rsidR="008D7208" w:rsidRPr="00C605D8">
        <w:rPr>
          <w:rFonts w:cs="Arial"/>
          <w:szCs w:val="24"/>
        </w:rPr>
        <w:t xml:space="preserve">, přestože jsou absolventi požadovaného oboru, velmi často nesplňují požadavky zaměstnavatelů a nemají skutečný zájem o práci v oboru. Na druhou stranu řada </w:t>
      </w:r>
      <w:proofErr w:type="spellStart"/>
      <w:r>
        <w:rPr>
          <w:rFonts w:cs="Arial"/>
          <w:szCs w:val="24"/>
        </w:rPr>
        <w:t>UoZ</w:t>
      </w:r>
      <w:proofErr w:type="spellEnd"/>
      <w:r w:rsidRPr="00C605D8">
        <w:rPr>
          <w:rFonts w:cs="Arial"/>
          <w:szCs w:val="24"/>
        </w:rPr>
        <w:t xml:space="preserve"> </w:t>
      </w:r>
      <w:r w:rsidR="008D7208" w:rsidRPr="00C605D8">
        <w:rPr>
          <w:rFonts w:cs="Arial"/>
          <w:szCs w:val="24"/>
        </w:rPr>
        <w:t>(absolventů) nesplňuje požadovanou praxi.</w:t>
      </w:r>
    </w:p>
    <w:p w:rsidR="008D7208" w:rsidRPr="00C605D8" w:rsidRDefault="008D7208" w:rsidP="008D7208">
      <w:pPr>
        <w:spacing w:line="240" w:lineRule="auto"/>
        <w:rPr>
          <w:rFonts w:cs="Arial"/>
          <w:b/>
          <w:szCs w:val="24"/>
        </w:rPr>
      </w:pPr>
    </w:p>
    <w:p w:rsidR="008D7208" w:rsidRPr="00C605D8" w:rsidRDefault="008D7208" w:rsidP="008D7208">
      <w:pPr>
        <w:spacing w:line="240" w:lineRule="auto"/>
        <w:rPr>
          <w:rFonts w:cs="Arial"/>
          <w:b/>
          <w:i/>
          <w:szCs w:val="24"/>
        </w:rPr>
      </w:pPr>
      <w:r w:rsidRPr="00C605D8">
        <w:rPr>
          <w:rFonts w:cs="Arial"/>
          <w:b/>
          <w:i/>
          <w:szCs w:val="24"/>
        </w:rPr>
        <w:t>Kováři, nástrojáři a příbuzní pracovníci – CZ ISCO 722</w:t>
      </w:r>
    </w:p>
    <w:p w:rsidR="008D7208" w:rsidRDefault="009C1B68" w:rsidP="008D7208">
      <w:pPr>
        <w:spacing w:line="240" w:lineRule="auto"/>
        <w:rPr>
          <w:rFonts w:cs="Arial"/>
          <w:szCs w:val="24"/>
        </w:rPr>
      </w:pPr>
      <w:proofErr w:type="spellStart"/>
      <w:r>
        <w:rPr>
          <w:rFonts w:cs="Arial"/>
          <w:szCs w:val="24"/>
        </w:rPr>
        <w:t>UoZ</w:t>
      </w:r>
      <w:proofErr w:type="spellEnd"/>
      <w:r w:rsidRPr="00C605D8">
        <w:rPr>
          <w:rFonts w:cs="Arial"/>
          <w:szCs w:val="24"/>
        </w:rPr>
        <w:t xml:space="preserve"> </w:t>
      </w:r>
      <w:r w:rsidR="008D7208" w:rsidRPr="00C605D8">
        <w:rPr>
          <w:rFonts w:cs="Arial"/>
          <w:szCs w:val="24"/>
        </w:rPr>
        <w:t xml:space="preserve">velmi často nesplňují nároky zaměstnavatelů, a to jak z hlediska znalostí získaných vzděláním, tak osobními předpoklady a ochotou doplnit si znalosti a dovednosti. Mnoho </w:t>
      </w:r>
      <w:proofErr w:type="spellStart"/>
      <w:r>
        <w:rPr>
          <w:rFonts w:cs="Arial"/>
          <w:szCs w:val="24"/>
        </w:rPr>
        <w:t>UoZ</w:t>
      </w:r>
      <w:proofErr w:type="spellEnd"/>
      <w:r w:rsidR="008D7208" w:rsidRPr="00C605D8">
        <w:rPr>
          <w:rFonts w:cs="Arial"/>
          <w:szCs w:val="24"/>
        </w:rPr>
        <w:t xml:space="preserve"> také nesplňuje požadovanou praxi.</w:t>
      </w:r>
    </w:p>
    <w:p w:rsidR="008D7208" w:rsidRDefault="008D7208" w:rsidP="008D7208">
      <w:pPr>
        <w:spacing w:line="240" w:lineRule="auto"/>
        <w:rPr>
          <w:rFonts w:cs="Arial"/>
          <w:szCs w:val="24"/>
        </w:rPr>
      </w:pPr>
    </w:p>
    <w:p w:rsidR="008D7208" w:rsidRPr="005C4D7F" w:rsidRDefault="008D7208" w:rsidP="001F4C42">
      <w:pPr>
        <w:pStyle w:val="Nadpis2"/>
        <w:numPr>
          <w:ilvl w:val="1"/>
          <w:numId w:val="6"/>
        </w:numPr>
      </w:pPr>
      <w:bookmarkStart w:id="39" w:name="_Toc465674779"/>
      <w:r w:rsidRPr="005C4D7F">
        <w:t>Nejzávažnější problémy související s problematikou nesouladu nabídky a poptávky na trhu práce</w:t>
      </w:r>
      <w:bookmarkEnd w:id="39"/>
    </w:p>
    <w:p w:rsidR="008D7208" w:rsidRPr="00C605D8" w:rsidRDefault="008D7208" w:rsidP="008D7208">
      <w:pPr>
        <w:spacing w:before="120" w:line="240" w:lineRule="auto"/>
        <w:rPr>
          <w:rFonts w:cs="Arial"/>
          <w:szCs w:val="24"/>
        </w:rPr>
      </w:pPr>
      <w:r w:rsidRPr="00C605D8">
        <w:rPr>
          <w:rFonts w:cs="Arial"/>
          <w:szCs w:val="24"/>
        </w:rPr>
        <w:t xml:space="preserve">Z výše uvedeného rozboru situace v oblasti poptávaných </w:t>
      </w:r>
      <w:r w:rsidR="000E2D24">
        <w:rPr>
          <w:rFonts w:cs="Arial"/>
          <w:szCs w:val="24"/>
        </w:rPr>
        <w:t>VPM</w:t>
      </w:r>
      <w:r w:rsidRPr="00C605D8">
        <w:rPr>
          <w:rFonts w:cs="Arial"/>
          <w:szCs w:val="24"/>
        </w:rPr>
        <w:t xml:space="preserve"> a nabídky pracovní síly vyplývají některé zásadní disproporční charakteristiky na českém trhu práce. </w:t>
      </w:r>
    </w:p>
    <w:p w:rsidR="008D7208" w:rsidRDefault="008D7208" w:rsidP="008D7208">
      <w:pPr>
        <w:spacing w:before="120" w:line="240" w:lineRule="auto"/>
        <w:rPr>
          <w:rFonts w:cs="Arial"/>
          <w:b/>
          <w:szCs w:val="24"/>
        </w:rPr>
      </w:pPr>
      <w:r w:rsidRPr="00C605D8">
        <w:rPr>
          <w:rFonts w:cs="Arial"/>
          <w:b/>
          <w:szCs w:val="24"/>
        </w:rPr>
        <w:t xml:space="preserve">Předně se jedná o problémy v oblasti kvalifikace pracovní síly </w:t>
      </w:r>
      <w:r w:rsidRPr="005C4D7F">
        <w:rPr>
          <w:rFonts w:cs="Arial"/>
          <w:szCs w:val="24"/>
        </w:rPr>
        <w:t xml:space="preserve">v komparaci s potřebami zaměstnavatelů, otázky </w:t>
      </w:r>
      <w:r w:rsidRPr="00C605D8">
        <w:rPr>
          <w:rFonts w:cs="Arial"/>
          <w:b/>
          <w:szCs w:val="24"/>
        </w:rPr>
        <w:t xml:space="preserve">podmínek výkonu práce, </w:t>
      </w:r>
      <w:r w:rsidRPr="005C4D7F">
        <w:rPr>
          <w:rFonts w:cs="Arial"/>
          <w:szCs w:val="24"/>
        </w:rPr>
        <w:t>zejména s ohledem na využívané formy pracovních vztahů a</w:t>
      </w:r>
      <w:r w:rsidRPr="00C605D8">
        <w:rPr>
          <w:rFonts w:cs="Arial"/>
          <w:b/>
          <w:szCs w:val="24"/>
        </w:rPr>
        <w:t xml:space="preserve"> výši odměny za práci. </w:t>
      </w:r>
      <w:r w:rsidRPr="005C4D7F">
        <w:rPr>
          <w:rFonts w:cs="Arial"/>
          <w:szCs w:val="24"/>
        </w:rPr>
        <w:t>Výrazným problémem jsou rovněž charakteristiky pracovní síly v oblasti</w:t>
      </w:r>
      <w:r w:rsidRPr="00C605D8">
        <w:rPr>
          <w:rFonts w:cs="Arial"/>
          <w:b/>
          <w:szCs w:val="24"/>
        </w:rPr>
        <w:t xml:space="preserve"> zdravotního stavu, sociálního a ekonomického zázemí pracovní síly, zejména s přihlédnutím na sociální systém</w:t>
      </w:r>
      <w:r>
        <w:rPr>
          <w:rFonts w:cs="Arial"/>
          <w:b/>
          <w:szCs w:val="24"/>
        </w:rPr>
        <w:t xml:space="preserve"> </w:t>
      </w:r>
      <w:r w:rsidRPr="00F73A71">
        <w:rPr>
          <w:rFonts w:cs="Arial"/>
          <w:szCs w:val="24"/>
        </w:rPr>
        <w:t>(tj. dávkovou podporu, zejména u vícedětných rodin, problematickou dostupnost služeb péče o závislé členy domácnosti z důvodu věku nebo zdravotního stavu a dostupnost volnočasových služeb pro děti školního věku, efektivní sociální práce)</w:t>
      </w:r>
      <w:r w:rsidRPr="00C605D8">
        <w:rPr>
          <w:rFonts w:cs="Arial"/>
          <w:b/>
          <w:szCs w:val="24"/>
        </w:rPr>
        <w:t xml:space="preserve">, exekuce a </w:t>
      </w:r>
      <w:r w:rsidRPr="005C4D7F">
        <w:rPr>
          <w:rFonts w:cs="Arial"/>
          <w:szCs w:val="24"/>
        </w:rPr>
        <w:t>požadavek pracovní síly na vyšší</w:t>
      </w:r>
      <w:r w:rsidRPr="00C605D8">
        <w:rPr>
          <w:rFonts w:cs="Arial"/>
          <w:b/>
          <w:szCs w:val="24"/>
        </w:rPr>
        <w:t xml:space="preserve"> soulad mezi rodinným a pracovním životem. </w:t>
      </w:r>
      <w:r w:rsidRPr="005C4D7F">
        <w:rPr>
          <w:rFonts w:cs="Arial"/>
          <w:szCs w:val="24"/>
        </w:rPr>
        <w:t>V neposlední řadě se jako problémové jeví</w:t>
      </w:r>
      <w:r w:rsidRPr="00C605D8">
        <w:rPr>
          <w:rFonts w:cs="Arial"/>
          <w:b/>
          <w:szCs w:val="24"/>
        </w:rPr>
        <w:t xml:space="preserve"> regionální rozložení poptávky a nabídky po pracovní síle, </w:t>
      </w:r>
      <w:r w:rsidRPr="005C4D7F">
        <w:rPr>
          <w:rFonts w:cs="Arial"/>
          <w:szCs w:val="24"/>
        </w:rPr>
        <w:t>a to jak na regionální (mezikrajské, meziokresní), tak na lokální úrovni (mezi obcemi) související s problémy dopravní dostupnosti a nákladovosti dojížďky zejména u nízkopříjmových skupin.</w:t>
      </w:r>
    </w:p>
    <w:p w:rsidR="005C4D7F" w:rsidRPr="005C4D7F" w:rsidRDefault="005C4D7F" w:rsidP="008D7208">
      <w:pPr>
        <w:spacing w:before="120" w:line="240" w:lineRule="auto"/>
        <w:rPr>
          <w:rFonts w:cs="Arial"/>
          <w:b/>
          <w:szCs w:val="24"/>
        </w:rPr>
      </w:pPr>
      <w:r w:rsidRPr="005C4D7F">
        <w:rPr>
          <w:rFonts w:cs="Arial"/>
          <w:b/>
          <w:szCs w:val="24"/>
        </w:rPr>
        <w:t xml:space="preserve">Výrazně limitujícím faktorem v posledních měsících je rovněž přibližování se míry nezaměstnanosti v ČR své přirozené hranici. Přirozená míra nezaměstnanosti však není optimální mírou, neboť krom frikční složky obsahuje i složku strukturální </w:t>
      </w:r>
      <w:r w:rsidRPr="005C4D7F">
        <w:rPr>
          <w:rFonts w:cs="Arial"/>
          <w:szCs w:val="24"/>
        </w:rPr>
        <w:t>(včetně dobrovolné nezaměstnanost</w:t>
      </w:r>
      <w:r>
        <w:rPr>
          <w:rFonts w:cs="Arial"/>
          <w:szCs w:val="24"/>
        </w:rPr>
        <w:t>i</w:t>
      </w:r>
      <w:r w:rsidRPr="005C4D7F">
        <w:rPr>
          <w:rFonts w:cs="Arial"/>
          <w:szCs w:val="24"/>
        </w:rPr>
        <w:t>)</w:t>
      </w:r>
      <w:r w:rsidRPr="005C4D7F">
        <w:rPr>
          <w:rFonts w:cs="Arial"/>
          <w:b/>
          <w:szCs w:val="24"/>
        </w:rPr>
        <w:t>, jejíž eliminace vyžaduje intervence politiky zaměstnanosti.</w:t>
      </w:r>
    </w:p>
    <w:p w:rsidR="008D7208" w:rsidRPr="00C605D8" w:rsidRDefault="008D7208" w:rsidP="001F4C42">
      <w:pPr>
        <w:pStyle w:val="Odstavecseseznamem"/>
        <w:numPr>
          <w:ilvl w:val="0"/>
          <w:numId w:val="3"/>
        </w:numPr>
        <w:spacing w:before="120" w:line="240" w:lineRule="auto"/>
        <w:rPr>
          <w:rFonts w:cs="Arial"/>
          <w:b/>
          <w:i/>
          <w:szCs w:val="24"/>
        </w:rPr>
      </w:pPr>
      <w:r w:rsidRPr="00C605D8">
        <w:rPr>
          <w:rFonts w:cs="Arial"/>
          <w:b/>
          <w:i/>
          <w:szCs w:val="24"/>
        </w:rPr>
        <w:t>Kvalifikace a vzdělání</w:t>
      </w:r>
    </w:p>
    <w:p w:rsidR="008D7208" w:rsidRPr="00C605D8" w:rsidRDefault="008D7208" w:rsidP="008D7208">
      <w:pPr>
        <w:spacing w:before="120" w:line="240" w:lineRule="auto"/>
        <w:ind w:left="708"/>
        <w:rPr>
          <w:rFonts w:cs="Arial"/>
          <w:szCs w:val="24"/>
        </w:rPr>
      </w:pPr>
      <w:r w:rsidRPr="00C605D8">
        <w:rPr>
          <w:rFonts w:cs="Arial"/>
          <w:szCs w:val="24"/>
        </w:rPr>
        <w:t xml:space="preserve">Vysoké procento </w:t>
      </w:r>
      <w:proofErr w:type="spellStart"/>
      <w:r w:rsidR="000E2D24">
        <w:rPr>
          <w:rFonts w:cs="Arial"/>
          <w:szCs w:val="24"/>
        </w:rPr>
        <w:t>UoZ</w:t>
      </w:r>
      <w:proofErr w:type="spellEnd"/>
      <w:r w:rsidRPr="00C605D8">
        <w:rPr>
          <w:rFonts w:cs="Arial"/>
          <w:szCs w:val="24"/>
        </w:rPr>
        <w:t xml:space="preserve">, kterým se nedaří dlouhodobě zprostředkovat zaměstnání, má </w:t>
      </w:r>
      <w:r w:rsidRPr="00C605D8">
        <w:rPr>
          <w:rFonts w:cs="Arial"/>
          <w:b/>
          <w:szCs w:val="24"/>
        </w:rPr>
        <w:t>nízkou úroveň kvalifikace</w:t>
      </w:r>
      <w:r w:rsidRPr="00C605D8">
        <w:rPr>
          <w:rFonts w:cs="Arial"/>
          <w:szCs w:val="24"/>
        </w:rPr>
        <w:t xml:space="preserve"> (nejvýše dosažené základní vzdělání), </w:t>
      </w:r>
      <w:r w:rsidRPr="00C605D8">
        <w:rPr>
          <w:rFonts w:cs="Arial"/>
          <w:b/>
          <w:szCs w:val="24"/>
        </w:rPr>
        <w:t>popřípadě jejich dříve získaná kvalifikace již neodpovídá soudobým požadavkům trhu práce</w:t>
      </w:r>
      <w:r w:rsidRPr="00C605D8">
        <w:rPr>
          <w:rFonts w:cs="Arial"/>
          <w:szCs w:val="24"/>
        </w:rPr>
        <w:t>. Situaci se nedaří optimálně řešit ani prostřednictvím rekvalifikačních kurzů, jejichž realizace je v podmínkách současného zákona o veřejných zakázkách neflexibilní (ÚP ČR není schopen pružně reagovat na poptávku zaměstnavatelů v dostatečně krátkém čase), což determinuje úroveň vzdělávacích rekvalifikačních kurzů spíše na obecně využitelné dovednosti. Problém se nedaří řešit ani prostřednictv</w:t>
      </w:r>
      <w:r w:rsidR="005C4D7F">
        <w:rPr>
          <w:rFonts w:cs="Arial"/>
          <w:szCs w:val="24"/>
        </w:rPr>
        <w:t>ím tzv. zvolených rekvalifikací, jejichž využití je zároveň limitováno motivací pracovní síly, zejména u nízkopříjmových skupin (není poskytována podpora v rekvalifikaci).</w:t>
      </w:r>
      <w:r w:rsidRPr="00C605D8">
        <w:rPr>
          <w:rFonts w:cs="Arial"/>
          <w:szCs w:val="24"/>
        </w:rPr>
        <w:t xml:space="preserve"> Jako problematická se jeví rovněž kvalita rekvalifikačních kurzů spojená zejména s kritériem nejnižší ceny ve výběrových řízeních, </w:t>
      </w:r>
      <w:r w:rsidR="000E2D24">
        <w:rPr>
          <w:rFonts w:cs="Arial"/>
          <w:szCs w:val="24"/>
        </w:rPr>
        <w:br/>
      </w:r>
      <w:r w:rsidRPr="00C605D8">
        <w:rPr>
          <w:rFonts w:cs="Arial"/>
          <w:szCs w:val="24"/>
        </w:rPr>
        <w:t>a skutečnost, že rekvalifikační kurzy nezabezpečují účastníkům získání dostatečných praktických dovedností požadovaných zaměstnavateli. Na tento jev často poukazují zejména zaměstnavatelé nemající dostatečnou důvěru v kvalitu rekvalifikačních kurzů zabezpečovaných ze strany ÚP ČR.</w:t>
      </w:r>
    </w:p>
    <w:p w:rsidR="008D7208" w:rsidRPr="00C605D8" w:rsidRDefault="008D7208" w:rsidP="008D7208">
      <w:pPr>
        <w:spacing w:before="120" w:line="240" w:lineRule="auto"/>
        <w:ind w:left="708"/>
        <w:rPr>
          <w:rFonts w:cs="Arial"/>
          <w:szCs w:val="24"/>
        </w:rPr>
      </w:pPr>
      <w:r w:rsidRPr="00C605D8">
        <w:rPr>
          <w:rFonts w:cs="Arial"/>
          <w:szCs w:val="24"/>
        </w:rPr>
        <w:t xml:space="preserve">Výrazná disparita se objevuje zejména </w:t>
      </w:r>
      <w:r w:rsidRPr="00C605D8">
        <w:rPr>
          <w:rFonts w:cs="Arial"/>
          <w:b/>
          <w:szCs w:val="24"/>
        </w:rPr>
        <w:t>v oblasti technických oborů, kde v souvislosti s demografickým vývojem a mezigenerační výměnou pracovní síly je znatelný nedostatek kvalifikované pracovní síly odpovídající soudobým potřebám trhu práce.</w:t>
      </w:r>
      <w:r w:rsidRPr="00C605D8">
        <w:rPr>
          <w:rFonts w:cs="Arial"/>
          <w:szCs w:val="24"/>
        </w:rPr>
        <w:t xml:space="preserve"> Tento nedostatek nelze uspokojivě vyřešit prostřednictvím rekvalifikačních kurzů, neboť potřebné základy pro vybudování personálních kapacit v technických oborech je nutné položit již v systému počátečního vzdělávání.</w:t>
      </w:r>
    </w:p>
    <w:p w:rsidR="008D7208" w:rsidRPr="00C605D8" w:rsidRDefault="008D7208" w:rsidP="001F4C42">
      <w:pPr>
        <w:pStyle w:val="Odstavecseseznamem"/>
        <w:numPr>
          <w:ilvl w:val="0"/>
          <w:numId w:val="3"/>
        </w:numPr>
        <w:spacing w:before="120" w:line="240" w:lineRule="auto"/>
        <w:rPr>
          <w:rFonts w:cs="Arial"/>
          <w:b/>
          <w:szCs w:val="24"/>
        </w:rPr>
      </w:pPr>
      <w:r w:rsidRPr="00C605D8">
        <w:rPr>
          <w:rFonts w:cs="Arial"/>
          <w:b/>
          <w:i/>
          <w:szCs w:val="24"/>
        </w:rPr>
        <w:t>Pracovní podmínky a odměňování</w:t>
      </w:r>
    </w:p>
    <w:p w:rsidR="008D7208" w:rsidRPr="00C605D8" w:rsidRDefault="008D7208" w:rsidP="008D7208">
      <w:pPr>
        <w:spacing w:before="120" w:line="240" w:lineRule="auto"/>
        <w:ind w:left="708"/>
        <w:rPr>
          <w:rFonts w:cs="Arial"/>
          <w:szCs w:val="24"/>
        </w:rPr>
      </w:pPr>
      <w:r w:rsidRPr="00C605D8">
        <w:rPr>
          <w:rFonts w:cs="Arial"/>
          <w:szCs w:val="24"/>
        </w:rPr>
        <w:t xml:space="preserve">V této skupině vyvstávají </w:t>
      </w:r>
      <w:r w:rsidRPr="00C605D8">
        <w:rPr>
          <w:rFonts w:cs="Arial"/>
          <w:b/>
          <w:szCs w:val="24"/>
        </w:rPr>
        <w:t>problémy zejména v oblasti odměňování za vykonanou práci za stanovených podmínek</w:t>
      </w:r>
      <w:r w:rsidRPr="00C605D8">
        <w:rPr>
          <w:rFonts w:cs="Arial"/>
          <w:szCs w:val="24"/>
        </w:rPr>
        <w:t xml:space="preserve"> (jak podmínky pracovní, dojížďka, ale i vzájemná synergie mezi sociálním systémem a trhem práce), oblast agenturního zaměstnávání a formy pracovně-právních vztahů.</w:t>
      </w:r>
    </w:p>
    <w:p w:rsidR="008D7208" w:rsidRPr="00C605D8" w:rsidRDefault="008D7208" w:rsidP="008D7208">
      <w:pPr>
        <w:spacing w:before="120" w:line="240" w:lineRule="auto"/>
        <w:ind w:left="708"/>
        <w:rPr>
          <w:rFonts w:cs="Arial"/>
          <w:szCs w:val="24"/>
        </w:rPr>
      </w:pPr>
      <w:r w:rsidRPr="00C605D8">
        <w:rPr>
          <w:rFonts w:cs="Arial"/>
          <w:szCs w:val="24"/>
        </w:rPr>
        <w:t xml:space="preserve">Nejvýrazněji se tato skupina problémů projevuje zejména u profesí s požadavky na nízkou kvalifikaci a tedy i profesí vykonávaných za nízkou finanční odměnu. Výše odměny tak zpravidla není schopna saturovat v porovnání se sociálním příjmem dodatečné náklady zaměstnanců souvisejících s akceptací zaměstnání, jako jsou náklady na dojížďku či náklady nutné k zajištění péče o dítě. </w:t>
      </w:r>
      <w:r w:rsidRPr="00C605D8">
        <w:rPr>
          <w:rFonts w:cs="Arial"/>
          <w:b/>
          <w:szCs w:val="24"/>
        </w:rPr>
        <w:t>Problematický je přechod mezi dávkovým systém a zaměstnáním, kdy nízká úroveň mezd není dostatečně motivační k vyvázání se ze závislosti na sociálním příjmu</w:t>
      </w:r>
      <w:r w:rsidRPr="00C605D8">
        <w:rPr>
          <w:rFonts w:cs="Arial"/>
          <w:szCs w:val="24"/>
        </w:rPr>
        <w:t xml:space="preserve">. Problematické z tohoto pohledu jsou i pracovní podmínky, zejména směnnost provozu, nabízené formy pracovně-právních vztahů nezakládající pracovní síle dostatečnou jistotu na trhu práce atd. Tyto problémy však vyplývají z charakteru poptávaných prací vysoce závislých na výši zakázek zaměstnavatelů a tedy i nutnosti flexibilně reagovat na hospodářské výkyvy. Důsledkem je pak </w:t>
      </w:r>
      <w:r w:rsidRPr="00C605D8">
        <w:rPr>
          <w:rFonts w:cs="Arial"/>
          <w:b/>
          <w:szCs w:val="24"/>
        </w:rPr>
        <w:t>využívání agenturního zaměstnávání</w:t>
      </w:r>
      <w:r>
        <w:rPr>
          <w:rFonts w:cs="Arial"/>
          <w:b/>
          <w:szCs w:val="24"/>
        </w:rPr>
        <w:t>, které na jedné straně zvyšuje flexibilitu zaměstnavatelů</w:t>
      </w:r>
      <w:r>
        <w:rPr>
          <w:rFonts w:cs="Arial"/>
          <w:szCs w:val="24"/>
        </w:rPr>
        <w:t xml:space="preserve"> (a tedy i trhu práce)</w:t>
      </w:r>
      <w:r>
        <w:rPr>
          <w:rFonts w:cs="Arial"/>
          <w:b/>
          <w:szCs w:val="24"/>
        </w:rPr>
        <w:t>, na straně druhé</w:t>
      </w:r>
      <w:r w:rsidRPr="00C605D8">
        <w:rPr>
          <w:rFonts w:cs="Arial"/>
          <w:b/>
          <w:szCs w:val="24"/>
        </w:rPr>
        <w:t xml:space="preserve"> ved</w:t>
      </w:r>
      <w:r>
        <w:rPr>
          <w:rFonts w:cs="Arial"/>
          <w:b/>
          <w:szCs w:val="24"/>
        </w:rPr>
        <w:t>e</w:t>
      </w:r>
      <w:r w:rsidRPr="00C605D8">
        <w:rPr>
          <w:rFonts w:cs="Arial"/>
          <w:b/>
          <w:szCs w:val="24"/>
        </w:rPr>
        <w:t xml:space="preserve"> ke ztrátě personální odpovědnosti zaměstnavatelů</w:t>
      </w:r>
      <w:r>
        <w:rPr>
          <w:rFonts w:cs="Arial"/>
          <w:b/>
          <w:szCs w:val="24"/>
        </w:rPr>
        <w:t xml:space="preserve"> a neadekvátního postavení agenturních zaměstnanců na trhu práce</w:t>
      </w:r>
      <w:r w:rsidRPr="00C605D8">
        <w:rPr>
          <w:rFonts w:cs="Arial"/>
          <w:szCs w:val="24"/>
        </w:rPr>
        <w:t>. Agenturní zaměstnanci jsou taktéž mnohdy zaměstnáni mimo pracovní poměr, což způsobuje výraznou fluktuaci.</w:t>
      </w:r>
    </w:p>
    <w:p w:rsidR="008D7208" w:rsidRPr="00C605D8" w:rsidRDefault="008D7208" w:rsidP="001F4C42">
      <w:pPr>
        <w:pStyle w:val="Odstavecseseznamem"/>
        <w:numPr>
          <w:ilvl w:val="0"/>
          <w:numId w:val="3"/>
        </w:numPr>
        <w:spacing w:before="120" w:line="240" w:lineRule="auto"/>
        <w:rPr>
          <w:rFonts w:cs="Arial"/>
          <w:b/>
          <w:i/>
          <w:szCs w:val="24"/>
        </w:rPr>
      </w:pPr>
      <w:r w:rsidRPr="00C605D8">
        <w:rPr>
          <w:rFonts w:cs="Arial"/>
          <w:b/>
          <w:i/>
          <w:szCs w:val="24"/>
        </w:rPr>
        <w:t>Exekuce</w:t>
      </w:r>
    </w:p>
    <w:p w:rsidR="008D7208" w:rsidRPr="00C605D8" w:rsidRDefault="008D7208" w:rsidP="008D7208">
      <w:pPr>
        <w:spacing w:before="120" w:line="240" w:lineRule="auto"/>
        <w:ind w:left="708"/>
        <w:rPr>
          <w:rFonts w:cs="Arial"/>
          <w:szCs w:val="24"/>
        </w:rPr>
      </w:pPr>
      <w:r w:rsidRPr="00C605D8">
        <w:rPr>
          <w:rFonts w:cs="Arial"/>
          <w:szCs w:val="24"/>
        </w:rPr>
        <w:t xml:space="preserve">U některých skupin </w:t>
      </w:r>
      <w:proofErr w:type="spellStart"/>
      <w:r w:rsidR="000E2D24">
        <w:rPr>
          <w:rFonts w:cs="Arial"/>
          <w:szCs w:val="24"/>
        </w:rPr>
        <w:t>UoZ</w:t>
      </w:r>
      <w:proofErr w:type="spellEnd"/>
      <w:r w:rsidRPr="00C605D8">
        <w:rPr>
          <w:rFonts w:cs="Arial"/>
          <w:szCs w:val="24"/>
        </w:rPr>
        <w:t xml:space="preserve"> je výrazným faktorem snižujícím jejich motivaci k přijetí zaměstnání problematika </w:t>
      </w:r>
      <w:r>
        <w:rPr>
          <w:rFonts w:cs="Arial"/>
          <w:b/>
          <w:szCs w:val="24"/>
        </w:rPr>
        <w:t>exekucí a využívání tzv. </w:t>
      </w:r>
      <w:r w:rsidRPr="00C605D8">
        <w:rPr>
          <w:rFonts w:cs="Arial"/>
          <w:b/>
          <w:szCs w:val="24"/>
        </w:rPr>
        <w:t>nekolidujícího zaměstnání</w:t>
      </w:r>
      <w:r w:rsidRPr="00C605D8">
        <w:rPr>
          <w:rFonts w:cs="Arial"/>
          <w:szCs w:val="24"/>
        </w:rPr>
        <w:t xml:space="preserve">. V případě exekucí existují bariéry zejména na straně pracovní síly, které z obavy před exekučními srážkami ze mzdy nevyhledává legální výkon práce. Na straně zaměstnavatelů pak nutnost provádět exekuční srážky ze mzdy přispívá k vyšší administrativní zátěži a rovněž ke stigmatizaci potenciálního zaměstnance podléhajícího exekučním srážkám jako k nespolehlivému zaměstnanci. </w:t>
      </w:r>
    </w:p>
    <w:p w:rsidR="008D7208" w:rsidRPr="00C605D8" w:rsidRDefault="008D7208" w:rsidP="001F4C42">
      <w:pPr>
        <w:pStyle w:val="Odstavecseseznamem"/>
        <w:numPr>
          <w:ilvl w:val="0"/>
          <w:numId w:val="3"/>
        </w:numPr>
        <w:spacing w:before="120" w:line="240" w:lineRule="auto"/>
        <w:rPr>
          <w:rFonts w:cs="Arial"/>
          <w:szCs w:val="24"/>
        </w:rPr>
      </w:pPr>
      <w:r w:rsidRPr="00C605D8">
        <w:rPr>
          <w:rFonts w:cs="Arial"/>
          <w:b/>
          <w:i/>
          <w:szCs w:val="24"/>
        </w:rPr>
        <w:t>Nekolidující zaměstnání</w:t>
      </w:r>
    </w:p>
    <w:p w:rsidR="008D7208" w:rsidRPr="00C605D8" w:rsidRDefault="008D7208" w:rsidP="008D7208">
      <w:pPr>
        <w:spacing w:before="120" w:line="240" w:lineRule="auto"/>
        <w:ind w:left="708"/>
        <w:rPr>
          <w:rFonts w:cs="Arial"/>
          <w:szCs w:val="24"/>
        </w:rPr>
      </w:pPr>
      <w:r w:rsidRPr="00C605D8">
        <w:rPr>
          <w:rFonts w:cs="Arial"/>
          <w:szCs w:val="24"/>
        </w:rPr>
        <w:t xml:space="preserve">Výkon nekolidujícího zaměstnání podle § 25 odst. 3 zákona o zaměstnanosti využívaný zejména ve skupině povolání </w:t>
      </w:r>
      <w:r w:rsidRPr="00C605D8">
        <w:rPr>
          <w:rFonts w:cs="Arial"/>
          <w:i/>
          <w:szCs w:val="24"/>
        </w:rPr>
        <w:t>prodavači a příbuzní pracovníci v prodeji,</w:t>
      </w:r>
      <w:r w:rsidRPr="00C605D8">
        <w:rPr>
          <w:rFonts w:cs="Arial"/>
          <w:szCs w:val="24"/>
        </w:rPr>
        <w:t xml:space="preserve"> vytváří bariéru jak na straně zaměstnavatele, </w:t>
      </w:r>
      <w:r>
        <w:rPr>
          <w:rFonts w:cs="Arial"/>
          <w:szCs w:val="24"/>
        </w:rPr>
        <w:t>tak zaměstnance. P</w:t>
      </w:r>
      <w:r w:rsidRPr="00C605D8">
        <w:rPr>
          <w:rFonts w:cs="Arial"/>
          <w:szCs w:val="24"/>
        </w:rPr>
        <w:t xml:space="preserve">ro </w:t>
      </w:r>
      <w:r>
        <w:rPr>
          <w:rFonts w:cs="Arial"/>
          <w:szCs w:val="24"/>
        </w:rPr>
        <w:t>zaměstnavatele</w:t>
      </w:r>
      <w:r w:rsidRPr="00C605D8">
        <w:rPr>
          <w:rFonts w:cs="Arial"/>
          <w:szCs w:val="24"/>
        </w:rPr>
        <w:t xml:space="preserve"> je zaměstnání osoby na nekolidujícím zaměstnání z důvodu jejího souběžného vedení v evidenci </w:t>
      </w:r>
      <w:proofErr w:type="spellStart"/>
      <w:r w:rsidR="000E2D24">
        <w:rPr>
          <w:rFonts w:cs="Arial"/>
          <w:szCs w:val="24"/>
        </w:rPr>
        <w:t>UoZ</w:t>
      </w:r>
      <w:proofErr w:type="spellEnd"/>
      <w:r w:rsidRPr="00C605D8">
        <w:rPr>
          <w:rFonts w:cs="Arial"/>
          <w:szCs w:val="24"/>
        </w:rPr>
        <w:t xml:space="preserve"> výhodné zejména z ekonomických i administrativních důvodů. Na straně zaměstnance pak dlouhodobý výkon nekolidujícího zaměstnání zvyšuje demotivaci hledat jiné pracovní uplatnění, a to zejména ve spojitosti s dalšími faktory (viz např. výše uvedené exekuční srážky). Výkon nekolidujícího zaměstnání vytváří podmínky pro výkon nelegální práce (část mzdy, která je nad rámec pravidel nekolidujícího zaměstnání může být zaměstnanci vyplácena tzv. „na ruku“ a plně tak nahrazovat standardní pracovní činnost, resp. pracovní poměr).</w:t>
      </w:r>
    </w:p>
    <w:p w:rsidR="008D7208" w:rsidRPr="00C605D8" w:rsidRDefault="008D7208" w:rsidP="001F4C42">
      <w:pPr>
        <w:pStyle w:val="Odstavecseseznamem"/>
        <w:numPr>
          <w:ilvl w:val="0"/>
          <w:numId w:val="3"/>
        </w:numPr>
        <w:spacing w:before="120" w:line="240" w:lineRule="auto"/>
        <w:rPr>
          <w:rFonts w:cs="Arial"/>
          <w:b/>
          <w:szCs w:val="24"/>
        </w:rPr>
      </w:pPr>
      <w:r w:rsidRPr="00C605D8">
        <w:rPr>
          <w:rFonts w:cs="Arial"/>
          <w:b/>
          <w:i/>
          <w:szCs w:val="24"/>
        </w:rPr>
        <w:t>Zdravotní stav</w:t>
      </w:r>
    </w:p>
    <w:p w:rsidR="008D7208" w:rsidRPr="00C605D8" w:rsidRDefault="008D7208" w:rsidP="008D7208">
      <w:pPr>
        <w:spacing w:before="120" w:line="240" w:lineRule="auto"/>
        <w:ind w:left="708"/>
        <w:rPr>
          <w:rFonts w:cs="Arial"/>
          <w:szCs w:val="24"/>
        </w:rPr>
      </w:pPr>
      <w:r w:rsidRPr="00C605D8">
        <w:rPr>
          <w:rFonts w:cs="Arial"/>
          <w:b/>
          <w:szCs w:val="24"/>
        </w:rPr>
        <w:t>Zdravotní stav bývá objektivní bariérou bránící osobě ve vstupu na trh práce,</w:t>
      </w:r>
      <w:r w:rsidRPr="00C605D8">
        <w:rPr>
          <w:rFonts w:cs="Arial"/>
          <w:szCs w:val="24"/>
        </w:rPr>
        <w:t xml:space="preserve"> a to i v případě, kdy splňuje kvalifikační požadavky zaměstnavatele. Důvody jsou jak objektivní – nemožnost s ohledem na zdravotní stav vykonávat příslušné povolání, tak subjektivní – zejména obava z výkonnosti osob se zdravotním postižením na straně zaměstnavatelů, ale i zaměstnanců. Z výše uvedeného rozboru vyplývá, že zásadní disproporce spočívá v oblasti skupiny povolání v oblasti </w:t>
      </w:r>
      <w:r w:rsidRPr="00C605D8">
        <w:rPr>
          <w:rFonts w:cs="Arial"/>
          <w:i/>
          <w:szCs w:val="24"/>
        </w:rPr>
        <w:t>Pracovníci v oblasti ochrany a ostrahy</w:t>
      </w:r>
      <w:r w:rsidRPr="00C605D8">
        <w:rPr>
          <w:rFonts w:cs="Arial"/>
          <w:szCs w:val="24"/>
        </w:rPr>
        <w:t xml:space="preserve">, kde zaměstnavatelé preferují osoby se zdravotním postižením. Uvedená povolání však mohou vykonávat pouze některé skupiny osob se zdravotním postižením a aktuální nabídka pracovní síly proto není schopna zvýšenou poptávku saturovat. </w:t>
      </w:r>
    </w:p>
    <w:p w:rsidR="008D7208" w:rsidRPr="00C605D8" w:rsidRDefault="000E2D24" w:rsidP="008D7208">
      <w:pPr>
        <w:spacing w:before="120" w:line="240" w:lineRule="auto"/>
        <w:ind w:left="708"/>
        <w:rPr>
          <w:rFonts w:cs="Arial"/>
          <w:szCs w:val="24"/>
        </w:rPr>
      </w:pPr>
      <w:proofErr w:type="spellStart"/>
      <w:r>
        <w:rPr>
          <w:rFonts w:cs="Arial"/>
          <w:b/>
          <w:szCs w:val="24"/>
        </w:rPr>
        <w:t>UoZ</w:t>
      </w:r>
      <w:proofErr w:type="spellEnd"/>
      <w:r w:rsidRPr="00C605D8">
        <w:rPr>
          <w:rFonts w:cs="Arial"/>
          <w:b/>
          <w:szCs w:val="24"/>
        </w:rPr>
        <w:t xml:space="preserve"> </w:t>
      </w:r>
      <w:r w:rsidR="008D7208" w:rsidRPr="00C605D8">
        <w:rPr>
          <w:rFonts w:cs="Arial"/>
          <w:b/>
          <w:szCs w:val="24"/>
        </w:rPr>
        <w:t>často dokládají, že jejich zdravotní stav neodpovídá požadavkům na nabízenou pracovní pozici. Velmi významnou roli zde sehrává nemožnost kontroly lékařů, vydávajících předmětné doklady</w:t>
      </w:r>
      <w:r w:rsidR="008D7208" w:rsidRPr="00C605D8">
        <w:rPr>
          <w:rFonts w:cs="Arial"/>
          <w:szCs w:val="24"/>
        </w:rPr>
        <w:t xml:space="preserve">. </w:t>
      </w:r>
      <w:proofErr w:type="spellStart"/>
      <w:r>
        <w:rPr>
          <w:rFonts w:cs="Arial"/>
          <w:szCs w:val="24"/>
        </w:rPr>
        <w:t>UoZ</w:t>
      </w:r>
      <w:proofErr w:type="spellEnd"/>
      <w:r w:rsidRPr="00C605D8">
        <w:rPr>
          <w:rFonts w:cs="Arial"/>
          <w:szCs w:val="24"/>
        </w:rPr>
        <w:t xml:space="preserve"> </w:t>
      </w:r>
      <w:r w:rsidR="008D7208" w:rsidRPr="00C605D8">
        <w:rPr>
          <w:rFonts w:cs="Arial"/>
          <w:szCs w:val="24"/>
        </w:rPr>
        <w:t>nad 50 let věku vzhledem ke svému zdravotnímu stavu odmítají manuální a jinak fyzicky náročné pracovní nabídky.</w:t>
      </w:r>
    </w:p>
    <w:p w:rsidR="008D7208" w:rsidRPr="00C605D8" w:rsidRDefault="008D7208" w:rsidP="001F4C42">
      <w:pPr>
        <w:pStyle w:val="Odstavecseseznamem"/>
        <w:numPr>
          <w:ilvl w:val="0"/>
          <w:numId w:val="3"/>
        </w:numPr>
        <w:spacing w:before="120" w:line="240" w:lineRule="auto"/>
        <w:rPr>
          <w:rFonts w:cs="Arial"/>
          <w:b/>
          <w:szCs w:val="24"/>
        </w:rPr>
      </w:pPr>
      <w:r w:rsidRPr="00C605D8">
        <w:rPr>
          <w:rFonts w:cs="Arial"/>
          <w:b/>
          <w:i/>
          <w:szCs w:val="24"/>
        </w:rPr>
        <w:t>Regionální disproporce</w:t>
      </w:r>
    </w:p>
    <w:p w:rsidR="008D7208" w:rsidRDefault="008D7208" w:rsidP="008D7208">
      <w:pPr>
        <w:spacing w:before="120" w:line="240" w:lineRule="auto"/>
        <w:ind w:left="708"/>
        <w:rPr>
          <w:rFonts w:cs="Arial"/>
          <w:szCs w:val="24"/>
        </w:rPr>
      </w:pPr>
      <w:r w:rsidRPr="00C605D8">
        <w:rPr>
          <w:rFonts w:cs="Arial"/>
          <w:szCs w:val="24"/>
        </w:rPr>
        <w:t xml:space="preserve">Jedním z výrazných aspektů ovlivňujících fungování trhu práce jsou regionální disproporce mezi nabídkou a poptávkou po pracovní síle a </w:t>
      </w:r>
      <w:r w:rsidRPr="00C605D8">
        <w:rPr>
          <w:rFonts w:cs="Arial"/>
          <w:b/>
          <w:szCs w:val="24"/>
        </w:rPr>
        <w:t>nízká regionální mobilita pracovní síly.</w:t>
      </w:r>
      <w:r w:rsidRPr="00C605D8">
        <w:rPr>
          <w:rFonts w:cs="Arial"/>
          <w:szCs w:val="24"/>
        </w:rPr>
        <w:t xml:space="preserve"> Ta je spojená jak s neochotou pracovníků stěhovat se za prací (zejména na úrovni mezikrajské), tak ale i s neochotou dojíždět do zaměstnání buďto v rámci okresu či na meziokresní úrovni. Důvody jsou jak časové, tak zejména v případě nízkopříjmových skupin povolání, kde je disproporce mezi nabídkou a poptávkou markantní, důvody ekonomické. Regionální disproporce mezi nabídkou a poptávkou pak v periferních regionech může podtrhovat nedostatečně rozvinutá dopravní obslužnost.</w:t>
      </w:r>
    </w:p>
    <w:p w:rsidR="008D7208" w:rsidRPr="00C605D8" w:rsidRDefault="008D7208" w:rsidP="001F4C42">
      <w:pPr>
        <w:pStyle w:val="Odstavecseseznamem"/>
        <w:numPr>
          <w:ilvl w:val="0"/>
          <w:numId w:val="3"/>
        </w:numPr>
        <w:spacing w:before="120" w:line="240" w:lineRule="auto"/>
        <w:rPr>
          <w:rFonts w:cs="Arial"/>
          <w:b/>
          <w:i/>
          <w:szCs w:val="24"/>
        </w:rPr>
      </w:pPr>
      <w:r w:rsidRPr="00C605D8">
        <w:rPr>
          <w:rFonts w:cs="Arial"/>
          <w:b/>
          <w:i/>
          <w:szCs w:val="24"/>
        </w:rPr>
        <w:t>Genderové disproporce</w:t>
      </w:r>
    </w:p>
    <w:p w:rsidR="008D7208" w:rsidRPr="00470928" w:rsidRDefault="008D7208" w:rsidP="008D7208">
      <w:pPr>
        <w:spacing w:before="120" w:line="240" w:lineRule="auto"/>
        <w:ind w:left="708"/>
        <w:rPr>
          <w:rFonts w:cs="Arial"/>
          <w:b/>
          <w:szCs w:val="24"/>
        </w:rPr>
      </w:pPr>
      <w:r w:rsidRPr="00C605D8">
        <w:rPr>
          <w:rFonts w:cs="Arial"/>
          <w:szCs w:val="24"/>
        </w:rPr>
        <w:t xml:space="preserve">Disproporce mezi nabídkou a poptávkou na trhu práce je rovněž podtrhována genderovou segregací trhu práce, kdy řada nejčastěji poptávaných profesí vyžaduje manuální těžkou fyzickou práci nevhodnou pro ženy. V jiných skupinách (např. prodavači) pak s ohledem na svůj charakter není povolání (směnné provozy atd.) slučitelné s rodinným životem a výrazně tak limituje ženy v přístupu k zaměstnání. Na českém trhu práce dále existuje výrazně nízká nabídka flexibilních forem zaměstnání, které by nebyly svým charakterem zaměstnáními prekérními (ve smyslu nízké úrovně odměňování) a byly by tak vhodné pro ženy pečující o děti. Jak vyplývá z tabulky popisující nejčastěji poptávané profese, pak se jedná zejména o profese vhodné pro muže, což v komparaci s vyšším zastoupením žen v evidenci uchazečů o zaměstnání podtrhuje disproporci na trhu práce. </w:t>
      </w:r>
      <w:r w:rsidR="00470928">
        <w:rPr>
          <w:rFonts w:cs="Arial"/>
          <w:b/>
          <w:szCs w:val="24"/>
        </w:rPr>
        <w:t xml:space="preserve">Při tom </w:t>
      </w:r>
      <w:r w:rsidR="00470928" w:rsidRPr="00470928">
        <w:rPr>
          <w:rFonts w:cs="Arial"/>
          <w:szCs w:val="24"/>
        </w:rPr>
        <w:t>v současné době zvýšené poptávky po pracovní síle a za situace vysoké míry zaměstnanost</w:t>
      </w:r>
      <w:r w:rsidR="00470928">
        <w:rPr>
          <w:rFonts w:cs="Arial"/>
          <w:szCs w:val="24"/>
        </w:rPr>
        <w:t>i mužů, zejména ve středním věku</w:t>
      </w:r>
      <w:r w:rsidR="00470928">
        <w:rPr>
          <w:rStyle w:val="Znakapoznpodarou"/>
          <w:rFonts w:cs="Arial"/>
          <w:szCs w:val="24"/>
        </w:rPr>
        <w:footnoteReference w:id="2"/>
      </w:r>
      <w:r w:rsidR="00470928" w:rsidRPr="00470928">
        <w:rPr>
          <w:rFonts w:cs="Arial"/>
          <w:szCs w:val="24"/>
        </w:rPr>
        <w:t>, je</w:t>
      </w:r>
      <w:r w:rsidR="00470928">
        <w:rPr>
          <w:rFonts w:cs="Arial"/>
          <w:b/>
          <w:szCs w:val="24"/>
        </w:rPr>
        <w:t xml:space="preserve"> skupina žen vracejících se z rodičovské dovolené, popřípadě pečujících o děti, jedním z potenciálně nejobjemnějších zdrojů pracovní síly</w:t>
      </w:r>
      <w:r w:rsidR="00A834BC">
        <w:rPr>
          <w:rFonts w:cs="Arial"/>
          <w:b/>
          <w:szCs w:val="24"/>
        </w:rPr>
        <w:t>.</w:t>
      </w:r>
      <w:r w:rsidR="00470928">
        <w:rPr>
          <w:rFonts w:cs="Arial"/>
          <w:b/>
          <w:szCs w:val="24"/>
        </w:rPr>
        <w:t xml:space="preserve"> </w:t>
      </w:r>
    </w:p>
    <w:p w:rsidR="008D7208" w:rsidRDefault="008D7208" w:rsidP="00696DB7">
      <w:pPr>
        <w:spacing w:after="200" w:line="240" w:lineRule="auto"/>
        <w:rPr>
          <w:rFonts w:cs="Arial"/>
        </w:rPr>
      </w:pPr>
    </w:p>
    <w:p w:rsidR="00147F4B" w:rsidRDefault="00147F4B" w:rsidP="00696DB7">
      <w:pPr>
        <w:spacing w:after="200" w:line="240" w:lineRule="auto"/>
        <w:rPr>
          <w:rFonts w:cs="Arial"/>
        </w:rPr>
      </w:pPr>
    </w:p>
    <w:p w:rsidR="005A7D7E" w:rsidRPr="00141B9B" w:rsidRDefault="005A7D7E" w:rsidP="001F4C42">
      <w:pPr>
        <w:pStyle w:val="Nadpis1"/>
        <w:numPr>
          <w:ilvl w:val="0"/>
          <w:numId w:val="6"/>
        </w:numPr>
      </w:pPr>
      <w:bookmarkStart w:id="40" w:name="_Toc465674780"/>
      <w:r w:rsidRPr="00141B9B">
        <w:t>Projekty pracovní migrace z Ukrajiny</w:t>
      </w:r>
      <w:bookmarkEnd w:id="40"/>
    </w:p>
    <w:p w:rsidR="005A7D7E" w:rsidRPr="005A7D7E" w:rsidRDefault="005A7D7E" w:rsidP="005A7D7E">
      <w:pPr>
        <w:spacing w:before="120" w:line="240" w:lineRule="auto"/>
        <w:rPr>
          <w:szCs w:val="24"/>
        </w:rPr>
      </w:pPr>
      <w:r w:rsidRPr="005A7D7E">
        <w:rPr>
          <w:szCs w:val="24"/>
        </w:rPr>
        <w:t xml:space="preserve">V souladu se zákonem o zaměstnanosti jsou na volné pracovní pozice přednostně umísťování </w:t>
      </w:r>
      <w:proofErr w:type="spellStart"/>
      <w:r w:rsidR="00467615">
        <w:rPr>
          <w:szCs w:val="24"/>
        </w:rPr>
        <w:t>UoZ</w:t>
      </w:r>
      <w:proofErr w:type="spellEnd"/>
      <w:r w:rsidRPr="005A7D7E">
        <w:rPr>
          <w:szCs w:val="24"/>
        </w:rPr>
        <w:t xml:space="preserve"> – občané ČR, případně občané EU nebo občané třetích zemí, kteří jsou již součástí českého trhu práce. Teprve pokud </w:t>
      </w:r>
      <w:r w:rsidR="00467615">
        <w:rPr>
          <w:szCs w:val="24"/>
        </w:rPr>
        <w:t>VPM</w:t>
      </w:r>
      <w:r w:rsidRPr="005A7D7E">
        <w:rPr>
          <w:szCs w:val="24"/>
        </w:rPr>
        <w:t xml:space="preserve"> nelze s ohledem na požadovanou kvalifikaci nebo nedostatek pracovních sil obsadit jinak, může takové místo obsadit cizinec z tzv. třetích států, tedy i Ukrajiny. </w:t>
      </w:r>
    </w:p>
    <w:p w:rsidR="005A7D7E" w:rsidRPr="005A7D7E" w:rsidRDefault="005A7D7E" w:rsidP="005A7D7E">
      <w:pPr>
        <w:spacing w:before="120" w:line="240" w:lineRule="auto"/>
        <w:rPr>
          <w:szCs w:val="24"/>
        </w:rPr>
      </w:pPr>
      <w:r w:rsidRPr="005A7D7E">
        <w:rPr>
          <w:szCs w:val="24"/>
        </w:rPr>
        <w:t>S cílem podpory žádoucí pracovní migrace z Ukrajiny do ČR jsou aktuálně realizována opatření, která mají zajistit časovou úsporu při přijímání a vyřizování žádostí o zaměstnanecké, resp. modré karty pro ukra</w:t>
      </w:r>
      <w:r>
        <w:rPr>
          <w:szCs w:val="24"/>
        </w:rPr>
        <w:t>jinské občany. Jde v podstatě o </w:t>
      </w:r>
      <w:r w:rsidRPr="005A7D7E">
        <w:rPr>
          <w:szCs w:val="24"/>
        </w:rPr>
        <w:t>zajištění rychlejších administrativních migračních procedur na zastupitelských úřadech České republiky na Ukrajině (ZÚ Kyjev, GK Lvov). Jedná se o následující:</w:t>
      </w:r>
    </w:p>
    <w:p w:rsidR="005A7D7E" w:rsidRPr="005A7D7E" w:rsidRDefault="005A7D7E" w:rsidP="005A7D7E">
      <w:pPr>
        <w:spacing w:before="120" w:line="240" w:lineRule="auto"/>
        <w:rPr>
          <w:szCs w:val="24"/>
          <w:u w:val="single"/>
        </w:rPr>
      </w:pPr>
    </w:p>
    <w:p w:rsidR="005A7D7E" w:rsidRPr="005A7D7E" w:rsidRDefault="005A7D7E" w:rsidP="005A7D7E">
      <w:pPr>
        <w:spacing w:before="120" w:line="240" w:lineRule="auto"/>
        <w:rPr>
          <w:rFonts w:cs="Arial"/>
          <w:bCs/>
          <w:i/>
          <w:szCs w:val="24"/>
        </w:rPr>
      </w:pPr>
      <w:r w:rsidRPr="005A7D7E">
        <w:rPr>
          <w:rFonts w:cs="Arial"/>
          <w:bCs/>
          <w:i/>
          <w:szCs w:val="24"/>
        </w:rPr>
        <w:t>Projekt „Zvláštní postupy pro vysoce kvalifikované zaměstnance z Ukrajiny“</w:t>
      </w:r>
    </w:p>
    <w:p w:rsidR="005A7D7E" w:rsidRPr="005A7D7E" w:rsidRDefault="005A7D7E" w:rsidP="005A7D7E">
      <w:pPr>
        <w:spacing w:before="120" w:line="240" w:lineRule="auto"/>
        <w:rPr>
          <w:szCs w:val="24"/>
        </w:rPr>
      </w:pPr>
      <w:r w:rsidRPr="005A7D7E">
        <w:rPr>
          <w:szCs w:val="24"/>
        </w:rPr>
        <w:t>Projekt je realizován pilotně a má stanovenou roční kvótou 500 zaměstnanců. Je určen pro specialisty, jejichž pracovní pozice je dle platného znění aktualizované Klasifikace zaměstnání (CZ-ISCO) zpravidla zařazena do hlavních tříd 1 – 3. Žádosti o zařazení do projektu přijímá Ministerstvo průmyslu a obchodu, pro zdravotnické profese pak Ministerstvo zdravotnictví.</w:t>
      </w:r>
    </w:p>
    <w:p w:rsidR="005A7D7E" w:rsidRPr="005A7D7E" w:rsidRDefault="005A7D7E" w:rsidP="005A7D7E">
      <w:pPr>
        <w:spacing w:before="120" w:line="240" w:lineRule="auto"/>
        <w:rPr>
          <w:szCs w:val="24"/>
        </w:rPr>
      </w:pPr>
      <w:r w:rsidRPr="005A7D7E">
        <w:rPr>
          <w:szCs w:val="24"/>
        </w:rPr>
        <w:t xml:space="preserve">K </w:t>
      </w:r>
      <w:r w:rsidRPr="005A7D7E">
        <w:rPr>
          <w:b/>
          <w:szCs w:val="24"/>
        </w:rPr>
        <w:t>21. září 2016</w:t>
      </w:r>
      <w:r w:rsidRPr="005A7D7E">
        <w:rPr>
          <w:szCs w:val="24"/>
        </w:rPr>
        <w:t xml:space="preserve"> bylo do projektu zařazeno celkem </w:t>
      </w:r>
      <w:r w:rsidRPr="005A7D7E">
        <w:rPr>
          <w:b/>
          <w:szCs w:val="24"/>
        </w:rPr>
        <w:t>166</w:t>
      </w:r>
      <w:r w:rsidRPr="005A7D7E">
        <w:rPr>
          <w:szCs w:val="24"/>
        </w:rPr>
        <w:t xml:space="preserve"> ukrajinských </w:t>
      </w:r>
      <w:r w:rsidR="00467615">
        <w:rPr>
          <w:szCs w:val="24"/>
        </w:rPr>
        <w:t>státních příslušníků</w:t>
      </w:r>
      <w:r w:rsidRPr="005A7D7E">
        <w:rPr>
          <w:szCs w:val="24"/>
        </w:rPr>
        <w:t xml:space="preserve">. Jedná se většinou o specialisty IT a specialisty v oblasti prodeje </w:t>
      </w:r>
      <w:r w:rsidR="00467615">
        <w:rPr>
          <w:szCs w:val="24"/>
        </w:rPr>
        <w:br/>
      </w:r>
      <w:r w:rsidRPr="005A7D7E">
        <w:rPr>
          <w:szCs w:val="24"/>
        </w:rPr>
        <w:t>a nákupu, stavební inženýry, strojírenské techniky a další.</w:t>
      </w:r>
    </w:p>
    <w:p w:rsidR="005A7D7E" w:rsidRPr="005A7D7E" w:rsidRDefault="005A7D7E" w:rsidP="005A7D7E">
      <w:pPr>
        <w:spacing w:before="120" w:line="240" w:lineRule="auto"/>
        <w:rPr>
          <w:szCs w:val="24"/>
          <w:u w:val="single"/>
        </w:rPr>
      </w:pPr>
    </w:p>
    <w:p w:rsidR="005A7D7E" w:rsidRPr="005A7D7E" w:rsidRDefault="005A7D7E" w:rsidP="005A7D7E">
      <w:pPr>
        <w:spacing w:before="120" w:line="240" w:lineRule="auto"/>
        <w:rPr>
          <w:rFonts w:cs="Arial"/>
          <w:bCs/>
          <w:i/>
          <w:szCs w:val="24"/>
        </w:rPr>
      </w:pPr>
      <w:r w:rsidRPr="005A7D7E">
        <w:rPr>
          <w:rFonts w:cs="Arial"/>
          <w:bCs/>
          <w:i/>
          <w:szCs w:val="24"/>
        </w:rPr>
        <w:t>Režim zvláštního zacházení pro kvalifikované zaměstnance z Ukrajiny</w:t>
      </w:r>
    </w:p>
    <w:p w:rsidR="005A7D7E" w:rsidRPr="005A7D7E" w:rsidRDefault="005A7D7E" w:rsidP="005A7D7E">
      <w:pPr>
        <w:spacing w:before="120" w:line="240" w:lineRule="auto"/>
        <w:rPr>
          <w:szCs w:val="24"/>
        </w:rPr>
      </w:pPr>
      <w:r w:rsidRPr="005A7D7E">
        <w:rPr>
          <w:szCs w:val="24"/>
        </w:rPr>
        <w:t xml:space="preserve">Od 1. srpna 2016 je na základě usnesení vlády realizován „Režim zvláštního zacházení pro kvalifikované zaměstnance z Ukrajiny“, jehož cílem je urychlit příchod ukrajinských občanů pro nedostatkové profese střední a nižší kvalifikace. Režim je určený primárně pro technické profese. </w:t>
      </w:r>
    </w:p>
    <w:p w:rsidR="005A7D7E" w:rsidRDefault="005A7D7E" w:rsidP="005A7D7E">
      <w:pPr>
        <w:spacing w:before="120" w:line="240" w:lineRule="auto"/>
        <w:rPr>
          <w:szCs w:val="24"/>
        </w:rPr>
      </w:pPr>
      <w:r w:rsidRPr="005A7D7E">
        <w:rPr>
          <w:szCs w:val="24"/>
        </w:rPr>
        <w:t>Žádosti o zařazení do Režimu přijímají podnikatelské reprezentace. Roční kvóta Režimu je stanovena na 3 800 žádostí o zaměstnanecké karty. Vzhledem k potřebě optimálním způsobem rozvrstvit administrativní zátěž byly stanoveny i kvóty měsíční. Kvóta 170 žádostí o zaměstnaneckou kartu pro měsíc září 2016 byla naplněna ke dni 16. 9. 2016. Počínaje říjnem 2016 bude m</w:t>
      </w:r>
      <w:r>
        <w:rPr>
          <w:szCs w:val="24"/>
        </w:rPr>
        <w:t>ěsíčně možno přijímat žádosti o </w:t>
      </w:r>
      <w:r w:rsidRPr="005A7D7E">
        <w:rPr>
          <w:szCs w:val="24"/>
        </w:rPr>
        <w:t xml:space="preserve">zaměstnaneckou kartu pro celkem 320 ukrajinských pracovníků. </w:t>
      </w:r>
    </w:p>
    <w:p w:rsidR="005A7D7E" w:rsidRPr="005A7D7E" w:rsidRDefault="005A7D7E" w:rsidP="005A7D7E">
      <w:pPr>
        <w:spacing w:before="120" w:line="240" w:lineRule="auto"/>
        <w:rPr>
          <w:b/>
          <w:szCs w:val="24"/>
        </w:rPr>
      </w:pPr>
      <w:r w:rsidRPr="005A7D7E">
        <w:rPr>
          <w:szCs w:val="24"/>
        </w:rPr>
        <w:t>První týdny praktického fungování Režimu ukazují na některé provozní problémy týkající se komunikace se žadateli či způsobilosti přijetí žádostí, nicméně k </w:t>
      </w:r>
      <w:r w:rsidRPr="005A7D7E">
        <w:rPr>
          <w:b/>
          <w:szCs w:val="24"/>
        </w:rPr>
        <w:t>27.</w:t>
      </w:r>
      <w:r>
        <w:rPr>
          <w:b/>
          <w:szCs w:val="24"/>
        </w:rPr>
        <w:t> </w:t>
      </w:r>
      <w:r w:rsidRPr="005A7D7E">
        <w:rPr>
          <w:b/>
          <w:szCs w:val="24"/>
        </w:rPr>
        <w:t>9.</w:t>
      </w:r>
      <w:r>
        <w:rPr>
          <w:b/>
          <w:szCs w:val="24"/>
        </w:rPr>
        <w:t> </w:t>
      </w:r>
      <w:r w:rsidRPr="005A7D7E">
        <w:rPr>
          <w:b/>
          <w:szCs w:val="24"/>
        </w:rPr>
        <w:t>2016 bylo zařazeno do projektu 538 osob.</w:t>
      </w:r>
    </w:p>
    <w:p w:rsidR="005A7D7E" w:rsidRPr="005A7D7E" w:rsidRDefault="005A7D7E" w:rsidP="005A7D7E">
      <w:pPr>
        <w:spacing w:before="120" w:line="240" w:lineRule="auto"/>
        <w:rPr>
          <w:szCs w:val="24"/>
        </w:rPr>
      </w:pPr>
      <w:r w:rsidRPr="005A7D7E">
        <w:rPr>
          <w:szCs w:val="24"/>
        </w:rPr>
        <w:t>V současné době se potencionální ukrajinští žadatelé o pracovní oprávnění mimo dvě výše uvedená opatření přihlašují na zastupitelském úřadě ČR prostřednictvím systému VISAPOINT. Termíny pro podání žádosti, které se rezervují prostřednictvím tohoto rezervačního systému, jsou velmi rychle vyčerpány. Princip uvedeného projektu a režimu spočívá v tom, že budoucí zaměstnavatel se přihlašuje s již s vytipovanými konkrétními zaměstnanci, které následně zastupitelský úřad aktivně kontaktuje. Žadatelé tak nemusí pro podání žádosti o zaměstnaneckou kartu rezervovat termín prostřednictvím systému VISAPOINT.</w:t>
      </w:r>
    </w:p>
    <w:p w:rsidR="003F77D9" w:rsidRPr="00A834BC" w:rsidRDefault="00A834BC" w:rsidP="001F4C42">
      <w:pPr>
        <w:pStyle w:val="Nadpis1"/>
        <w:numPr>
          <w:ilvl w:val="0"/>
          <w:numId w:val="6"/>
        </w:numPr>
      </w:pPr>
      <w:bookmarkStart w:id="41" w:name="_Toc465674781"/>
      <w:r w:rsidRPr="00A834BC">
        <w:t>Zprostředkování zaměstnání agenturami práce</w:t>
      </w:r>
      <w:bookmarkEnd w:id="41"/>
    </w:p>
    <w:p w:rsidR="00A834BC" w:rsidRPr="00A834BC" w:rsidRDefault="00A834BC" w:rsidP="001F4C42">
      <w:pPr>
        <w:pStyle w:val="Nadpis2"/>
        <w:numPr>
          <w:ilvl w:val="1"/>
          <w:numId w:val="6"/>
        </w:numPr>
      </w:pPr>
      <w:bookmarkStart w:id="42" w:name="_Toc465674782"/>
      <w:r w:rsidRPr="00A834BC">
        <w:t>Vývoj a současný stav</w:t>
      </w:r>
      <w:bookmarkEnd w:id="42"/>
    </w:p>
    <w:p w:rsidR="00A834BC" w:rsidRDefault="00A834BC" w:rsidP="005A7D7E">
      <w:pPr>
        <w:spacing w:before="120" w:line="240" w:lineRule="auto"/>
        <w:rPr>
          <w:rFonts w:cs="Arial"/>
        </w:rPr>
      </w:pPr>
      <w:r w:rsidRPr="00390177">
        <w:rPr>
          <w:rFonts w:cs="Arial"/>
        </w:rPr>
        <w:t xml:space="preserve">Zprostředkovatelská činnost agentur práce je nedílnou součástí českého trhu práce. Kromě poskytnutí pomoci a podpory při vyhledávání vhodného zaměstnání těm, kteří práci aktivně hledají a pozitivního významu v podobě flexibility a schopnosti dodat v krátkém čase zaměstnance s požadovanou kvalifikací, </w:t>
      </w:r>
      <w:r w:rsidRPr="00B333BD">
        <w:rPr>
          <w:rFonts w:cs="Arial"/>
          <w:b/>
        </w:rPr>
        <w:t>se přirozeně projevily i negativní jevy, které tento způsob zprostředkování zaměstnání doprovázejí.</w:t>
      </w:r>
      <w:r w:rsidRPr="00390177">
        <w:rPr>
          <w:rFonts w:cs="Arial"/>
        </w:rPr>
        <w:t xml:space="preserve"> </w:t>
      </w:r>
    </w:p>
    <w:p w:rsidR="00A834BC" w:rsidRDefault="00A834BC" w:rsidP="00A834BC">
      <w:pPr>
        <w:spacing w:line="240" w:lineRule="auto"/>
        <w:rPr>
          <w:rFonts w:cs="Arial"/>
        </w:rPr>
      </w:pPr>
    </w:p>
    <w:p w:rsidR="00A834BC" w:rsidRDefault="00A834BC" w:rsidP="00A834BC">
      <w:pPr>
        <w:spacing w:line="240" w:lineRule="auto"/>
        <w:rPr>
          <w:rFonts w:cs="Arial"/>
          <w:b/>
        </w:rPr>
      </w:pPr>
      <w:r w:rsidRPr="00B333BD">
        <w:rPr>
          <w:rFonts w:cs="Arial"/>
          <w:b/>
        </w:rPr>
        <w:t xml:space="preserve">V současnosti lze proto nejvíce hovořit o nutnosti eliminovat stěžejní problémy, které jsou spojeny zejména </w:t>
      </w:r>
      <w:r>
        <w:rPr>
          <w:rFonts w:cs="Arial"/>
          <w:b/>
        </w:rPr>
        <w:t>s tzv. agenturním zaměstnáváním</w:t>
      </w:r>
    </w:p>
    <w:p w:rsidR="00A834BC" w:rsidRPr="005A7D7E" w:rsidRDefault="00A834BC" w:rsidP="001F4C42">
      <w:pPr>
        <w:pStyle w:val="Odstavecseseznamem"/>
        <w:numPr>
          <w:ilvl w:val="0"/>
          <w:numId w:val="5"/>
        </w:numPr>
        <w:spacing w:before="120" w:line="240" w:lineRule="auto"/>
        <w:ind w:left="777" w:hanging="357"/>
        <w:contextualSpacing w:val="0"/>
        <w:rPr>
          <w:rFonts w:cs="Arial"/>
        </w:rPr>
      </w:pPr>
      <w:r w:rsidRPr="005A7D7E">
        <w:rPr>
          <w:rFonts w:cs="Arial"/>
        </w:rPr>
        <w:t xml:space="preserve">vzrůstající počet agentur práce, účelové zakládání agentur práce, </w:t>
      </w:r>
    </w:p>
    <w:p w:rsidR="00A834BC" w:rsidRPr="005A7D7E" w:rsidRDefault="00A834BC" w:rsidP="001F4C42">
      <w:pPr>
        <w:pStyle w:val="Odstavecseseznamem"/>
        <w:numPr>
          <w:ilvl w:val="0"/>
          <w:numId w:val="5"/>
        </w:numPr>
        <w:spacing w:before="120" w:line="240" w:lineRule="auto"/>
        <w:ind w:left="777" w:hanging="357"/>
        <w:contextualSpacing w:val="0"/>
        <w:rPr>
          <w:rFonts w:cs="Arial"/>
        </w:rPr>
      </w:pPr>
      <w:r w:rsidRPr="005A7D7E">
        <w:rPr>
          <w:rFonts w:cs="Arial"/>
        </w:rPr>
        <w:t>obcházení a porušování právních a pracovněprávních předpisů</w:t>
      </w:r>
      <w:r w:rsidR="00467615">
        <w:rPr>
          <w:rFonts w:cs="Arial"/>
        </w:rPr>
        <w:t xml:space="preserve"> a</w:t>
      </w:r>
    </w:p>
    <w:p w:rsidR="00A834BC" w:rsidRPr="005A7D7E" w:rsidRDefault="00A834BC" w:rsidP="001F4C42">
      <w:pPr>
        <w:pStyle w:val="Odstavecseseznamem"/>
        <w:numPr>
          <w:ilvl w:val="0"/>
          <w:numId w:val="5"/>
        </w:numPr>
        <w:spacing w:before="120" w:line="240" w:lineRule="auto"/>
        <w:ind w:left="777" w:hanging="357"/>
        <w:contextualSpacing w:val="0"/>
        <w:rPr>
          <w:rFonts w:cs="Arial"/>
        </w:rPr>
      </w:pPr>
      <w:r w:rsidRPr="005A7D7E">
        <w:rPr>
          <w:rFonts w:cs="Arial"/>
        </w:rPr>
        <w:t xml:space="preserve">evidentní snahy trvale nahradit pracovněprávní vztahy „kmenových“ zaměstnanců, pracovněprávními či jinými dodavatelskými vztahy agenturních zaměstnanců, čímž původní smysl agenturního zaměstnávání - tj. dočasnost, ztrácí na významu. </w:t>
      </w:r>
    </w:p>
    <w:p w:rsidR="00A834BC" w:rsidRPr="005D3192" w:rsidRDefault="00A834BC" w:rsidP="001F4C42">
      <w:pPr>
        <w:pStyle w:val="Nadpis3"/>
        <w:numPr>
          <w:ilvl w:val="2"/>
          <w:numId w:val="6"/>
        </w:numPr>
      </w:pPr>
      <w:bookmarkStart w:id="43" w:name="_Toc465674783"/>
      <w:r w:rsidRPr="005D3192">
        <w:t>Geneze zprostředkovatelské činnosti agentur práce</w:t>
      </w:r>
      <w:bookmarkEnd w:id="43"/>
    </w:p>
    <w:p w:rsidR="005A7D7E" w:rsidRPr="005A7D7E" w:rsidRDefault="00A834BC" w:rsidP="005A7D7E">
      <w:pPr>
        <w:spacing w:line="240" w:lineRule="auto"/>
        <w:rPr>
          <w:rFonts w:cs="Arial"/>
          <w:szCs w:val="24"/>
        </w:rPr>
      </w:pPr>
      <w:r w:rsidRPr="00390177">
        <w:rPr>
          <w:rFonts w:cs="Arial"/>
          <w:szCs w:val="24"/>
        </w:rPr>
        <w:t>Za počátek zprostř</w:t>
      </w:r>
      <w:r>
        <w:rPr>
          <w:rFonts w:cs="Arial"/>
          <w:szCs w:val="24"/>
        </w:rPr>
        <w:t>edkovatelské činnosti agentur</w:t>
      </w:r>
      <w:r w:rsidRPr="00390177">
        <w:rPr>
          <w:rFonts w:cs="Arial"/>
          <w:szCs w:val="24"/>
        </w:rPr>
        <w:t xml:space="preserve"> práce lze </w:t>
      </w:r>
      <w:r w:rsidR="00467615">
        <w:rPr>
          <w:rFonts w:cs="Arial"/>
          <w:szCs w:val="24"/>
        </w:rPr>
        <w:t xml:space="preserve">považovat </w:t>
      </w:r>
      <w:r w:rsidRPr="00390177">
        <w:rPr>
          <w:rFonts w:cs="Arial"/>
          <w:szCs w:val="24"/>
        </w:rPr>
        <w:t xml:space="preserve">rok 2004, kdy nabyl účinnosti zákon o zaměstnanosti. Od tohoto roku pak dochází, vyjma let 2009-2011, k takřka soustavnému nárůstu počtu agentur </w:t>
      </w:r>
      <w:r w:rsidR="005A7D7E">
        <w:rPr>
          <w:rFonts w:cs="Arial"/>
          <w:szCs w:val="24"/>
        </w:rPr>
        <w:t>práce i </w:t>
      </w:r>
      <w:r>
        <w:rPr>
          <w:rFonts w:cs="Arial"/>
          <w:szCs w:val="24"/>
        </w:rPr>
        <w:t>počtu umístěných osob a </w:t>
      </w:r>
      <w:r w:rsidRPr="00390177">
        <w:rPr>
          <w:rFonts w:cs="Arial"/>
          <w:szCs w:val="24"/>
        </w:rPr>
        <w:t>podílu agenturního zaměstnávání na trhu práce v České republice</w:t>
      </w:r>
      <w:r w:rsidR="00467615">
        <w:rPr>
          <w:rFonts w:cs="Arial"/>
          <w:szCs w:val="24"/>
        </w:rPr>
        <w:t xml:space="preserve"> (ČR)</w:t>
      </w:r>
      <w:r w:rsidRPr="00390177">
        <w:rPr>
          <w:rFonts w:cs="Arial"/>
          <w:szCs w:val="24"/>
        </w:rPr>
        <w:t>.</w:t>
      </w:r>
      <w:r w:rsidR="005A7D7E">
        <w:rPr>
          <w:rFonts w:cs="Arial"/>
          <w:szCs w:val="24"/>
        </w:rPr>
        <w:t xml:space="preserve"> </w:t>
      </w:r>
      <w:r w:rsidR="005A7D7E" w:rsidRPr="005A7D7E">
        <w:rPr>
          <w:rFonts w:cs="Arial"/>
          <w:szCs w:val="24"/>
        </w:rPr>
        <w:t xml:space="preserve">Pokles v letech 2009-2011 byl ovlivněn několika faktory. </w:t>
      </w:r>
    </w:p>
    <w:p w:rsidR="005A7D7E" w:rsidRPr="005A7D7E" w:rsidRDefault="005A7D7E" w:rsidP="005A7D7E">
      <w:pPr>
        <w:spacing w:line="240" w:lineRule="auto"/>
        <w:rPr>
          <w:rFonts w:cs="Arial"/>
          <w:szCs w:val="24"/>
        </w:rPr>
      </w:pPr>
    </w:p>
    <w:p w:rsidR="005A7D7E" w:rsidRPr="005A7D7E" w:rsidRDefault="005A7D7E" w:rsidP="001F4C42">
      <w:pPr>
        <w:numPr>
          <w:ilvl w:val="0"/>
          <w:numId w:val="4"/>
        </w:numPr>
        <w:spacing w:line="240" w:lineRule="auto"/>
        <w:rPr>
          <w:rFonts w:cs="Arial"/>
          <w:szCs w:val="24"/>
        </w:rPr>
      </w:pPr>
      <w:r w:rsidRPr="005A7D7E">
        <w:rPr>
          <w:rFonts w:cs="Arial"/>
          <w:szCs w:val="24"/>
        </w:rPr>
        <w:t xml:space="preserve">zavedení závazného stanoviska Ministerstva vnitra (změna zákona o zaměstnanosti zákonem č. 382/2008 Sb., kdy </w:t>
      </w:r>
      <w:proofErr w:type="gramStart"/>
      <w:r w:rsidRPr="005A7D7E">
        <w:rPr>
          <w:rFonts w:cs="Arial"/>
          <w:szCs w:val="24"/>
        </w:rPr>
        <w:t>se</w:t>
      </w:r>
      <w:proofErr w:type="gramEnd"/>
      <w:r w:rsidRPr="005A7D7E">
        <w:rPr>
          <w:rFonts w:cs="Arial"/>
          <w:szCs w:val="24"/>
        </w:rPr>
        <w:t xml:space="preserve"> za </w:t>
      </w:r>
      <w:proofErr w:type="spellStart"/>
      <w:r w:rsidRPr="005A7D7E">
        <w:rPr>
          <w:rFonts w:cs="Arial"/>
          <w:szCs w:val="24"/>
        </w:rPr>
        <w:t>ust</w:t>
      </w:r>
      <w:proofErr w:type="spellEnd"/>
      <w:r w:rsidRPr="005A7D7E">
        <w:rPr>
          <w:rFonts w:cs="Arial"/>
          <w:szCs w:val="24"/>
        </w:rPr>
        <w:t>. § 60 nově vkládá § 60a)</w:t>
      </w:r>
    </w:p>
    <w:p w:rsidR="005A7D7E" w:rsidRPr="005A7D7E" w:rsidRDefault="005A7D7E" w:rsidP="001F4C42">
      <w:pPr>
        <w:numPr>
          <w:ilvl w:val="0"/>
          <w:numId w:val="4"/>
        </w:numPr>
        <w:spacing w:line="240" w:lineRule="auto"/>
        <w:rPr>
          <w:rFonts w:cs="Arial"/>
          <w:szCs w:val="24"/>
        </w:rPr>
      </w:pPr>
      <w:r w:rsidRPr="005A7D7E">
        <w:rPr>
          <w:rFonts w:cs="Arial"/>
          <w:szCs w:val="24"/>
        </w:rPr>
        <w:t>zavedení povinného pojištění pro agentury práce, které mohou provádět zprostředkování zaměstnání podle § 14 odst. 1 písm. b) zákona o zaměstnanosti</w:t>
      </w:r>
    </w:p>
    <w:p w:rsidR="005A7D7E" w:rsidRPr="005A7D7E" w:rsidRDefault="005A7D7E" w:rsidP="001F4C42">
      <w:pPr>
        <w:numPr>
          <w:ilvl w:val="0"/>
          <w:numId w:val="4"/>
        </w:numPr>
        <w:spacing w:line="240" w:lineRule="auto"/>
        <w:rPr>
          <w:rFonts w:cs="Arial"/>
          <w:szCs w:val="24"/>
        </w:rPr>
      </w:pPr>
      <w:r w:rsidRPr="005A7D7E">
        <w:rPr>
          <w:rFonts w:cs="Arial"/>
          <w:szCs w:val="24"/>
        </w:rPr>
        <w:t xml:space="preserve">přenesení působnosti MPSV na GŘ ÚP ČR v oblasti udělování povolení ke zprostředkování zaměstnání a s tím související přechodné ustanovení čl. X, odst. 4 zákona </w:t>
      </w:r>
      <w:r w:rsidRPr="005A7D7E">
        <w:rPr>
          <w:rFonts w:cs="Arial"/>
          <w:bCs/>
          <w:szCs w:val="24"/>
        </w:rPr>
        <w:t>č. 347/2010 Sb.,</w:t>
      </w:r>
    </w:p>
    <w:p w:rsidR="005A7D7E" w:rsidRPr="005A7D7E" w:rsidRDefault="005A7D7E" w:rsidP="001F4C42">
      <w:pPr>
        <w:numPr>
          <w:ilvl w:val="0"/>
          <w:numId w:val="4"/>
        </w:numPr>
        <w:spacing w:line="240" w:lineRule="auto"/>
        <w:rPr>
          <w:rFonts w:cs="Arial"/>
          <w:szCs w:val="24"/>
        </w:rPr>
      </w:pPr>
      <w:r w:rsidRPr="005A7D7E">
        <w:rPr>
          <w:rFonts w:cs="Arial"/>
          <w:bCs/>
          <w:szCs w:val="24"/>
        </w:rPr>
        <w:t>zintenzivnění kontrolní činnosti realizované do konce roku 2011 ÚP ČR ve spolupráci se SÚIP</w:t>
      </w:r>
    </w:p>
    <w:p w:rsidR="005A7D7E" w:rsidRPr="005A7D7E" w:rsidRDefault="005A7D7E" w:rsidP="001F4C42">
      <w:pPr>
        <w:numPr>
          <w:ilvl w:val="0"/>
          <w:numId w:val="4"/>
        </w:numPr>
        <w:spacing w:line="240" w:lineRule="auto"/>
        <w:rPr>
          <w:rFonts w:cs="Arial"/>
          <w:szCs w:val="24"/>
        </w:rPr>
      </w:pPr>
      <w:r w:rsidRPr="005A7D7E">
        <w:rPr>
          <w:rFonts w:cs="Arial"/>
          <w:bCs/>
          <w:szCs w:val="24"/>
        </w:rPr>
        <w:t xml:space="preserve">opětovné zavedení institutu dočasného přidělení </w:t>
      </w:r>
      <w:r w:rsidR="00467615">
        <w:rPr>
          <w:rFonts w:cs="Arial"/>
          <w:bCs/>
          <w:szCs w:val="24"/>
        </w:rPr>
        <w:t>[</w:t>
      </w:r>
      <w:r w:rsidRPr="005A7D7E">
        <w:rPr>
          <w:rFonts w:cs="Arial"/>
          <w:bCs/>
          <w:szCs w:val="24"/>
        </w:rPr>
        <w:t>§ 43a zákona č. 262/2006 Sb., zákoník práce, ve znění pozdějších předpisů</w:t>
      </w:r>
      <w:r w:rsidR="00467615">
        <w:rPr>
          <w:rFonts w:cs="Arial"/>
          <w:bCs/>
          <w:szCs w:val="24"/>
        </w:rPr>
        <w:t xml:space="preserve"> (dále jen „zákoník práce“</w:t>
      </w:r>
      <w:r w:rsidRPr="005A7D7E">
        <w:rPr>
          <w:rFonts w:cs="Arial"/>
          <w:bCs/>
          <w:szCs w:val="24"/>
        </w:rPr>
        <w:t>)</w:t>
      </w:r>
      <w:r w:rsidR="00467615">
        <w:rPr>
          <w:rFonts w:cs="Arial"/>
          <w:bCs/>
          <w:szCs w:val="24"/>
        </w:rPr>
        <w:t>]</w:t>
      </w:r>
      <w:r w:rsidRPr="005A7D7E">
        <w:rPr>
          <w:rFonts w:cs="Arial"/>
          <w:bCs/>
          <w:szCs w:val="24"/>
        </w:rPr>
        <w:t>.</w:t>
      </w:r>
    </w:p>
    <w:p w:rsidR="005A7D7E" w:rsidRPr="005A7D7E" w:rsidRDefault="005A7D7E" w:rsidP="005A7D7E">
      <w:pPr>
        <w:spacing w:line="240" w:lineRule="auto"/>
        <w:rPr>
          <w:rFonts w:cs="Arial"/>
          <w:szCs w:val="24"/>
        </w:rPr>
      </w:pPr>
    </w:p>
    <w:p w:rsidR="005A7D7E" w:rsidRPr="005A7D7E" w:rsidRDefault="005A7D7E" w:rsidP="005A7D7E">
      <w:pPr>
        <w:spacing w:line="240" w:lineRule="auto"/>
        <w:rPr>
          <w:rFonts w:cs="Arial"/>
          <w:szCs w:val="24"/>
        </w:rPr>
      </w:pPr>
      <w:r w:rsidRPr="005A7D7E">
        <w:rPr>
          <w:rFonts w:cs="Arial"/>
          <w:szCs w:val="24"/>
        </w:rPr>
        <w:t xml:space="preserve">Pokles počtu agentur práce v daném období ovlivnila rovněž úřední činnost ÚP ČR a MPSV, konkrétně řízení vedená ve věci odejmutí povolení ke zprostředkování zaměstnání těm agenturám práce, které porušovaly právní předpisy. Svůj vliv zajisté měla také hospodářská krize let 2008 – 2011. </w:t>
      </w:r>
    </w:p>
    <w:p w:rsidR="00A834BC" w:rsidRDefault="00A834BC" w:rsidP="00A834BC">
      <w:pPr>
        <w:spacing w:line="240" w:lineRule="auto"/>
        <w:rPr>
          <w:rFonts w:cs="Arial"/>
          <w:szCs w:val="24"/>
        </w:rPr>
      </w:pPr>
    </w:p>
    <w:p w:rsidR="005A7D7E" w:rsidRDefault="00805809" w:rsidP="005A7D7E">
      <w:pPr>
        <w:pStyle w:val="Titulek"/>
        <w:keepNext/>
      </w:pPr>
      <w:bookmarkStart w:id="44" w:name="_Toc465675935"/>
      <w:r>
        <w:t>Graf</w:t>
      </w:r>
      <w:r w:rsidR="005A7D7E">
        <w:t xml:space="preserve"> </w:t>
      </w:r>
      <w:r w:rsidR="006C5B50">
        <w:fldChar w:fldCharType="begin"/>
      </w:r>
      <w:r w:rsidR="006C5B50">
        <w:instrText xml:space="preserve"> SEQ Graf_č.: \* ARABIC </w:instrText>
      </w:r>
      <w:r w:rsidR="006C5B50">
        <w:fldChar w:fldCharType="separate"/>
      </w:r>
      <w:r w:rsidR="005B254A">
        <w:rPr>
          <w:noProof/>
        </w:rPr>
        <w:t>16</w:t>
      </w:r>
      <w:r w:rsidR="006C5B50">
        <w:rPr>
          <w:noProof/>
        </w:rPr>
        <w:fldChar w:fldCharType="end"/>
      </w:r>
      <w:r w:rsidR="005A7D7E">
        <w:t xml:space="preserve"> – Počet agentur práce v letech 2004 - 2016</w:t>
      </w:r>
      <w:bookmarkEnd w:id="44"/>
    </w:p>
    <w:p w:rsidR="00A834BC" w:rsidRPr="00390177" w:rsidRDefault="00E861DE" w:rsidP="00A834BC">
      <w:pPr>
        <w:spacing w:line="240" w:lineRule="auto"/>
        <w:rPr>
          <w:rFonts w:cs="Arial"/>
        </w:rPr>
      </w:pPr>
      <w:r>
        <w:rPr>
          <w:noProof/>
          <w:lang w:eastAsia="cs-CZ"/>
        </w:rPr>
        <mc:AlternateContent>
          <mc:Choice Requires="wps">
            <w:drawing>
              <wp:anchor distT="0" distB="0" distL="114300" distR="114300" simplePos="0" relativeHeight="251677696" behindDoc="0" locked="0" layoutInCell="1" allowOverlap="1" wp14:anchorId="07142B1E" wp14:editId="2BC6C28A">
                <wp:simplePos x="0" y="0"/>
                <wp:positionH relativeFrom="column">
                  <wp:posOffset>-17780</wp:posOffset>
                </wp:positionH>
                <wp:positionV relativeFrom="paragraph">
                  <wp:posOffset>3064510</wp:posOffset>
                </wp:positionV>
                <wp:extent cx="5879465" cy="467360"/>
                <wp:effectExtent l="0" t="0" r="6985" b="8890"/>
                <wp:wrapTight wrapText="bothSides">
                  <wp:wrapPolygon edited="0">
                    <wp:start x="0" y="0"/>
                    <wp:lineTo x="0" y="21130"/>
                    <wp:lineTo x="21556" y="21130"/>
                    <wp:lineTo x="21556" y="0"/>
                    <wp:lineTo x="0" y="0"/>
                  </wp:wrapPolygon>
                </wp:wrapTight>
                <wp:docPr id="27" name="Textové pole 27"/>
                <wp:cNvGraphicFramePr/>
                <a:graphic xmlns:a="http://schemas.openxmlformats.org/drawingml/2006/main">
                  <a:graphicData uri="http://schemas.microsoft.com/office/word/2010/wordprocessingShape">
                    <wps:wsp>
                      <wps:cNvSpPr txBox="1"/>
                      <wps:spPr>
                        <a:xfrm>
                          <a:off x="0" y="0"/>
                          <a:ext cx="5879465" cy="467360"/>
                        </a:xfrm>
                        <a:prstGeom prst="rect">
                          <a:avLst/>
                        </a:prstGeom>
                        <a:solidFill>
                          <a:prstClr val="white"/>
                        </a:solidFill>
                        <a:ln>
                          <a:noFill/>
                        </a:ln>
                        <a:effectLst/>
                      </wps:spPr>
                      <wps:txbx>
                        <w:txbxContent>
                          <w:p w:rsidR="006C5B50" w:rsidRPr="00F4141D" w:rsidRDefault="006C5B50" w:rsidP="00E861DE">
                            <w:pPr>
                              <w:pStyle w:val="Titulek"/>
                              <w:spacing w:before="120" w:after="120"/>
                              <w:rPr>
                                <w:rFonts w:cs="Arial"/>
                                <w:noProof/>
                                <w:sz w:val="24"/>
                              </w:rPr>
                            </w:pPr>
                            <w:bookmarkStart w:id="45" w:name="_Toc465675936"/>
                            <w:r>
                              <w:t xml:space="preserve">Graf </w:t>
                            </w:r>
                            <w:fldSimple w:instr=" SEQ Graf_č.: \* ARABIC ">
                              <w:r w:rsidR="005B254A">
                                <w:rPr>
                                  <w:noProof/>
                                </w:rPr>
                                <w:t>17</w:t>
                              </w:r>
                            </w:fldSimple>
                            <w:r>
                              <w:t xml:space="preserve"> - </w:t>
                            </w:r>
                            <w:r w:rsidRPr="00E861DE">
                              <w:t>Vývoj zprostředkovatelské činnosti agentur práce a Počet umístěných a dočasně přidělených fyzických osob 2004 - 2015</w:t>
                            </w:r>
                            <w:bookmarkEnd w:id="45"/>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27" o:spid="_x0000_s1029" type="#_x0000_t202" style="position:absolute;left:0;text-align:left;margin-left:-1.4pt;margin-top:241.3pt;width:462.95pt;height:36.8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" stroked="f">
                <v:textbox inset="0,0,0,0">
                  <w:txbxContent>
                    <w:p w:rsidR="006C5B50" w:rsidRPr="00F4141D" w:rsidRDefault="006C5B50" w:rsidP="00E861DE">
                      <w:pPr>
                        <w:pStyle w:val="Titulek"/>
                        <w:spacing w:before="120" w:after="120"/>
                        <w:rPr>
                          <w:rFonts w:cs="Arial"/>
                          <w:noProof/>
                          <w:sz w:val="24"/>
                        </w:rPr>
                      </w:pPr>
                      <w:bookmarkStart w:id="46" w:name="_Toc465675936"/>
                      <w:r>
                        <w:t xml:space="preserve">Graf </w:t>
                      </w:r>
                      <w:fldSimple w:instr=" SEQ Graf_č.: \* ARABIC ">
                        <w:r w:rsidR="005B254A">
                          <w:rPr>
                            <w:noProof/>
                          </w:rPr>
                          <w:t>17</w:t>
                        </w:r>
                      </w:fldSimple>
                      <w:r>
                        <w:t xml:space="preserve"> - </w:t>
                      </w:r>
                      <w:r w:rsidRPr="00E861DE">
                        <w:t>Vývoj zprostředkovatelské činnosti agentur práce a Počet umístěných a dočasně přidělených fyzických osob 2004 - 2015</w:t>
                      </w:r>
                      <w:bookmarkEnd w:id="46"/>
                    </w:p>
                  </w:txbxContent>
                </v:textbox>
                <w10:wrap type="tight"/>
              </v:shape>
            </w:pict>
          </mc:Fallback>
        </mc:AlternateContent>
      </w:r>
      <w:r w:rsidRPr="00390177">
        <w:rPr>
          <w:rFonts w:cs="Arial"/>
          <w:noProof/>
          <w:lang w:eastAsia="cs-CZ"/>
        </w:rPr>
        <w:drawing>
          <wp:anchor distT="0" distB="0" distL="114300" distR="114300" simplePos="0" relativeHeight="251666432" behindDoc="1" locked="0" layoutInCell="1" allowOverlap="1" wp14:anchorId="0321FB28" wp14:editId="49ACEAE6">
            <wp:simplePos x="0" y="0"/>
            <wp:positionH relativeFrom="column">
              <wp:posOffset>-17780</wp:posOffset>
            </wp:positionH>
            <wp:positionV relativeFrom="paragraph">
              <wp:posOffset>3531870</wp:posOffset>
            </wp:positionV>
            <wp:extent cx="5879465" cy="3104515"/>
            <wp:effectExtent l="0" t="0" r="26035" b="19685"/>
            <wp:wrapTight wrapText="bothSides">
              <wp:wrapPolygon edited="0">
                <wp:start x="0" y="0"/>
                <wp:lineTo x="0" y="21604"/>
                <wp:lineTo x="21626" y="21604"/>
                <wp:lineTo x="21626" y="0"/>
                <wp:lineTo x="0" y="0"/>
              </wp:wrapPolygon>
            </wp:wrapTight>
            <wp:docPr id="17"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r w:rsidR="00A834BC" w:rsidRPr="00390177">
        <w:rPr>
          <w:rFonts w:cs="Arial"/>
          <w:noProof/>
          <w:lang w:eastAsia="cs-CZ"/>
        </w:rPr>
        <w:drawing>
          <wp:inline distT="0" distB="0" distL="0" distR="0" wp14:anchorId="09BC4A55" wp14:editId="177C6204">
            <wp:extent cx="5858540" cy="2987749"/>
            <wp:effectExtent l="0" t="0" r="27940" b="22225"/>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A834BC" w:rsidRDefault="00A834BC" w:rsidP="00A834BC">
      <w:pPr>
        <w:spacing w:line="240" w:lineRule="auto"/>
        <w:rPr>
          <w:rFonts w:cs="Arial"/>
          <w:szCs w:val="24"/>
        </w:rPr>
      </w:pPr>
    </w:p>
    <w:p w:rsidR="00A834BC" w:rsidRPr="005D3192" w:rsidRDefault="00A834BC" w:rsidP="001F4C42">
      <w:pPr>
        <w:pStyle w:val="Nadpis3"/>
        <w:numPr>
          <w:ilvl w:val="2"/>
          <w:numId w:val="6"/>
        </w:numPr>
      </w:pPr>
      <w:bookmarkStart w:id="47" w:name="_Toc465674784"/>
      <w:r w:rsidRPr="005D3192">
        <w:t>Současný stav</w:t>
      </w:r>
      <w:bookmarkEnd w:id="47"/>
      <w:r w:rsidRPr="005D3192">
        <w:t xml:space="preserve"> </w:t>
      </w:r>
    </w:p>
    <w:p w:rsidR="00A834BC" w:rsidRDefault="00A834BC" w:rsidP="00A834BC">
      <w:pPr>
        <w:spacing w:line="240" w:lineRule="auto"/>
        <w:rPr>
          <w:rFonts w:cs="Arial"/>
          <w:szCs w:val="24"/>
        </w:rPr>
      </w:pPr>
      <w:r w:rsidRPr="00F16723">
        <w:rPr>
          <w:rFonts w:cs="Arial"/>
          <w:szCs w:val="24"/>
        </w:rPr>
        <w:t xml:space="preserve">ÚP ČR v současné době eviduje 1889 agentur práce. </w:t>
      </w:r>
      <w:r w:rsidRPr="00390177">
        <w:rPr>
          <w:rFonts w:cs="Arial"/>
          <w:szCs w:val="24"/>
        </w:rPr>
        <w:t xml:space="preserve">Z celkového počtu agentur práce disponuje celkem 1146 agentur práce </w:t>
      </w:r>
      <w:r>
        <w:rPr>
          <w:rFonts w:cs="Arial"/>
          <w:szCs w:val="24"/>
        </w:rPr>
        <w:t>povolením ke </w:t>
      </w:r>
      <w:r w:rsidRPr="00390177">
        <w:rPr>
          <w:rFonts w:cs="Arial"/>
          <w:szCs w:val="24"/>
        </w:rPr>
        <w:t>zprostředkování zaměstnání podle § 14 odst. 1 písm. b)</w:t>
      </w:r>
      <w:r>
        <w:rPr>
          <w:rFonts w:cs="Arial"/>
          <w:szCs w:val="24"/>
        </w:rPr>
        <w:t xml:space="preserve"> zákona o </w:t>
      </w:r>
      <w:r w:rsidRPr="00390177">
        <w:rPr>
          <w:rFonts w:cs="Arial"/>
          <w:szCs w:val="24"/>
        </w:rPr>
        <w:t xml:space="preserve">zaměstnanosti, přičemž 949 </w:t>
      </w:r>
      <w:r>
        <w:rPr>
          <w:rFonts w:cs="Arial"/>
          <w:szCs w:val="24"/>
        </w:rPr>
        <w:t xml:space="preserve">těchto </w:t>
      </w:r>
      <w:r w:rsidRPr="00390177">
        <w:rPr>
          <w:rFonts w:cs="Arial"/>
          <w:szCs w:val="24"/>
        </w:rPr>
        <w:t>povolení není oborově specifikováno, ale je uděleno pro všechny druhy prací ve všech oborech.</w:t>
      </w:r>
      <w:r>
        <w:rPr>
          <w:rFonts w:cs="Arial"/>
          <w:szCs w:val="24"/>
        </w:rPr>
        <w:t xml:space="preserve"> C</w:t>
      </w:r>
      <w:r w:rsidRPr="00390177">
        <w:rPr>
          <w:rFonts w:cs="Arial"/>
          <w:szCs w:val="24"/>
        </w:rPr>
        <w:t xml:space="preserve">elkem 1251 agentur práce disponuje </w:t>
      </w:r>
      <w:r>
        <w:rPr>
          <w:rFonts w:cs="Arial"/>
          <w:szCs w:val="24"/>
        </w:rPr>
        <w:t>povolením</w:t>
      </w:r>
      <w:r w:rsidRPr="00390177">
        <w:rPr>
          <w:rFonts w:cs="Arial"/>
          <w:szCs w:val="24"/>
        </w:rPr>
        <w:t xml:space="preserve"> ke zprostředkování zaměstnání podle § 14 odst. 1 písm. a) a c) zákona o zaměstnanosti, tj. mohou vyhledávat zaměstnání pro fyzickou osobu, která se o práci uchází, a vyhledávat zaměstnance pro zaměstnavatele, který hledá nové pracovní síly, případně provozovat poradenskou a informační činnost v </w:t>
      </w:r>
      <w:r>
        <w:rPr>
          <w:rFonts w:cs="Arial"/>
          <w:szCs w:val="24"/>
        </w:rPr>
        <w:t>oblasti pracovních příležitostí. T</w:t>
      </w:r>
      <w:r w:rsidRPr="00390177">
        <w:rPr>
          <w:rFonts w:cs="Arial"/>
          <w:szCs w:val="24"/>
        </w:rPr>
        <w:t xml:space="preserve">ato forma zprostředkovatelské činnosti zákonitě </w:t>
      </w:r>
      <w:r>
        <w:rPr>
          <w:rFonts w:cs="Arial"/>
          <w:szCs w:val="24"/>
        </w:rPr>
        <w:t>nepředstavuje takový předmět podnikatelského zájmu</w:t>
      </w:r>
      <w:r w:rsidRPr="00390177">
        <w:rPr>
          <w:rFonts w:cs="Arial"/>
          <w:szCs w:val="24"/>
        </w:rPr>
        <w:t xml:space="preserve"> jako forma agenturního zaměstnávání. Zatímco zprostředkovatelská činnost podle § 14 odst. 1 písm. a) a c) zákona o</w:t>
      </w:r>
      <w:r>
        <w:rPr>
          <w:rFonts w:cs="Arial"/>
          <w:szCs w:val="24"/>
        </w:rPr>
        <w:t> </w:t>
      </w:r>
      <w:r w:rsidRPr="00390177">
        <w:rPr>
          <w:rFonts w:cs="Arial"/>
          <w:szCs w:val="24"/>
        </w:rPr>
        <w:t xml:space="preserve">zaměstnanosti si udržuje určitou konstantu, agenturní zaměstnávání zaznamenává od roku 2011 rapidní nárůst, který již přesáhl hodnotu let 2008. </w:t>
      </w:r>
    </w:p>
    <w:p w:rsidR="00A834BC" w:rsidRDefault="00A834BC" w:rsidP="00A834BC">
      <w:pPr>
        <w:spacing w:line="240" w:lineRule="auto"/>
        <w:rPr>
          <w:rFonts w:cs="Arial"/>
          <w:szCs w:val="24"/>
        </w:rPr>
      </w:pPr>
    </w:p>
    <w:p w:rsidR="00A834BC" w:rsidRDefault="00A834BC" w:rsidP="00A834BC">
      <w:pPr>
        <w:spacing w:line="240" w:lineRule="auto"/>
        <w:rPr>
          <w:rFonts w:cs="Arial"/>
          <w:szCs w:val="24"/>
        </w:rPr>
      </w:pPr>
      <w:r w:rsidRPr="00390177">
        <w:rPr>
          <w:rFonts w:cs="Arial"/>
          <w:szCs w:val="24"/>
        </w:rPr>
        <w:t xml:space="preserve">Činnost agentur práce za rok 2016 bude možno zhodnotit až v roce následujícím, avšak již nyní lze říci, že se vzrůstajícím počtem agentur práce roste i počet dočasně přidělených zaměstnanců k výkonu práce pro uživatele, méně pak počet osob umístěných agenturami práce. Agentury práce nepopiratelně mají nezastupitelnou roli spočívající ve snižování úrovně nezaměstnanosti </w:t>
      </w:r>
      <w:r>
        <w:rPr>
          <w:rFonts w:cs="Arial"/>
          <w:szCs w:val="24"/>
        </w:rPr>
        <w:t xml:space="preserve">nejen </w:t>
      </w:r>
      <w:r w:rsidRPr="00390177">
        <w:rPr>
          <w:rFonts w:cs="Arial"/>
          <w:szCs w:val="24"/>
        </w:rPr>
        <w:t>Č</w:t>
      </w:r>
      <w:r w:rsidR="00467615">
        <w:rPr>
          <w:rFonts w:cs="Arial"/>
          <w:szCs w:val="24"/>
        </w:rPr>
        <w:t>R</w:t>
      </w:r>
      <w:r>
        <w:rPr>
          <w:rFonts w:cs="Arial"/>
          <w:szCs w:val="24"/>
        </w:rPr>
        <w:t>, avšak uvedená</w:t>
      </w:r>
      <w:r w:rsidRPr="00390177">
        <w:rPr>
          <w:rFonts w:cs="Arial"/>
          <w:szCs w:val="24"/>
        </w:rPr>
        <w:t xml:space="preserve"> </w:t>
      </w:r>
      <w:r>
        <w:rPr>
          <w:rFonts w:cs="Arial"/>
          <w:szCs w:val="24"/>
        </w:rPr>
        <w:t>statistika</w:t>
      </w:r>
      <w:r w:rsidRPr="00390177">
        <w:rPr>
          <w:rFonts w:cs="Arial"/>
          <w:szCs w:val="24"/>
        </w:rPr>
        <w:t xml:space="preserve"> i zjištění z kontrolní činnosti orgánů inspekce práce</w:t>
      </w:r>
      <w:r>
        <w:rPr>
          <w:rFonts w:cs="Arial"/>
          <w:szCs w:val="24"/>
        </w:rPr>
        <w:t xml:space="preserve"> naznačují, že </w:t>
      </w:r>
      <w:r w:rsidRPr="00390177">
        <w:rPr>
          <w:rFonts w:cs="Arial"/>
          <w:szCs w:val="24"/>
        </w:rPr>
        <w:t xml:space="preserve">agenturní zaměstnávání </w:t>
      </w:r>
      <w:r>
        <w:rPr>
          <w:rFonts w:cs="Arial"/>
          <w:szCs w:val="24"/>
        </w:rPr>
        <w:t xml:space="preserve">by mohlo být </w:t>
      </w:r>
      <w:r w:rsidRPr="00390177">
        <w:rPr>
          <w:rFonts w:cs="Arial"/>
          <w:szCs w:val="24"/>
        </w:rPr>
        <w:t xml:space="preserve">v poslední době nadužíváno a často i zneužíváno.   </w:t>
      </w:r>
    </w:p>
    <w:p w:rsidR="00A834BC" w:rsidRPr="005D3192" w:rsidRDefault="00A834BC" w:rsidP="0077732E">
      <w:pPr>
        <w:pStyle w:val="Nadpis2"/>
        <w:numPr>
          <w:ilvl w:val="1"/>
          <w:numId w:val="6"/>
        </w:numPr>
        <w:spacing w:line="240" w:lineRule="auto"/>
      </w:pPr>
      <w:bookmarkStart w:id="48" w:name="_Toc465674785"/>
      <w:r w:rsidRPr="005D3192">
        <w:t>Změny spojené s novelou zákona o zaměstnanosti a dalších souvisejících zákonů</w:t>
      </w:r>
      <w:bookmarkEnd w:id="48"/>
    </w:p>
    <w:p w:rsidR="00A834BC" w:rsidRPr="00356196" w:rsidRDefault="00A834BC" w:rsidP="00A834BC">
      <w:pPr>
        <w:spacing w:line="240" w:lineRule="auto"/>
        <w:rPr>
          <w:rFonts w:cs="Arial"/>
          <w:b/>
          <w:szCs w:val="24"/>
        </w:rPr>
      </w:pPr>
    </w:p>
    <w:p w:rsidR="00A834BC" w:rsidRDefault="00A834BC" w:rsidP="00A834BC">
      <w:pPr>
        <w:spacing w:line="240" w:lineRule="auto"/>
        <w:rPr>
          <w:rFonts w:cs="Arial"/>
          <w:szCs w:val="24"/>
        </w:rPr>
      </w:pPr>
      <w:r w:rsidRPr="00390177">
        <w:rPr>
          <w:rFonts w:cs="Arial"/>
          <w:szCs w:val="24"/>
        </w:rPr>
        <w:t xml:space="preserve">Dne 24. 8. 2016 byl Vládou </w:t>
      </w:r>
      <w:r>
        <w:rPr>
          <w:rFonts w:cs="Arial"/>
          <w:szCs w:val="24"/>
        </w:rPr>
        <w:t>ČR</w:t>
      </w:r>
      <w:r w:rsidRPr="00390177">
        <w:rPr>
          <w:rFonts w:cs="Arial"/>
          <w:szCs w:val="24"/>
        </w:rPr>
        <w:t xml:space="preserve"> projednán a schválen návrh novely zákona o zaměstnanosti, jehož cílem je provedení věcných změn v oblasti zprostředkování zaměstnání agenturami práce, a to zejména změn týkajících se ochrany dočasně přidělovaných zaměstnanců, zpřísnění podmínek pro udělení příslušného povolení ke zprostředkování zaměstnání, ale i stanovení jasnějších pravidel ve vztahu k uživateli zavedením jeho částečné odpovědnosti za podmínky, za kterých bude agenturní zaměstnávání realizováno.</w:t>
      </w:r>
      <w:r w:rsidR="00E276EB">
        <w:rPr>
          <w:rFonts w:cs="Arial"/>
          <w:szCs w:val="24"/>
        </w:rPr>
        <w:t xml:space="preserve"> </w:t>
      </w:r>
      <w:r w:rsidR="000445AC">
        <w:rPr>
          <w:rFonts w:cs="Arial"/>
          <w:szCs w:val="24"/>
        </w:rPr>
        <w:t>Návrh novely zákona je zařazen aktuálně na 50. schůzi Poslanecké sněmovny Parlamentu ČR</w:t>
      </w:r>
    </w:p>
    <w:p w:rsidR="00A834BC" w:rsidRPr="00390177" w:rsidRDefault="00A834BC" w:rsidP="00A834BC">
      <w:pPr>
        <w:spacing w:line="240" w:lineRule="auto"/>
        <w:rPr>
          <w:rFonts w:cs="Arial"/>
          <w:szCs w:val="24"/>
        </w:rPr>
      </w:pPr>
    </w:p>
    <w:p w:rsidR="00A834BC" w:rsidRDefault="00A834BC" w:rsidP="00A834BC">
      <w:pPr>
        <w:spacing w:line="240" w:lineRule="auto"/>
        <w:rPr>
          <w:rFonts w:cs="Arial"/>
          <w:szCs w:val="24"/>
        </w:rPr>
      </w:pPr>
      <w:r w:rsidRPr="00390177">
        <w:rPr>
          <w:rFonts w:cs="Arial"/>
          <w:szCs w:val="24"/>
        </w:rPr>
        <w:t xml:space="preserve">Hlavním záměrem návrhu je reagovat na současný vývoj v této oblasti a trhu práce vůbec skrze regulaci trhu agenturního zaměstnávání s cílem minimalizace negativních jevů, jako je nadužívání agenturního zaměstnávání a účelové zakládání agentur práce. Navrhované změny na druhou stranu posílí postavení seriózních agentur práce, které neporušují právní předpisy. </w:t>
      </w:r>
    </w:p>
    <w:p w:rsidR="00A834BC" w:rsidRPr="00AF1CDD" w:rsidRDefault="00A834BC" w:rsidP="00A834BC">
      <w:pPr>
        <w:spacing w:line="240" w:lineRule="auto"/>
        <w:rPr>
          <w:rFonts w:cs="Arial"/>
          <w:b/>
          <w:szCs w:val="24"/>
        </w:rPr>
      </w:pPr>
    </w:p>
    <w:p w:rsidR="00A834BC" w:rsidRPr="00AF1CDD" w:rsidRDefault="00A834BC" w:rsidP="00A834BC">
      <w:pPr>
        <w:spacing w:line="240" w:lineRule="auto"/>
        <w:rPr>
          <w:rFonts w:cs="Arial"/>
          <w:b/>
          <w:szCs w:val="24"/>
        </w:rPr>
      </w:pPr>
      <w:r w:rsidRPr="00AF1CDD">
        <w:rPr>
          <w:rFonts w:cs="Arial"/>
          <w:b/>
          <w:szCs w:val="24"/>
        </w:rPr>
        <w:t>Za tímto účelem byla navržena zejména následující opatření:</w:t>
      </w:r>
    </w:p>
    <w:p w:rsidR="00A834BC" w:rsidRPr="00390177" w:rsidRDefault="00A834BC" w:rsidP="001F4C42">
      <w:pPr>
        <w:pStyle w:val="Odstavecseseznamem"/>
        <w:numPr>
          <w:ilvl w:val="0"/>
          <w:numId w:val="4"/>
        </w:numPr>
        <w:spacing w:before="120" w:line="240" w:lineRule="auto"/>
        <w:ind w:left="714" w:hanging="357"/>
        <w:contextualSpacing w:val="0"/>
        <w:rPr>
          <w:rFonts w:cs="Arial"/>
          <w:szCs w:val="24"/>
        </w:rPr>
      </w:pPr>
      <w:r w:rsidRPr="00390177">
        <w:rPr>
          <w:rFonts w:cs="Arial"/>
          <w:szCs w:val="24"/>
        </w:rPr>
        <w:t xml:space="preserve">ukotvení institutu </w:t>
      </w:r>
      <w:r w:rsidRPr="00AF1CDD">
        <w:rPr>
          <w:rFonts w:cs="Arial"/>
          <w:b/>
          <w:szCs w:val="24"/>
        </w:rPr>
        <w:t>kauce ve výši 500</w:t>
      </w:r>
      <w:r w:rsidR="007D2DF4">
        <w:rPr>
          <w:rFonts w:cs="Arial"/>
          <w:b/>
          <w:szCs w:val="24"/>
        </w:rPr>
        <w:t xml:space="preserve"> </w:t>
      </w:r>
      <w:r w:rsidRPr="00AF1CDD">
        <w:rPr>
          <w:rFonts w:cs="Arial"/>
          <w:b/>
          <w:szCs w:val="24"/>
        </w:rPr>
        <w:t>000 Kč</w:t>
      </w:r>
      <w:r w:rsidRPr="00390177">
        <w:rPr>
          <w:rFonts w:cs="Arial"/>
          <w:szCs w:val="24"/>
        </w:rPr>
        <w:t xml:space="preserve"> k prokázání finanční způsobilosti agentury práce;</w:t>
      </w:r>
      <w:r>
        <w:rPr>
          <w:rFonts w:cs="Arial"/>
          <w:szCs w:val="24"/>
        </w:rPr>
        <w:t xml:space="preserve"> povinná úhrada</w:t>
      </w:r>
      <w:r w:rsidRPr="00390177">
        <w:rPr>
          <w:rFonts w:cs="Arial"/>
          <w:szCs w:val="24"/>
        </w:rPr>
        <w:t xml:space="preserve"> kauce </w:t>
      </w:r>
      <w:r>
        <w:rPr>
          <w:rFonts w:cs="Arial"/>
          <w:szCs w:val="24"/>
        </w:rPr>
        <w:t>se vztahuje pouze na agentury práce s povolením ke zprostředkování zaměstnání</w:t>
      </w:r>
      <w:r w:rsidRPr="00390177">
        <w:rPr>
          <w:rFonts w:cs="Arial"/>
          <w:szCs w:val="24"/>
        </w:rPr>
        <w:t xml:space="preserve"> podle § 14 odst. 1 písm. b) zákona o zaměstnanosti</w:t>
      </w:r>
      <w:r>
        <w:rPr>
          <w:rFonts w:cs="Arial"/>
          <w:szCs w:val="24"/>
        </w:rPr>
        <w:t>.</w:t>
      </w:r>
      <w:r w:rsidRPr="00390177">
        <w:rPr>
          <w:rFonts w:cs="Arial"/>
          <w:szCs w:val="24"/>
        </w:rPr>
        <w:t xml:space="preserve"> </w:t>
      </w:r>
      <w:r>
        <w:rPr>
          <w:rFonts w:cs="Arial"/>
          <w:szCs w:val="24"/>
        </w:rPr>
        <w:t xml:space="preserve">Kauce </w:t>
      </w:r>
      <w:r w:rsidRPr="00390177">
        <w:rPr>
          <w:rFonts w:cs="Arial"/>
          <w:szCs w:val="24"/>
        </w:rPr>
        <w:t>jednak eliminuje účelové zakládání agentur práce a obcházení právních předpisů (např. odvodová povinnost vůči státu)</w:t>
      </w:r>
      <w:r>
        <w:rPr>
          <w:rFonts w:cs="Arial"/>
          <w:szCs w:val="24"/>
        </w:rPr>
        <w:t>,</w:t>
      </w:r>
      <w:r w:rsidRPr="00390177">
        <w:rPr>
          <w:rFonts w:cs="Arial"/>
          <w:szCs w:val="24"/>
        </w:rPr>
        <w:t xml:space="preserve"> a zároveň poskytne jistinu na případné neuhrazené splatné nedoplatky vytvořené vůči veřejným rozpočtům během výkonu zprostředkovatelské činnosti,</w:t>
      </w:r>
    </w:p>
    <w:p w:rsidR="00A834BC" w:rsidRPr="00390177" w:rsidRDefault="00A834BC" w:rsidP="001F4C42">
      <w:pPr>
        <w:pStyle w:val="Odstavecseseznamem"/>
        <w:numPr>
          <w:ilvl w:val="0"/>
          <w:numId w:val="4"/>
        </w:numPr>
        <w:spacing w:before="120" w:line="240" w:lineRule="auto"/>
        <w:ind w:left="714" w:hanging="357"/>
        <w:contextualSpacing w:val="0"/>
        <w:rPr>
          <w:rFonts w:cs="Arial"/>
          <w:szCs w:val="24"/>
        </w:rPr>
      </w:pPr>
      <w:r w:rsidRPr="00390177">
        <w:rPr>
          <w:rFonts w:cs="Arial"/>
          <w:szCs w:val="24"/>
        </w:rPr>
        <w:t xml:space="preserve">vložení nového § 307b do </w:t>
      </w:r>
      <w:r>
        <w:rPr>
          <w:rFonts w:cs="Arial"/>
          <w:szCs w:val="24"/>
        </w:rPr>
        <w:t>zákoníku práce</w:t>
      </w:r>
      <w:r w:rsidRPr="00390177">
        <w:rPr>
          <w:rFonts w:cs="Arial"/>
          <w:szCs w:val="24"/>
        </w:rPr>
        <w:t xml:space="preserve"> přisuzuje </w:t>
      </w:r>
      <w:r w:rsidRPr="00AF1CDD">
        <w:rPr>
          <w:rFonts w:cs="Arial"/>
          <w:b/>
          <w:szCs w:val="24"/>
        </w:rPr>
        <w:t>odpovědnost za způsob, jakým je dočasné přidělování zaměstnanců agentur práce realizováno uživateli</w:t>
      </w:r>
      <w:r>
        <w:rPr>
          <w:rFonts w:cs="Arial"/>
          <w:szCs w:val="24"/>
        </w:rPr>
        <w:t xml:space="preserve"> (</w:t>
      </w:r>
      <w:r w:rsidRPr="00390177">
        <w:rPr>
          <w:rFonts w:cs="Arial"/>
          <w:szCs w:val="24"/>
        </w:rPr>
        <w:t xml:space="preserve">poptávka ze strany uživatele často </w:t>
      </w:r>
      <w:r>
        <w:rPr>
          <w:rFonts w:cs="Arial"/>
          <w:szCs w:val="24"/>
        </w:rPr>
        <w:t xml:space="preserve">determinuje </w:t>
      </w:r>
      <w:r w:rsidRPr="00390177">
        <w:rPr>
          <w:rFonts w:cs="Arial"/>
          <w:szCs w:val="24"/>
        </w:rPr>
        <w:t>podmínky realizace agenturního zaměstnávání</w:t>
      </w:r>
      <w:r>
        <w:rPr>
          <w:rFonts w:cs="Arial"/>
          <w:szCs w:val="24"/>
        </w:rPr>
        <w:t>)</w:t>
      </w:r>
      <w:r w:rsidRPr="00390177">
        <w:rPr>
          <w:rFonts w:cs="Arial"/>
          <w:szCs w:val="24"/>
        </w:rPr>
        <w:t xml:space="preserve">; </w:t>
      </w:r>
      <w:r w:rsidRPr="00AF1CDD">
        <w:rPr>
          <w:rFonts w:cs="Arial"/>
          <w:b/>
          <w:szCs w:val="24"/>
        </w:rPr>
        <w:t xml:space="preserve">uživatel bude nově povinen společně s agenturou práce zajistit, aby zaměstnanec </w:t>
      </w:r>
      <w:r w:rsidRPr="00AF1CDD">
        <w:rPr>
          <w:rFonts w:eastAsia="Times New Roman" w:cs="Arial"/>
          <w:b/>
          <w:szCs w:val="24"/>
          <w:lang w:eastAsia="cs-CZ"/>
        </w:rPr>
        <w:t>nebyl dočasně přidělen k výkonu práce u toho uživatele, u něhož je současně zaměstnán v základním pracovněprávním vztahu anebo konal nebo koná v témže kalendářním měsíci práci na základě dočasného přidělení jinou agenturou práce,</w:t>
      </w:r>
      <w:r>
        <w:rPr>
          <w:rFonts w:eastAsia="Times New Roman" w:cs="Arial"/>
          <w:b/>
          <w:szCs w:val="24"/>
          <w:lang w:eastAsia="cs-CZ"/>
        </w:rPr>
        <w:t xml:space="preserve"> - tzn. omezení řetězení nebo nadužívání agenturního zaměstnávání,</w:t>
      </w:r>
    </w:p>
    <w:p w:rsidR="00A834BC" w:rsidRPr="008C34AF" w:rsidRDefault="00A834BC" w:rsidP="001F4C42">
      <w:pPr>
        <w:pStyle w:val="Odstavecseseznamem"/>
        <w:numPr>
          <w:ilvl w:val="0"/>
          <w:numId w:val="4"/>
        </w:numPr>
        <w:spacing w:before="120" w:line="240" w:lineRule="auto"/>
        <w:ind w:left="714" w:hanging="357"/>
        <w:contextualSpacing w:val="0"/>
        <w:rPr>
          <w:rFonts w:cs="Arial"/>
          <w:szCs w:val="24"/>
        </w:rPr>
      </w:pPr>
      <w:r w:rsidRPr="00390177">
        <w:rPr>
          <w:rFonts w:cs="Arial"/>
          <w:szCs w:val="24"/>
        </w:rPr>
        <w:t xml:space="preserve">změna </w:t>
      </w:r>
      <w:r w:rsidRPr="00390177">
        <w:rPr>
          <w:rFonts w:eastAsia="Times New Roman" w:cs="Arial"/>
          <w:szCs w:val="24"/>
          <w:lang w:eastAsia="cs-CZ"/>
        </w:rPr>
        <w:t>§ 20a a §33a zákona č. 251/2005 Sb., o inspekci práce, ve znění pozdějších předpisů</w:t>
      </w:r>
      <w:r w:rsidR="00467615">
        <w:rPr>
          <w:rFonts w:eastAsia="Times New Roman" w:cs="Arial"/>
          <w:szCs w:val="24"/>
          <w:lang w:eastAsia="cs-CZ"/>
        </w:rPr>
        <w:t>,</w:t>
      </w:r>
      <w:r w:rsidRPr="00390177">
        <w:rPr>
          <w:rFonts w:eastAsia="Times New Roman" w:cs="Arial"/>
          <w:szCs w:val="24"/>
          <w:lang w:eastAsia="cs-CZ"/>
        </w:rPr>
        <w:t xml:space="preserve"> tak, že se deliktního jednání dopustí takový uživatelský subjekt, který nezajistí</w:t>
      </w:r>
      <w:r w:rsidRPr="00390177">
        <w:rPr>
          <w:rFonts w:eastAsia="Times New Roman" w:cs="Arial"/>
          <w:szCs w:val="24"/>
        </w:rPr>
        <w:t xml:space="preserve">, aby dohoda o dočasném přidělení zaměstnance agentury práce obsahovala </w:t>
      </w:r>
      <w:r w:rsidRPr="00390177">
        <w:rPr>
          <w:rFonts w:eastAsia="Times New Roman" w:cs="Arial"/>
          <w:szCs w:val="24"/>
          <w:lang w:eastAsia="cs-CZ"/>
        </w:rPr>
        <w:t xml:space="preserve">informace o pracovních a mzdových nebo platových podmínkách zaměstnance uživatele, který vykonává nebo by vykonával stejnou práci jako dočasně přidělený zaměstnanec, s přihlédnutím ke kvalifikaci a délce odborné praxe, </w:t>
      </w:r>
      <w:r w:rsidRPr="00390177">
        <w:rPr>
          <w:rFonts w:eastAsia="Times New Roman" w:cs="Arial"/>
          <w:szCs w:val="24"/>
        </w:rPr>
        <w:t>nebo tyto údaje uvede nepravdivě.</w:t>
      </w:r>
    </w:p>
    <w:p w:rsidR="00A834BC" w:rsidRPr="008C34AF" w:rsidRDefault="00A834BC" w:rsidP="00A834BC">
      <w:pPr>
        <w:spacing w:line="240" w:lineRule="auto"/>
        <w:rPr>
          <w:rFonts w:cs="Arial"/>
          <w:szCs w:val="24"/>
        </w:rPr>
      </w:pPr>
    </w:p>
    <w:p w:rsidR="00A834BC" w:rsidRPr="005D3192" w:rsidRDefault="00A834BC" w:rsidP="001F4C42">
      <w:pPr>
        <w:pStyle w:val="Nadpis2"/>
        <w:numPr>
          <w:ilvl w:val="1"/>
          <w:numId w:val="6"/>
        </w:numPr>
      </w:pPr>
      <w:bookmarkStart w:id="49" w:name="_Toc465674786"/>
      <w:r w:rsidRPr="005D3192">
        <w:t>Kontrolní činnost na úseku agenturního zaměstnávání</w:t>
      </w:r>
      <w:bookmarkEnd w:id="49"/>
    </w:p>
    <w:p w:rsidR="00A834BC" w:rsidRPr="00E6252E" w:rsidRDefault="00A834BC" w:rsidP="00A834BC">
      <w:pPr>
        <w:spacing w:line="240" w:lineRule="auto"/>
        <w:rPr>
          <w:rFonts w:cs="Arial"/>
          <w:b/>
          <w:szCs w:val="24"/>
          <w:u w:val="single"/>
        </w:rPr>
      </w:pPr>
    </w:p>
    <w:p w:rsidR="00A834BC" w:rsidRDefault="00A834BC" w:rsidP="00A834BC">
      <w:pPr>
        <w:spacing w:line="240" w:lineRule="auto"/>
      </w:pPr>
      <w:r>
        <w:t xml:space="preserve">Jedním z nejzávažnějších porušení na úseku agenturního zaměstnávání je </w:t>
      </w:r>
      <w:r w:rsidRPr="00AF1CDD">
        <w:rPr>
          <w:b/>
        </w:rPr>
        <w:t>nezajištění srovnatelných pracovních a mzdových podmínek agenturních zaměstnanců s pracovními a mzdovými podmínka kmenových zaměstnanců uživatele</w:t>
      </w:r>
      <w:r>
        <w:t xml:space="preserve"> (§ 309 odst. 5 zákoníku práce). Mezi nejčastější porušení pracovněprávních předpisů patří nevyplacení nejnižší úrovně zaručené mzdy, nevyplacení příplatků ke mzdě za práci přesčas, v noci, sobotu a neděli. Dále je to neinformování o celém obsahu pracovního poměru, nevydání nebo opožděné vydání potvrzení o zaměstnání při skončení pracovního poměru, nevedení odpracované pracovní doby s vyznačením začátku a konce pracovní doby, nevedení práce přesčas a noční práce.</w:t>
      </w:r>
    </w:p>
    <w:p w:rsidR="00A834BC" w:rsidRDefault="00A834BC" w:rsidP="00A834BC">
      <w:pPr>
        <w:spacing w:line="240" w:lineRule="auto"/>
      </w:pPr>
    </w:p>
    <w:p w:rsidR="0077732E" w:rsidRDefault="00A834BC" w:rsidP="00A834BC">
      <w:pPr>
        <w:spacing w:line="240" w:lineRule="auto"/>
      </w:pPr>
      <w:r>
        <w:t xml:space="preserve">V posledních letech se inspekce práce zaměřila na potírání skrytého neboli zastřeného agenturního zaměstnávání. Dohoda mezi agenturou práce a uživatelem podle zákoníku práce je v tomto případě nahrazena obchodní smlouvou podle </w:t>
      </w:r>
      <w:r w:rsidR="00467615">
        <w:t xml:space="preserve">zákona č. 89/2012 Sb., </w:t>
      </w:r>
      <w:r>
        <w:t>občansk</w:t>
      </w:r>
      <w:r w:rsidR="00467615">
        <w:t>ý</w:t>
      </w:r>
      <w:r>
        <w:t xml:space="preserve"> zákoník. Tzv. </w:t>
      </w:r>
      <w:proofErr w:type="spellStart"/>
      <w:r>
        <w:t>pseudoagentury</w:t>
      </w:r>
      <w:proofErr w:type="spellEnd"/>
      <w:r>
        <w:t xml:space="preserve"> pr</w:t>
      </w:r>
      <w:r w:rsidR="00586FAC">
        <w:t>áce přidělují své zaměstnance k </w:t>
      </w:r>
      <w:r>
        <w:t xml:space="preserve">výkonu práce u uživatele bez povolení (nebo i s takovým povolením) s tím, že se jedná o zhotovení díla či provedení určité zakázky. </w:t>
      </w:r>
    </w:p>
    <w:p w:rsidR="0077732E" w:rsidRDefault="0077732E" w:rsidP="00A834BC">
      <w:pPr>
        <w:spacing w:line="240" w:lineRule="auto"/>
      </w:pPr>
    </w:p>
    <w:p w:rsidR="00A834BC" w:rsidRDefault="00A834BC" w:rsidP="00A834BC">
      <w:pPr>
        <w:spacing w:line="240" w:lineRule="auto"/>
      </w:pPr>
      <w:r>
        <w:t>Od konce roku 2015 zaznamenaly orgány inspekce práce také větší počet případů vysílání zaměstnanců polských společností, zejména ukrajinských státních příslušníků s polským pracovním vízem, k výkonu práce do ČR k českému zaměstnavateli, kteří jsou na úřadech práce nahlaš</w:t>
      </w:r>
      <w:r w:rsidR="00586FAC">
        <w:t>ováni jako vyslaní pracovníci k </w:t>
      </w:r>
      <w:r>
        <w:t>poskyt</w:t>
      </w:r>
      <w:r w:rsidR="0077732E">
        <w:t>ování služeb. V </w:t>
      </w:r>
      <w:r>
        <w:t>podobných případech vzniká podezření na zamě</w:t>
      </w:r>
      <w:r w:rsidR="0077732E">
        <w:t>stnávání cizinců bez povolení k </w:t>
      </w:r>
      <w:r>
        <w:t>zaměstnání nebo skryté agenturní zaměstnávání, případně nelegální zaměstnávání.</w:t>
      </w: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77732E" w:rsidRDefault="0077732E" w:rsidP="00A834BC">
      <w:pPr>
        <w:spacing w:line="240" w:lineRule="auto"/>
      </w:pPr>
    </w:p>
    <w:p w:rsidR="00F838CD" w:rsidRDefault="0077732E" w:rsidP="0077732E">
      <w:pPr>
        <w:spacing w:line="240" w:lineRule="auto"/>
        <w:rPr>
          <w:rFonts w:cs="Arial"/>
        </w:rPr>
        <w:sectPr w:rsidR="00F838CD" w:rsidSect="0077732E">
          <w:headerReference w:type="default" r:id="rId36"/>
          <w:footerReference w:type="default" r:id="rId37"/>
          <w:headerReference w:type="first" r:id="rId38"/>
          <w:pgSz w:w="11906" w:h="16838"/>
          <w:pgMar w:top="1417" w:right="1417" w:bottom="1417" w:left="1417" w:header="708" w:footer="708" w:gutter="0"/>
          <w:pgNumType w:start="0"/>
          <w:cols w:space="708"/>
          <w:titlePg/>
          <w:docGrid w:linePitch="360"/>
        </w:sectPr>
      </w:pPr>
      <w:r>
        <w:rPr>
          <w:noProof/>
          <w:lang w:eastAsia="cs-CZ"/>
        </w:rPr>
        <mc:AlternateContent>
          <mc:Choice Requires="wps">
            <w:drawing>
              <wp:anchor distT="0" distB="0" distL="114300" distR="114300" simplePos="0" relativeHeight="251679744" behindDoc="0" locked="0" layoutInCell="1" allowOverlap="1" wp14:anchorId="19C903B4" wp14:editId="4F9FD879">
                <wp:simplePos x="0" y="0"/>
                <wp:positionH relativeFrom="column">
                  <wp:posOffset>-27940</wp:posOffset>
                </wp:positionH>
                <wp:positionV relativeFrom="paragraph">
                  <wp:posOffset>243205</wp:posOffset>
                </wp:positionV>
                <wp:extent cx="5826125" cy="339725"/>
                <wp:effectExtent l="0" t="0" r="3175" b="3175"/>
                <wp:wrapSquare wrapText="bothSides"/>
                <wp:docPr id="28" name="Textové pole 28"/>
                <wp:cNvGraphicFramePr/>
                <a:graphic xmlns:a="http://schemas.openxmlformats.org/drawingml/2006/main">
                  <a:graphicData uri="http://schemas.microsoft.com/office/word/2010/wordprocessingShape">
                    <wps:wsp>
                      <wps:cNvSpPr txBox="1"/>
                      <wps:spPr>
                        <a:xfrm>
                          <a:off x="0" y="0"/>
                          <a:ext cx="5826125" cy="339725"/>
                        </a:xfrm>
                        <a:prstGeom prst="rect">
                          <a:avLst/>
                        </a:prstGeom>
                        <a:solidFill>
                          <a:prstClr val="white"/>
                        </a:solidFill>
                        <a:ln>
                          <a:noFill/>
                        </a:ln>
                        <a:effectLst/>
                      </wps:spPr>
                      <wps:txbx>
                        <w:txbxContent>
                          <w:p w:rsidR="006C5B50" w:rsidRPr="004C51FD" w:rsidRDefault="006C5B50" w:rsidP="00E861DE">
                            <w:pPr>
                              <w:pStyle w:val="Titulek"/>
                              <w:spacing w:before="120" w:after="120"/>
                              <w:rPr>
                                <w:rFonts w:cs="Arial"/>
                                <w:noProof/>
                                <w:sz w:val="24"/>
                              </w:rPr>
                            </w:pPr>
                            <w:bookmarkStart w:id="50" w:name="_Toc465675937"/>
                            <w:r>
                              <w:t xml:space="preserve">Graf </w:t>
                            </w:r>
                            <w:fldSimple w:instr=" SEQ Graf_č.: \* ARABIC ">
                              <w:r w:rsidR="005B254A">
                                <w:rPr>
                                  <w:noProof/>
                                </w:rPr>
                                <w:t>18</w:t>
                              </w:r>
                            </w:fldSimple>
                            <w:r>
                              <w:t xml:space="preserve"> - Realizované kontroly agenturního zaměstnávání v období 2009 - 1. pol. 2016</w:t>
                            </w:r>
                            <w:bookmarkEnd w:id="5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28" o:spid="_x0000_s1030" type="#_x0000_t202" style="position:absolute;left:0;text-align:left;margin-left:-2.2pt;margin-top:19.15pt;width:458.75pt;height:26.7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" stroked="f">
                <v:textbox inset="0,0,0,0">
                  <w:txbxContent>
                    <w:p w:rsidR="006C5B50" w:rsidRPr="004C51FD" w:rsidRDefault="006C5B50" w:rsidP="00E861DE">
                      <w:pPr>
                        <w:pStyle w:val="Titulek"/>
                        <w:spacing w:before="120" w:after="120"/>
                        <w:rPr>
                          <w:rFonts w:cs="Arial"/>
                          <w:noProof/>
                          <w:sz w:val="24"/>
                        </w:rPr>
                      </w:pPr>
                      <w:bookmarkStart w:id="51" w:name="_Toc465675937"/>
                      <w:r>
                        <w:t xml:space="preserve">Graf </w:t>
                      </w:r>
                      <w:fldSimple w:instr=" SEQ Graf_č.: \* ARABIC ">
                        <w:r w:rsidR="005B254A">
                          <w:rPr>
                            <w:noProof/>
                          </w:rPr>
                          <w:t>18</w:t>
                        </w:r>
                      </w:fldSimple>
                      <w:r>
                        <w:t xml:space="preserve"> - Realizované kontroly agenturního zaměstnávání v období 2009 - 1. pol. 2016</w:t>
                      </w:r>
                      <w:bookmarkEnd w:id="51"/>
                    </w:p>
                  </w:txbxContent>
                </v:textbox>
                <w10:wrap type="square"/>
              </v:shape>
            </w:pict>
          </mc:Fallback>
        </mc:AlternateContent>
      </w:r>
      <w:r w:rsidRPr="00390177">
        <w:rPr>
          <w:rFonts w:cs="Arial"/>
          <w:noProof/>
          <w:lang w:eastAsia="cs-CZ"/>
        </w:rPr>
        <w:drawing>
          <wp:anchor distT="0" distB="0" distL="114300" distR="114300" simplePos="0" relativeHeight="251665408" behindDoc="0" locked="0" layoutInCell="1" allowOverlap="1" wp14:anchorId="424069C1" wp14:editId="3C25FC1D">
            <wp:simplePos x="0" y="0"/>
            <wp:positionH relativeFrom="column">
              <wp:posOffset>-28575</wp:posOffset>
            </wp:positionH>
            <wp:positionV relativeFrom="paragraph">
              <wp:posOffset>587375</wp:posOffset>
            </wp:positionV>
            <wp:extent cx="5826125" cy="2445385"/>
            <wp:effectExtent l="0" t="0" r="22225" b="12065"/>
            <wp:wrapSquare wrapText="bothSides"/>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rsidR="003F77D9" w:rsidRDefault="00F838CD" w:rsidP="001F4C42">
      <w:pPr>
        <w:pStyle w:val="Nadpis1"/>
        <w:numPr>
          <w:ilvl w:val="0"/>
          <w:numId w:val="6"/>
        </w:numPr>
        <w:spacing w:before="120"/>
        <w:ind w:left="357" w:hanging="357"/>
      </w:pPr>
      <w:bookmarkStart w:id="52" w:name="_Toc465674367"/>
      <w:bookmarkStart w:id="53" w:name="_Toc465674787"/>
      <w:r>
        <w:t>Seznam o</w:t>
      </w:r>
      <w:r w:rsidR="003F77D9">
        <w:t>patření</w:t>
      </w:r>
      <w:bookmarkEnd w:id="52"/>
      <w:bookmarkEnd w:id="53"/>
      <w:r w:rsidR="003F77D9">
        <w:t xml:space="preserve"> </w:t>
      </w:r>
    </w:p>
    <w:p w:rsidR="00F838CD" w:rsidRPr="00F838CD" w:rsidRDefault="00F838CD" w:rsidP="00F838CD"/>
    <w:tbl>
      <w:tblPr>
        <w:tblStyle w:val="Mkatabulky"/>
        <w:tblW w:w="0" w:type="auto"/>
        <w:tblLayout w:type="fixed"/>
        <w:tblLook w:val="04A0" w:firstRow="1" w:lastRow="0" w:firstColumn="1" w:lastColumn="0" w:noHBand="0" w:noVBand="1"/>
      </w:tblPr>
      <w:tblGrid>
        <w:gridCol w:w="710"/>
        <w:gridCol w:w="2659"/>
        <w:gridCol w:w="7371"/>
        <w:gridCol w:w="954"/>
        <w:gridCol w:w="747"/>
        <w:gridCol w:w="1559"/>
      </w:tblGrid>
      <w:tr w:rsidR="00F838CD" w:rsidRPr="00C605D8" w:rsidTr="00F838CD">
        <w:tc>
          <w:tcPr>
            <w:tcW w:w="14000" w:type="dxa"/>
            <w:gridSpan w:val="6"/>
          </w:tcPr>
          <w:p w:rsidR="00F838CD" w:rsidRPr="00C605D8" w:rsidRDefault="00F838CD" w:rsidP="00C26633">
            <w:pPr>
              <w:spacing w:after="200"/>
              <w:jc w:val="left"/>
              <w:rPr>
                <w:rFonts w:cs="Arial"/>
                <w:b/>
                <w:szCs w:val="24"/>
              </w:rPr>
            </w:pPr>
            <w:r w:rsidRPr="00C605D8">
              <w:rPr>
                <w:rFonts w:cs="Arial"/>
                <w:b/>
                <w:szCs w:val="24"/>
              </w:rPr>
              <w:t>Skupina 1: Zvýšení motivace pracovní síly akceptovat zaměstnání</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číslo</w:t>
            </w:r>
          </w:p>
        </w:tc>
        <w:tc>
          <w:tcPr>
            <w:tcW w:w="2659" w:type="dxa"/>
          </w:tcPr>
          <w:p w:rsidR="00F838CD" w:rsidRPr="00C605D8" w:rsidRDefault="00F838CD" w:rsidP="00C26633">
            <w:pPr>
              <w:spacing w:after="200"/>
              <w:jc w:val="left"/>
              <w:rPr>
                <w:rFonts w:cs="Arial"/>
                <w:szCs w:val="24"/>
              </w:rPr>
            </w:pPr>
            <w:r w:rsidRPr="00C605D8">
              <w:rPr>
                <w:rFonts w:cs="Arial"/>
                <w:szCs w:val="24"/>
              </w:rPr>
              <w:t>opatření</w:t>
            </w:r>
          </w:p>
        </w:tc>
        <w:tc>
          <w:tcPr>
            <w:tcW w:w="7371" w:type="dxa"/>
          </w:tcPr>
          <w:p w:rsidR="00F838CD" w:rsidRPr="00C605D8" w:rsidRDefault="00F838CD" w:rsidP="00C26633">
            <w:pPr>
              <w:spacing w:after="200"/>
              <w:jc w:val="left"/>
              <w:rPr>
                <w:rFonts w:cs="Arial"/>
                <w:szCs w:val="24"/>
              </w:rPr>
            </w:pPr>
            <w:r w:rsidRPr="00C605D8">
              <w:rPr>
                <w:rFonts w:cs="Arial"/>
                <w:szCs w:val="24"/>
              </w:rPr>
              <w:t>popis</w:t>
            </w:r>
          </w:p>
        </w:tc>
        <w:tc>
          <w:tcPr>
            <w:tcW w:w="954" w:type="dxa"/>
          </w:tcPr>
          <w:p w:rsidR="00F838CD" w:rsidRPr="00C605D8" w:rsidRDefault="00F838CD" w:rsidP="00C26633">
            <w:pPr>
              <w:spacing w:after="200"/>
              <w:jc w:val="left"/>
              <w:rPr>
                <w:rFonts w:cs="Arial"/>
                <w:szCs w:val="24"/>
              </w:rPr>
            </w:pPr>
            <w:r w:rsidRPr="00C605D8">
              <w:rPr>
                <w:rFonts w:cs="Arial"/>
                <w:szCs w:val="24"/>
              </w:rPr>
              <w:t>gestor</w:t>
            </w:r>
          </w:p>
        </w:tc>
        <w:tc>
          <w:tcPr>
            <w:tcW w:w="747" w:type="dxa"/>
          </w:tcPr>
          <w:p w:rsidR="00F838CD" w:rsidRPr="00C605D8" w:rsidRDefault="00F838CD" w:rsidP="00C26633">
            <w:pPr>
              <w:spacing w:after="200"/>
              <w:jc w:val="left"/>
              <w:rPr>
                <w:rFonts w:cs="Arial"/>
                <w:szCs w:val="24"/>
              </w:rPr>
            </w:pPr>
            <w:r w:rsidRPr="00C605D8">
              <w:rPr>
                <w:rFonts w:cs="Arial"/>
                <w:szCs w:val="24"/>
              </w:rPr>
              <w:t xml:space="preserve">Povaha </w:t>
            </w:r>
          </w:p>
        </w:tc>
        <w:tc>
          <w:tcPr>
            <w:tcW w:w="1559" w:type="dxa"/>
          </w:tcPr>
          <w:p w:rsidR="00F838CD" w:rsidRPr="00C605D8" w:rsidRDefault="00F838CD" w:rsidP="00C26633">
            <w:pPr>
              <w:spacing w:after="200"/>
              <w:jc w:val="left"/>
              <w:rPr>
                <w:rFonts w:cs="Arial"/>
                <w:szCs w:val="24"/>
              </w:rPr>
            </w:pPr>
            <w:r w:rsidRPr="00C605D8">
              <w:rPr>
                <w:rFonts w:cs="Arial"/>
                <w:szCs w:val="24"/>
              </w:rPr>
              <w:t>termín</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1.1</w:t>
            </w:r>
          </w:p>
        </w:tc>
        <w:tc>
          <w:tcPr>
            <w:tcW w:w="2659" w:type="dxa"/>
          </w:tcPr>
          <w:p w:rsidR="00F838CD" w:rsidRPr="00C605D8" w:rsidRDefault="00F838CD" w:rsidP="00C26633">
            <w:pPr>
              <w:spacing w:after="200"/>
              <w:jc w:val="left"/>
              <w:rPr>
                <w:rFonts w:cs="Arial"/>
                <w:szCs w:val="24"/>
              </w:rPr>
            </w:pPr>
            <w:r w:rsidRPr="00C605D8">
              <w:rPr>
                <w:rFonts w:cs="Arial"/>
                <w:szCs w:val="24"/>
              </w:rPr>
              <w:t>Veřejná služba</w:t>
            </w:r>
          </w:p>
        </w:tc>
        <w:tc>
          <w:tcPr>
            <w:tcW w:w="7371" w:type="dxa"/>
          </w:tcPr>
          <w:p w:rsidR="00F838CD" w:rsidRPr="00C605D8" w:rsidRDefault="00F838CD" w:rsidP="00C26633">
            <w:pPr>
              <w:spacing w:after="200"/>
              <w:rPr>
                <w:rFonts w:cs="Arial"/>
                <w:szCs w:val="24"/>
              </w:rPr>
            </w:pPr>
            <w:r w:rsidRPr="00C605D8">
              <w:rPr>
                <w:rFonts w:cs="Arial"/>
                <w:szCs w:val="24"/>
              </w:rPr>
              <w:t>Opětovné zavedení bonifikace výkonu veřejné služby s cílem aktivizovat osoby dlouhodobě nezaměstnané, resp. osoby nacházející se v hmotné nouzi s cílem podpořit uchování, resp. znovuzískání nezbytných pracovních návyků</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L</w:t>
            </w:r>
          </w:p>
        </w:tc>
        <w:tc>
          <w:tcPr>
            <w:tcW w:w="1559" w:type="dxa"/>
          </w:tcPr>
          <w:p w:rsidR="00F838CD" w:rsidRPr="00C605D8" w:rsidRDefault="00F838CD" w:rsidP="00C26633">
            <w:pPr>
              <w:spacing w:after="200"/>
              <w:jc w:val="left"/>
              <w:rPr>
                <w:rFonts w:cs="Arial"/>
                <w:szCs w:val="24"/>
              </w:rPr>
            </w:pPr>
            <w:r w:rsidRPr="00C605D8">
              <w:rPr>
                <w:rFonts w:cs="Arial"/>
                <w:szCs w:val="24"/>
              </w:rPr>
              <w:t>2016</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1.2</w:t>
            </w:r>
          </w:p>
        </w:tc>
        <w:tc>
          <w:tcPr>
            <w:tcW w:w="2659" w:type="dxa"/>
          </w:tcPr>
          <w:p w:rsidR="00F838CD" w:rsidRPr="00C605D8" w:rsidRDefault="00F838CD" w:rsidP="00C26633">
            <w:pPr>
              <w:spacing w:after="200"/>
              <w:jc w:val="left"/>
              <w:rPr>
                <w:rFonts w:cs="Arial"/>
                <w:szCs w:val="24"/>
              </w:rPr>
            </w:pPr>
            <w:r w:rsidRPr="00C605D8">
              <w:rPr>
                <w:rFonts w:cs="Arial"/>
                <w:szCs w:val="24"/>
              </w:rPr>
              <w:t>Revize nekolidujícího zaměstnání</w:t>
            </w:r>
          </w:p>
        </w:tc>
        <w:tc>
          <w:tcPr>
            <w:tcW w:w="7371" w:type="dxa"/>
          </w:tcPr>
          <w:p w:rsidR="00F838CD" w:rsidRPr="00C605D8" w:rsidRDefault="00F838CD" w:rsidP="00C26633">
            <w:pPr>
              <w:spacing w:after="200"/>
              <w:rPr>
                <w:rFonts w:cs="Arial"/>
                <w:szCs w:val="24"/>
              </w:rPr>
            </w:pPr>
            <w:r w:rsidRPr="00C605D8">
              <w:rPr>
                <w:rFonts w:cs="Arial"/>
                <w:szCs w:val="24"/>
              </w:rPr>
              <w:t>Částečné zaměstnávání v souběhu s vedením v evidenci uchazečů o zaměstnání je umožněn</w:t>
            </w:r>
            <w:r w:rsidR="00586FAC">
              <w:rPr>
                <w:rFonts w:cs="Arial"/>
                <w:szCs w:val="24"/>
              </w:rPr>
              <w:t>o od počátku účinnosti zákona o </w:t>
            </w:r>
            <w:r w:rsidRPr="00C605D8">
              <w:rPr>
                <w:rFonts w:cs="Arial"/>
                <w:szCs w:val="24"/>
              </w:rPr>
              <w:t xml:space="preserve">zaměstnanosti, tj. ode dne 1. 10. 2004. Cílem této právní úpravy bylo umožnit zachování pracovních návyků uchazeče </w:t>
            </w:r>
            <w:r w:rsidRPr="00C605D8">
              <w:rPr>
                <w:rFonts w:cs="Arial"/>
                <w:szCs w:val="24"/>
              </w:rPr>
              <w:br/>
              <w:t>o zaměstnání, případně jeji</w:t>
            </w:r>
            <w:r w:rsidR="00586FAC">
              <w:rPr>
                <w:rFonts w:cs="Arial"/>
                <w:szCs w:val="24"/>
              </w:rPr>
              <w:t>ch získání, a podpoření snahy o </w:t>
            </w:r>
            <w:r w:rsidRPr="00C605D8">
              <w:rPr>
                <w:rFonts w:cs="Arial"/>
                <w:szCs w:val="24"/>
              </w:rPr>
              <w:t xml:space="preserve">zvýšení příjmu vlastní prací. Z aktuálních dat vyplývá, že počet vykonávaných nekolidujících zaměstnání se zvyšuje, při tom jsou vykonávány uchazeči o zaměstnání, kteří neztratili pracovní návyky. </w:t>
            </w:r>
          </w:p>
          <w:p w:rsidR="00F838CD" w:rsidRPr="00C605D8" w:rsidRDefault="00F838CD" w:rsidP="00C26633">
            <w:pPr>
              <w:spacing w:after="200"/>
              <w:rPr>
                <w:rFonts w:cs="Arial"/>
                <w:szCs w:val="24"/>
              </w:rPr>
            </w:pPr>
            <w:r w:rsidRPr="00C605D8">
              <w:rPr>
                <w:rFonts w:cs="Arial"/>
                <w:szCs w:val="24"/>
              </w:rPr>
              <w:t>MPSV připraví variantní řešení regulace nekolidujícího zaměstnání tak, aby byla zachována jeho funkčnost, ale zároveň došlo k eliminaci jeho negativních dopadů na zprostředkování zaměstnání. Variabilita možného řešení se pohybuje od úplného zrušení nekolidujícího zaměstnání (nepravděpodobné) po jeho regulaci v oblasti maximální možné odměny, rozsahu či formy využívaného pracovně-právního vztahu.</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L</w:t>
            </w:r>
          </w:p>
        </w:tc>
        <w:tc>
          <w:tcPr>
            <w:tcW w:w="1559" w:type="dxa"/>
          </w:tcPr>
          <w:p w:rsidR="00F838CD" w:rsidRPr="00C605D8" w:rsidRDefault="00F838CD" w:rsidP="00C26633">
            <w:pPr>
              <w:spacing w:after="200"/>
              <w:jc w:val="left"/>
              <w:rPr>
                <w:rFonts w:cs="Arial"/>
                <w:szCs w:val="24"/>
              </w:rPr>
            </w:pPr>
            <w:r w:rsidRPr="00C605D8">
              <w:rPr>
                <w:rFonts w:cs="Arial"/>
                <w:szCs w:val="24"/>
              </w:rPr>
              <w:t>2016</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 xml:space="preserve">1.3a </w:t>
            </w:r>
          </w:p>
        </w:tc>
        <w:tc>
          <w:tcPr>
            <w:tcW w:w="2659" w:type="dxa"/>
          </w:tcPr>
          <w:p w:rsidR="00F838CD" w:rsidRPr="00C605D8" w:rsidRDefault="00F838CD" w:rsidP="00C26633">
            <w:pPr>
              <w:spacing w:after="200"/>
              <w:jc w:val="left"/>
              <w:rPr>
                <w:rFonts w:cs="Arial"/>
                <w:szCs w:val="24"/>
              </w:rPr>
            </w:pPr>
            <w:r w:rsidRPr="00C605D8">
              <w:rPr>
                <w:rFonts w:cs="Arial"/>
                <w:szCs w:val="24"/>
              </w:rPr>
              <w:t>Zvýšení minimální mzdy</w:t>
            </w:r>
          </w:p>
        </w:tc>
        <w:tc>
          <w:tcPr>
            <w:tcW w:w="7371" w:type="dxa"/>
          </w:tcPr>
          <w:p w:rsidR="00F838CD" w:rsidRPr="00C605D8" w:rsidRDefault="00F838CD" w:rsidP="00C26633">
            <w:pPr>
              <w:spacing w:after="200"/>
              <w:rPr>
                <w:rFonts w:cs="Arial"/>
                <w:szCs w:val="24"/>
              </w:rPr>
            </w:pPr>
            <w:r w:rsidRPr="00C605D8">
              <w:rPr>
                <w:rFonts w:cs="Arial"/>
                <w:szCs w:val="24"/>
              </w:rPr>
              <w:t xml:space="preserve">Odměna za vykonanou práci je primárním zdrojem motivace k akceptaci zaměstnání. V souladu s programovým prohlášením vlády proto po </w:t>
            </w:r>
            <w:r>
              <w:rPr>
                <w:rFonts w:cs="Arial"/>
                <w:szCs w:val="24"/>
              </w:rPr>
              <w:t>projednání</w:t>
            </w:r>
            <w:r w:rsidRPr="00C605D8">
              <w:rPr>
                <w:rFonts w:cs="Arial"/>
                <w:szCs w:val="24"/>
              </w:rPr>
              <w:t xml:space="preserve"> se sociálními partnery bude vláda pokračovat v přibližování úrovně minimální mzdy vytčené hranici 40 % průměrné mzdy. Zvyšování minimální mzdy bude prováděno v závislosti na udržení konkurenceschopnosti českého hospodářství. Opatření je úzce provázáno s opatřením 1.3b</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L</w:t>
            </w:r>
          </w:p>
        </w:tc>
        <w:tc>
          <w:tcPr>
            <w:tcW w:w="1559" w:type="dxa"/>
          </w:tcPr>
          <w:p w:rsidR="00F838CD" w:rsidRPr="00C605D8" w:rsidRDefault="00F838CD" w:rsidP="00C26633">
            <w:pPr>
              <w:spacing w:after="200"/>
              <w:jc w:val="left"/>
              <w:rPr>
                <w:rFonts w:cs="Arial"/>
                <w:szCs w:val="24"/>
              </w:rPr>
            </w:pPr>
            <w:r w:rsidRPr="00C605D8">
              <w:rPr>
                <w:rFonts w:cs="Arial"/>
                <w:szCs w:val="24"/>
              </w:rPr>
              <w:t>průběžně</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1.3b</w:t>
            </w:r>
          </w:p>
        </w:tc>
        <w:tc>
          <w:tcPr>
            <w:tcW w:w="2659" w:type="dxa"/>
          </w:tcPr>
          <w:p w:rsidR="00F838CD" w:rsidRPr="00C605D8" w:rsidRDefault="00F838CD" w:rsidP="00C26633">
            <w:pPr>
              <w:spacing w:after="200"/>
              <w:jc w:val="left"/>
              <w:rPr>
                <w:rFonts w:cs="Arial"/>
                <w:szCs w:val="24"/>
              </w:rPr>
            </w:pPr>
            <w:r w:rsidRPr="00C605D8">
              <w:rPr>
                <w:rFonts w:cs="Arial"/>
                <w:szCs w:val="24"/>
              </w:rPr>
              <w:t>Revize dávkového systému</w:t>
            </w:r>
          </w:p>
        </w:tc>
        <w:tc>
          <w:tcPr>
            <w:tcW w:w="7371" w:type="dxa"/>
          </w:tcPr>
          <w:p w:rsidR="00F838CD" w:rsidRPr="00C605D8" w:rsidRDefault="00F838CD" w:rsidP="0049008F">
            <w:pPr>
              <w:spacing w:after="200"/>
              <w:rPr>
                <w:rFonts w:cs="Arial"/>
                <w:szCs w:val="24"/>
              </w:rPr>
            </w:pPr>
            <w:r w:rsidRPr="00C605D8">
              <w:rPr>
                <w:rFonts w:cs="Arial"/>
                <w:szCs w:val="24"/>
              </w:rPr>
              <w:t xml:space="preserve">MPSV provede revizi </w:t>
            </w:r>
            <w:r>
              <w:rPr>
                <w:rFonts w:cs="Arial"/>
                <w:szCs w:val="24"/>
              </w:rPr>
              <w:t>právní úpravy</w:t>
            </w:r>
            <w:r w:rsidRPr="00C605D8">
              <w:rPr>
                <w:rFonts w:cs="Arial"/>
                <w:szCs w:val="24"/>
              </w:rPr>
              <w:t xml:space="preserve"> dávek s ohledem na jejich možné dopady na motivaci pracovní síly akceptovat zaměstnání jako základní zdroj příjmu namísto závislosti na příjmu sociálním</w:t>
            </w:r>
            <w:r w:rsidR="00586FAC">
              <w:rPr>
                <w:rFonts w:cs="Arial"/>
                <w:szCs w:val="24"/>
              </w:rPr>
              <w:t xml:space="preserve"> a </w:t>
            </w:r>
            <w:r w:rsidR="0049008F">
              <w:rPr>
                <w:rFonts w:cs="Arial"/>
                <w:szCs w:val="24"/>
              </w:rPr>
              <w:t>to při souběžném ohledu na příjmovou stabilitu příjemců dávkové podpory</w:t>
            </w:r>
            <w:r w:rsidRPr="00C605D8">
              <w:rPr>
                <w:rFonts w:cs="Arial"/>
                <w:szCs w:val="24"/>
              </w:rPr>
              <w:t>.</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L/NL</w:t>
            </w:r>
          </w:p>
        </w:tc>
        <w:tc>
          <w:tcPr>
            <w:tcW w:w="1559" w:type="dxa"/>
          </w:tcPr>
          <w:p w:rsidR="00F838CD" w:rsidRPr="00C605D8" w:rsidRDefault="00DE068C" w:rsidP="00C26633">
            <w:pPr>
              <w:spacing w:after="200"/>
              <w:jc w:val="left"/>
              <w:rPr>
                <w:rFonts w:cs="Arial"/>
                <w:szCs w:val="24"/>
              </w:rPr>
            </w:pPr>
            <w:r>
              <w:rPr>
                <w:rFonts w:cs="Arial"/>
                <w:szCs w:val="24"/>
              </w:rPr>
              <w:t>2017</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1.4</w:t>
            </w:r>
          </w:p>
        </w:tc>
        <w:tc>
          <w:tcPr>
            <w:tcW w:w="2659" w:type="dxa"/>
          </w:tcPr>
          <w:p w:rsidR="00F838CD" w:rsidRPr="00C605D8" w:rsidRDefault="00F838CD" w:rsidP="00C26633">
            <w:pPr>
              <w:spacing w:after="200"/>
              <w:jc w:val="left"/>
              <w:rPr>
                <w:rFonts w:cs="Arial"/>
                <w:szCs w:val="24"/>
              </w:rPr>
            </w:pPr>
            <w:r w:rsidRPr="00C605D8">
              <w:rPr>
                <w:rFonts w:cs="Arial"/>
                <w:szCs w:val="24"/>
              </w:rPr>
              <w:t>Příspěvek na podporu regionální mobility</w:t>
            </w:r>
          </w:p>
        </w:tc>
        <w:tc>
          <w:tcPr>
            <w:tcW w:w="7371" w:type="dxa"/>
          </w:tcPr>
          <w:p w:rsidR="00F838CD" w:rsidRPr="00C605D8" w:rsidRDefault="00F838CD" w:rsidP="00C26633">
            <w:pPr>
              <w:spacing w:after="200"/>
              <w:rPr>
                <w:rFonts w:cs="Arial"/>
                <w:szCs w:val="24"/>
              </w:rPr>
            </w:pPr>
            <w:r w:rsidRPr="00C605D8">
              <w:rPr>
                <w:rFonts w:cs="Arial"/>
                <w:szCs w:val="24"/>
              </w:rPr>
              <w:t>V souladu s Akčním plánem vlády na podporu hospodářského růstu a zaměstnanosti připraví MPSV návrh nového nástroje aktivní politiky zaměstnanosti a jeho pilotní ověření.</w:t>
            </w:r>
          </w:p>
          <w:p w:rsidR="00F838CD" w:rsidRDefault="00F838CD" w:rsidP="00C26633">
            <w:pPr>
              <w:spacing w:after="200"/>
              <w:rPr>
                <w:rFonts w:cs="Arial"/>
                <w:szCs w:val="24"/>
              </w:rPr>
            </w:pPr>
            <w:r w:rsidRPr="00C605D8">
              <w:rPr>
                <w:rFonts w:cs="Arial"/>
                <w:szCs w:val="24"/>
              </w:rPr>
              <w:t>Uchazečům o zaměstnání, kteří si naleznou pracovní uplatnění mimo místo svého bydliště, bude poskytován v závislosti na vzdálenosti dojížďky finanční příspěvek. Příspěvek bude paušální, podpořená osoba jej bude moci tedy využít na úhradu jak nákladů za dopravu, tak dalších nákladů souvisejících s dojížďkou do zaměstnání (či přestěhováním).</w:t>
            </w:r>
          </w:p>
          <w:p w:rsidR="00F838CD" w:rsidRPr="00C605D8" w:rsidRDefault="00F838CD" w:rsidP="00C26633">
            <w:pPr>
              <w:spacing w:after="200"/>
              <w:rPr>
                <w:rFonts w:cs="Arial"/>
                <w:szCs w:val="24"/>
              </w:rPr>
            </w:pPr>
            <w:r>
              <w:rPr>
                <w:rFonts w:cs="Arial"/>
                <w:szCs w:val="24"/>
              </w:rPr>
              <w:t>Poskytování příspěvku bylo pilotně zahájeno v dubnu 2016. Analyzována je možnost poskytovat příspěvek na přestěhování za prací.</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L/NL</w:t>
            </w:r>
          </w:p>
        </w:tc>
        <w:tc>
          <w:tcPr>
            <w:tcW w:w="1559" w:type="dxa"/>
          </w:tcPr>
          <w:p w:rsidR="00F838CD" w:rsidRPr="00C605D8" w:rsidRDefault="00F838CD" w:rsidP="00C26633">
            <w:pPr>
              <w:spacing w:after="200"/>
              <w:jc w:val="left"/>
              <w:rPr>
                <w:rFonts w:cs="Arial"/>
                <w:szCs w:val="24"/>
              </w:rPr>
            </w:pPr>
            <w:r w:rsidRPr="00C605D8">
              <w:rPr>
                <w:rFonts w:cs="Arial"/>
                <w:szCs w:val="24"/>
              </w:rPr>
              <w:t>2015</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1.5</w:t>
            </w:r>
          </w:p>
        </w:tc>
        <w:tc>
          <w:tcPr>
            <w:tcW w:w="2659" w:type="dxa"/>
          </w:tcPr>
          <w:p w:rsidR="00F838CD" w:rsidRPr="00C605D8" w:rsidRDefault="00F838CD" w:rsidP="00C26633">
            <w:pPr>
              <w:spacing w:after="200"/>
              <w:jc w:val="left"/>
              <w:rPr>
                <w:rFonts w:cs="Arial"/>
                <w:szCs w:val="24"/>
              </w:rPr>
            </w:pPr>
            <w:r w:rsidRPr="00C605D8">
              <w:rPr>
                <w:rFonts w:cs="Arial"/>
                <w:szCs w:val="24"/>
              </w:rPr>
              <w:t>Exekuce</w:t>
            </w:r>
          </w:p>
        </w:tc>
        <w:tc>
          <w:tcPr>
            <w:tcW w:w="7371" w:type="dxa"/>
          </w:tcPr>
          <w:p w:rsidR="00F838CD" w:rsidRPr="00C605D8" w:rsidRDefault="00F838CD" w:rsidP="00C26633">
            <w:pPr>
              <w:spacing w:after="200"/>
              <w:rPr>
                <w:rFonts w:cs="Arial"/>
                <w:szCs w:val="24"/>
              </w:rPr>
            </w:pPr>
            <w:r w:rsidRPr="00C605D8">
              <w:rPr>
                <w:rFonts w:cs="Arial"/>
                <w:szCs w:val="24"/>
              </w:rPr>
              <w:t>MPSV ve spolupráci s Ministerstvem spravedlnosti a Ministerstvem vnitra navrhne opatření k řešení problematiky exekucí a jejich negativního dopadu na motivaci pracovní síly přijmout zaměstnání jako zdroj obživy</w:t>
            </w:r>
            <w:r w:rsidR="00105D9C">
              <w:rPr>
                <w:rFonts w:cs="Arial"/>
                <w:szCs w:val="24"/>
              </w:rPr>
              <w:t>.</w:t>
            </w:r>
          </w:p>
        </w:tc>
        <w:tc>
          <w:tcPr>
            <w:tcW w:w="954" w:type="dxa"/>
          </w:tcPr>
          <w:p w:rsidR="00F838CD" w:rsidRPr="00C605D8" w:rsidRDefault="00F838CD" w:rsidP="00C26633">
            <w:pPr>
              <w:spacing w:after="200"/>
              <w:jc w:val="left"/>
              <w:rPr>
                <w:rFonts w:cs="Arial"/>
                <w:szCs w:val="24"/>
              </w:rPr>
            </w:pPr>
            <w:r w:rsidRPr="00C605D8">
              <w:rPr>
                <w:rFonts w:cs="Arial"/>
                <w:szCs w:val="24"/>
              </w:rPr>
              <w:t>MPSV</w:t>
            </w:r>
          </w:p>
          <w:p w:rsidR="00F838CD" w:rsidRPr="00C605D8" w:rsidRDefault="00F838CD" w:rsidP="00C26633">
            <w:pPr>
              <w:spacing w:after="200"/>
              <w:jc w:val="left"/>
              <w:rPr>
                <w:rFonts w:cs="Arial"/>
                <w:szCs w:val="24"/>
              </w:rPr>
            </w:pPr>
            <w:proofErr w:type="spellStart"/>
            <w:r w:rsidRPr="00C605D8">
              <w:rPr>
                <w:rFonts w:cs="Arial"/>
                <w:szCs w:val="24"/>
              </w:rPr>
              <w:t>MSp</w:t>
            </w:r>
            <w:proofErr w:type="spellEnd"/>
          </w:p>
          <w:p w:rsidR="00F838CD" w:rsidRPr="00C605D8" w:rsidRDefault="00F838CD" w:rsidP="00C26633">
            <w:pPr>
              <w:spacing w:after="200"/>
              <w:jc w:val="left"/>
              <w:rPr>
                <w:rFonts w:cs="Arial"/>
                <w:szCs w:val="24"/>
              </w:rPr>
            </w:pPr>
            <w:r w:rsidRPr="00C605D8">
              <w:rPr>
                <w:rFonts w:cs="Arial"/>
                <w:szCs w:val="24"/>
              </w:rPr>
              <w:t>MV</w:t>
            </w:r>
          </w:p>
        </w:tc>
        <w:tc>
          <w:tcPr>
            <w:tcW w:w="747" w:type="dxa"/>
          </w:tcPr>
          <w:p w:rsidR="00F838CD" w:rsidRPr="00C605D8" w:rsidRDefault="00F838CD" w:rsidP="00C26633">
            <w:pPr>
              <w:spacing w:after="200"/>
              <w:jc w:val="left"/>
              <w:rPr>
                <w:rFonts w:cs="Arial"/>
                <w:szCs w:val="24"/>
              </w:rPr>
            </w:pPr>
            <w:r w:rsidRPr="00C605D8">
              <w:rPr>
                <w:rFonts w:cs="Arial"/>
                <w:szCs w:val="24"/>
              </w:rPr>
              <w:t>L</w:t>
            </w:r>
          </w:p>
        </w:tc>
        <w:tc>
          <w:tcPr>
            <w:tcW w:w="1559" w:type="dxa"/>
          </w:tcPr>
          <w:p w:rsidR="00F838CD" w:rsidRPr="00C605D8" w:rsidRDefault="00F838CD" w:rsidP="00C26633">
            <w:pPr>
              <w:spacing w:after="200"/>
              <w:jc w:val="left"/>
              <w:rPr>
                <w:rFonts w:cs="Arial"/>
                <w:szCs w:val="24"/>
              </w:rPr>
            </w:pPr>
            <w:r w:rsidRPr="00C605D8">
              <w:rPr>
                <w:rFonts w:cs="Arial"/>
                <w:szCs w:val="24"/>
              </w:rPr>
              <w:t>2016</w:t>
            </w:r>
          </w:p>
        </w:tc>
      </w:tr>
      <w:tr w:rsidR="00105D9C" w:rsidRPr="00C605D8" w:rsidTr="00F838CD">
        <w:tc>
          <w:tcPr>
            <w:tcW w:w="710" w:type="dxa"/>
          </w:tcPr>
          <w:p w:rsidR="00105D9C" w:rsidRPr="00C605D8" w:rsidRDefault="00105D9C" w:rsidP="00C26633">
            <w:pPr>
              <w:spacing w:after="200"/>
              <w:jc w:val="left"/>
              <w:rPr>
                <w:rFonts w:cs="Arial"/>
                <w:szCs w:val="24"/>
              </w:rPr>
            </w:pPr>
            <w:r>
              <w:rPr>
                <w:rFonts w:cs="Arial"/>
                <w:szCs w:val="24"/>
              </w:rPr>
              <w:t>1.6a</w:t>
            </w:r>
          </w:p>
        </w:tc>
        <w:tc>
          <w:tcPr>
            <w:tcW w:w="2659" w:type="dxa"/>
          </w:tcPr>
          <w:p w:rsidR="00105D9C" w:rsidRPr="00C605D8" w:rsidRDefault="00105D9C" w:rsidP="00C26633">
            <w:pPr>
              <w:spacing w:after="200"/>
              <w:jc w:val="left"/>
              <w:rPr>
                <w:rFonts w:cs="Arial"/>
                <w:szCs w:val="24"/>
              </w:rPr>
            </w:pPr>
            <w:r>
              <w:rPr>
                <w:rFonts w:cs="Arial"/>
                <w:szCs w:val="24"/>
              </w:rPr>
              <w:t>Podpora flexibilního zaměstnávání</w:t>
            </w:r>
          </w:p>
        </w:tc>
        <w:tc>
          <w:tcPr>
            <w:tcW w:w="7371" w:type="dxa"/>
          </w:tcPr>
          <w:p w:rsidR="00105D9C" w:rsidRPr="00C605D8" w:rsidRDefault="00105D9C" w:rsidP="00C26633">
            <w:pPr>
              <w:spacing w:after="200"/>
              <w:rPr>
                <w:rFonts w:cs="Arial"/>
                <w:szCs w:val="24"/>
              </w:rPr>
            </w:pPr>
            <w:r>
              <w:rPr>
                <w:rFonts w:cs="Arial"/>
                <w:szCs w:val="24"/>
              </w:rPr>
              <w:t>Odstraňování bariér (objektivních i subjektivních) bránících využívání flexibilního zaměstnávání, které svojí povahou nebude zaměstnáváním prekérním.</w:t>
            </w:r>
          </w:p>
        </w:tc>
        <w:tc>
          <w:tcPr>
            <w:tcW w:w="954" w:type="dxa"/>
          </w:tcPr>
          <w:p w:rsidR="00105D9C" w:rsidRPr="00C605D8" w:rsidRDefault="00105D9C" w:rsidP="00C26633">
            <w:pPr>
              <w:spacing w:after="200"/>
              <w:jc w:val="left"/>
              <w:rPr>
                <w:rFonts w:cs="Arial"/>
                <w:szCs w:val="24"/>
              </w:rPr>
            </w:pPr>
            <w:r>
              <w:rPr>
                <w:rFonts w:cs="Arial"/>
                <w:szCs w:val="24"/>
              </w:rPr>
              <w:t>MPSV</w:t>
            </w:r>
          </w:p>
        </w:tc>
        <w:tc>
          <w:tcPr>
            <w:tcW w:w="747" w:type="dxa"/>
          </w:tcPr>
          <w:p w:rsidR="00105D9C" w:rsidRPr="00C605D8" w:rsidRDefault="00105D9C" w:rsidP="00C26633">
            <w:pPr>
              <w:spacing w:after="200"/>
              <w:jc w:val="left"/>
              <w:rPr>
                <w:rFonts w:cs="Arial"/>
                <w:szCs w:val="24"/>
              </w:rPr>
            </w:pPr>
            <w:r>
              <w:rPr>
                <w:rFonts w:cs="Arial"/>
                <w:szCs w:val="24"/>
              </w:rPr>
              <w:t>L/NL</w:t>
            </w:r>
          </w:p>
        </w:tc>
        <w:tc>
          <w:tcPr>
            <w:tcW w:w="1559" w:type="dxa"/>
          </w:tcPr>
          <w:p w:rsidR="00105D9C" w:rsidRPr="00C605D8" w:rsidRDefault="00105D9C" w:rsidP="00C26633">
            <w:pPr>
              <w:spacing w:after="200"/>
              <w:jc w:val="left"/>
              <w:rPr>
                <w:rFonts w:cs="Arial"/>
                <w:szCs w:val="24"/>
              </w:rPr>
            </w:pPr>
            <w:r>
              <w:rPr>
                <w:rFonts w:cs="Arial"/>
                <w:szCs w:val="24"/>
              </w:rPr>
              <w:t>2016/2017</w:t>
            </w:r>
          </w:p>
        </w:tc>
      </w:tr>
      <w:tr w:rsidR="00F838CD" w:rsidRPr="00C605D8" w:rsidTr="00F838CD">
        <w:tc>
          <w:tcPr>
            <w:tcW w:w="710" w:type="dxa"/>
          </w:tcPr>
          <w:p w:rsidR="00F838CD" w:rsidRPr="00C605D8" w:rsidRDefault="00F838CD" w:rsidP="00C26633">
            <w:pPr>
              <w:spacing w:after="200"/>
              <w:jc w:val="left"/>
              <w:rPr>
                <w:rFonts w:cs="Arial"/>
                <w:szCs w:val="24"/>
              </w:rPr>
            </w:pPr>
            <w:r>
              <w:rPr>
                <w:rFonts w:cs="Arial"/>
                <w:szCs w:val="24"/>
              </w:rPr>
              <w:t>1.6b</w:t>
            </w:r>
          </w:p>
        </w:tc>
        <w:tc>
          <w:tcPr>
            <w:tcW w:w="2659" w:type="dxa"/>
          </w:tcPr>
          <w:p w:rsidR="00F838CD" w:rsidRPr="00C605D8" w:rsidRDefault="00F838CD" w:rsidP="00C26633">
            <w:pPr>
              <w:spacing w:after="200"/>
              <w:jc w:val="left"/>
              <w:rPr>
                <w:rFonts w:cs="Arial"/>
                <w:szCs w:val="24"/>
              </w:rPr>
            </w:pPr>
            <w:r>
              <w:rPr>
                <w:rFonts w:cs="Arial"/>
                <w:szCs w:val="24"/>
              </w:rPr>
              <w:t>Agenturní zaměstnávání</w:t>
            </w:r>
          </w:p>
        </w:tc>
        <w:tc>
          <w:tcPr>
            <w:tcW w:w="7371" w:type="dxa"/>
          </w:tcPr>
          <w:p w:rsidR="00F838CD" w:rsidRPr="00C605D8" w:rsidRDefault="00F838CD">
            <w:pPr>
              <w:spacing w:after="200"/>
              <w:rPr>
                <w:rFonts w:cs="Arial"/>
                <w:szCs w:val="24"/>
              </w:rPr>
            </w:pPr>
            <w:r>
              <w:rPr>
                <w:rFonts w:cs="Arial"/>
                <w:szCs w:val="24"/>
              </w:rPr>
              <w:t>MPSV provede revizi systému agenturního zaměstnávání, zejména v rámci zákona o zaměstnanosti s cílem zvýšit jistotu na trhu práce zaměstnanců agentur práce dočasně přidělovaných k</w:t>
            </w:r>
            <w:r w:rsidR="00105D9C">
              <w:rPr>
                <w:rFonts w:cs="Arial"/>
                <w:szCs w:val="24"/>
              </w:rPr>
              <w:t> </w:t>
            </w:r>
            <w:r>
              <w:rPr>
                <w:rFonts w:cs="Arial"/>
                <w:szCs w:val="24"/>
              </w:rPr>
              <w:t>uživatelům</w:t>
            </w:r>
            <w:r w:rsidR="00105D9C">
              <w:rPr>
                <w:rFonts w:cs="Arial"/>
                <w:szCs w:val="24"/>
              </w:rPr>
              <w:t>.</w:t>
            </w:r>
          </w:p>
        </w:tc>
        <w:tc>
          <w:tcPr>
            <w:tcW w:w="954" w:type="dxa"/>
          </w:tcPr>
          <w:p w:rsidR="00F838CD" w:rsidRPr="00C605D8" w:rsidRDefault="00F838CD" w:rsidP="00C26633">
            <w:pPr>
              <w:spacing w:after="200"/>
              <w:jc w:val="left"/>
              <w:rPr>
                <w:rFonts w:cs="Arial"/>
                <w:szCs w:val="24"/>
              </w:rPr>
            </w:pPr>
            <w:r>
              <w:rPr>
                <w:rFonts w:cs="Arial"/>
                <w:szCs w:val="24"/>
              </w:rPr>
              <w:t>MPSV</w:t>
            </w:r>
          </w:p>
        </w:tc>
        <w:tc>
          <w:tcPr>
            <w:tcW w:w="747" w:type="dxa"/>
          </w:tcPr>
          <w:p w:rsidR="00F838CD" w:rsidRPr="00C605D8" w:rsidRDefault="00F838CD" w:rsidP="00C26633">
            <w:pPr>
              <w:spacing w:after="200"/>
              <w:jc w:val="left"/>
              <w:rPr>
                <w:rFonts w:cs="Arial"/>
                <w:szCs w:val="24"/>
              </w:rPr>
            </w:pPr>
            <w:r>
              <w:rPr>
                <w:rFonts w:cs="Arial"/>
                <w:szCs w:val="24"/>
              </w:rPr>
              <w:t>L</w:t>
            </w:r>
          </w:p>
        </w:tc>
        <w:tc>
          <w:tcPr>
            <w:tcW w:w="1559" w:type="dxa"/>
          </w:tcPr>
          <w:p w:rsidR="00F838CD" w:rsidRPr="00C605D8" w:rsidRDefault="00F838CD" w:rsidP="00C26633">
            <w:pPr>
              <w:spacing w:after="200"/>
              <w:jc w:val="left"/>
              <w:rPr>
                <w:rFonts w:cs="Arial"/>
                <w:szCs w:val="24"/>
              </w:rPr>
            </w:pPr>
            <w:r>
              <w:rPr>
                <w:rFonts w:cs="Arial"/>
                <w:szCs w:val="24"/>
              </w:rPr>
              <w:t>2016/2017</w:t>
            </w:r>
          </w:p>
        </w:tc>
      </w:tr>
      <w:tr w:rsidR="00F838CD" w:rsidRPr="00C605D8" w:rsidTr="00F838CD">
        <w:tc>
          <w:tcPr>
            <w:tcW w:w="14000" w:type="dxa"/>
            <w:gridSpan w:val="6"/>
          </w:tcPr>
          <w:p w:rsidR="00F838CD" w:rsidRPr="00F838CD" w:rsidRDefault="00F838CD" w:rsidP="00C26633">
            <w:pPr>
              <w:spacing w:after="200"/>
              <w:jc w:val="left"/>
              <w:rPr>
                <w:rFonts w:cs="Arial"/>
                <w:b/>
                <w:szCs w:val="24"/>
              </w:rPr>
            </w:pPr>
            <w:r w:rsidRPr="00F838CD">
              <w:rPr>
                <w:rFonts w:cs="Arial"/>
                <w:b/>
                <w:szCs w:val="24"/>
              </w:rPr>
              <w:t>Skupina 2: motivace zaměstnavatelů zaměstnávat znevýhodněné skupiny osob (intenzivní využití dostupné pracovní síly)</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2.1</w:t>
            </w:r>
          </w:p>
        </w:tc>
        <w:tc>
          <w:tcPr>
            <w:tcW w:w="2659" w:type="dxa"/>
          </w:tcPr>
          <w:p w:rsidR="00F838CD" w:rsidRPr="00C605D8" w:rsidRDefault="00F838CD" w:rsidP="00C26633">
            <w:pPr>
              <w:spacing w:after="200"/>
              <w:jc w:val="left"/>
              <w:rPr>
                <w:rFonts w:cs="Arial"/>
                <w:szCs w:val="24"/>
              </w:rPr>
            </w:pPr>
            <w:r w:rsidRPr="00C605D8">
              <w:rPr>
                <w:rFonts w:cs="Arial"/>
                <w:szCs w:val="24"/>
              </w:rPr>
              <w:t>Cílené poskytování příspěvků APZ</w:t>
            </w:r>
          </w:p>
        </w:tc>
        <w:tc>
          <w:tcPr>
            <w:tcW w:w="7371" w:type="dxa"/>
          </w:tcPr>
          <w:p w:rsidR="00F838CD" w:rsidRPr="00C605D8" w:rsidRDefault="00F838CD" w:rsidP="00C26633">
            <w:pPr>
              <w:spacing w:after="200"/>
              <w:rPr>
                <w:rFonts w:cs="Arial"/>
                <w:szCs w:val="24"/>
              </w:rPr>
            </w:pPr>
            <w:r w:rsidRPr="00C605D8">
              <w:rPr>
                <w:rFonts w:cs="Arial"/>
                <w:szCs w:val="24"/>
              </w:rPr>
              <w:t>Významně eliminovat tzv. „</w:t>
            </w:r>
            <w:proofErr w:type="spellStart"/>
            <w:r w:rsidRPr="00C605D8">
              <w:rPr>
                <w:rFonts w:cs="Arial"/>
                <w:szCs w:val="24"/>
              </w:rPr>
              <w:t>cream-off</w:t>
            </w:r>
            <w:proofErr w:type="spellEnd"/>
            <w:r w:rsidRPr="00C605D8">
              <w:rPr>
                <w:rFonts w:cs="Arial"/>
                <w:szCs w:val="24"/>
              </w:rPr>
              <w:t xml:space="preserve"> </w:t>
            </w:r>
            <w:proofErr w:type="spellStart"/>
            <w:r w:rsidRPr="00C605D8">
              <w:rPr>
                <w:rFonts w:cs="Arial"/>
                <w:szCs w:val="24"/>
              </w:rPr>
              <w:t>effect</w:t>
            </w:r>
            <w:proofErr w:type="spellEnd"/>
            <w:r w:rsidRPr="00C605D8">
              <w:rPr>
                <w:rFonts w:cs="Arial"/>
                <w:szCs w:val="24"/>
              </w:rPr>
              <w:t>“ u nástrojů APZ – tzn. při poskytování příspěvků zaměstnavatelům na podporu zaměstnanosti uchazečů o zaměstnání cíleně reflektovat míru znevýhodnění uchazeče o zaměstnání na trhu práce. APZ využívat k motivaci zaměstnavatelů zaměstnávat nejvíce znevýhodněné skupiny osob (dlouhodobě nezaměstnané, kumulace hendikepů).</w:t>
            </w:r>
          </w:p>
          <w:p w:rsidR="00F838CD" w:rsidRPr="00C605D8" w:rsidRDefault="00F838CD" w:rsidP="00C26633">
            <w:pPr>
              <w:spacing w:after="200"/>
              <w:rPr>
                <w:rFonts w:cs="Arial"/>
                <w:szCs w:val="24"/>
              </w:rPr>
            </w:pPr>
            <w:r w:rsidRPr="00C605D8">
              <w:rPr>
                <w:rFonts w:cs="Arial"/>
                <w:szCs w:val="24"/>
              </w:rPr>
              <w:t>Zvýšený zájem zaměstnavatelů o nové zaměstnance vytváří prostor, resp. šanci pro pracov</w:t>
            </w:r>
            <w:r w:rsidR="00586FAC">
              <w:rPr>
                <w:rFonts w:cs="Arial"/>
                <w:szCs w:val="24"/>
              </w:rPr>
              <w:t>ní uplatnění uchazečů o </w:t>
            </w:r>
            <w:r w:rsidRPr="00C605D8">
              <w:rPr>
                <w:rFonts w:cs="Arial"/>
                <w:szCs w:val="24"/>
              </w:rPr>
              <w:t>zaměstnání, kteří pro svůj zdravotní stav, věk, péči o dítě nebo z jiných vážných důvodů mají zho</w:t>
            </w:r>
            <w:r w:rsidR="00586FAC">
              <w:rPr>
                <w:rFonts w:cs="Arial"/>
                <w:szCs w:val="24"/>
              </w:rPr>
              <w:t>ršené uplatnění na trhu práce a </w:t>
            </w:r>
            <w:r w:rsidRPr="00C605D8">
              <w:rPr>
                <w:rFonts w:cs="Arial"/>
                <w:szCs w:val="24"/>
              </w:rPr>
              <w:t>potřebují zvýšenou péči při zprostředkování zaměstnání.</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NL</w:t>
            </w:r>
          </w:p>
        </w:tc>
        <w:tc>
          <w:tcPr>
            <w:tcW w:w="1559" w:type="dxa"/>
          </w:tcPr>
          <w:p w:rsidR="00F838CD" w:rsidRPr="00C605D8" w:rsidRDefault="00F838CD" w:rsidP="00C26633">
            <w:pPr>
              <w:spacing w:after="200"/>
              <w:jc w:val="left"/>
              <w:rPr>
                <w:rFonts w:cs="Arial"/>
                <w:szCs w:val="24"/>
              </w:rPr>
            </w:pPr>
            <w:r w:rsidRPr="00C605D8">
              <w:rPr>
                <w:rFonts w:cs="Arial"/>
                <w:szCs w:val="24"/>
              </w:rPr>
              <w:t>2016</w:t>
            </w:r>
          </w:p>
        </w:tc>
      </w:tr>
      <w:tr w:rsidR="00F838CD" w:rsidRPr="00C605D8" w:rsidTr="00F838CD">
        <w:tc>
          <w:tcPr>
            <w:tcW w:w="14000" w:type="dxa"/>
            <w:gridSpan w:val="6"/>
          </w:tcPr>
          <w:p w:rsidR="00F838CD" w:rsidRPr="00C605D8" w:rsidRDefault="00F838CD" w:rsidP="00C26633">
            <w:pPr>
              <w:spacing w:after="200"/>
              <w:jc w:val="left"/>
              <w:rPr>
                <w:rFonts w:cs="Arial"/>
                <w:b/>
                <w:szCs w:val="24"/>
              </w:rPr>
            </w:pPr>
            <w:r w:rsidRPr="00C605D8">
              <w:rPr>
                <w:rFonts w:cs="Arial"/>
                <w:b/>
                <w:szCs w:val="24"/>
              </w:rPr>
              <w:t>Skupina 3: intenzifikace činnosti ÚP ČR</w:t>
            </w:r>
            <w:r w:rsidR="002D25C3">
              <w:rPr>
                <w:rFonts w:cs="Arial"/>
                <w:b/>
                <w:szCs w:val="24"/>
              </w:rPr>
              <w:t xml:space="preserve"> a SUIP</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3.1</w:t>
            </w:r>
          </w:p>
        </w:tc>
        <w:tc>
          <w:tcPr>
            <w:tcW w:w="2659" w:type="dxa"/>
          </w:tcPr>
          <w:p w:rsidR="00F838CD" w:rsidRPr="00C605D8" w:rsidRDefault="00F838CD" w:rsidP="00C26633">
            <w:pPr>
              <w:spacing w:after="200"/>
              <w:jc w:val="left"/>
              <w:rPr>
                <w:rFonts w:cs="Arial"/>
                <w:szCs w:val="24"/>
              </w:rPr>
            </w:pPr>
            <w:r w:rsidRPr="00C605D8">
              <w:rPr>
                <w:rFonts w:cs="Arial"/>
                <w:szCs w:val="24"/>
              </w:rPr>
              <w:t>Intenzifikace zprostředkovatelské činnosti ÚP ČR</w:t>
            </w:r>
          </w:p>
        </w:tc>
        <w:tc>
          <w:tcPr>
            <w:tcW w:w="7371" w:type="dxa"/>
          </w:tcPr>
          <w:p w:rsidR="00F838CD" w:rsidRPr="00C605D8" w:rsidRDefault="00F838CD" w:rsidP="00105D9C">
            <w:pPr>
              <w:spacing w:after="200"/>
              <w:rPr>
                <w:rFonts w:cs="Arial"/>
                <w:szCs w:val="24"/>
              </w:rPr>
            </w:pPr>
            <w:r w:rsidRPr="00C605D8">
              <w:rPr>
                <w:rFonts w:cs="Arial"/>
                <w:szCs w:val="24"/>
              </w:rPr>
              <w:t>Intenzivní realizace</w:t>
            </w:r>
            <w:r w:rsidR="00105D9C">
              <w:rPr>
                <w:rFonts w:cs="Arial"/>
                <w:szCs w:val="24"/>
              </w:rPr>
              <w:t xml:space="preserve"> a aktivní nabídka </w:t>
            </w:r>
            <w:r w:rsidRPr="00C605D8">
              <w:rPr>
                <w:rFonts w:cs="Arial"/>
                <w:szCs w:val="24"/>
              </w:rPr>
              <w:t xml:space="preserve">zprostředkovatelských služeb ÚP ČR, tj. včasná a kvalitní reakce na poptávku zaměstnavatelů po nových zaměstnancích. Zejména se </w:t>
            </w:r>
            <w:r w:rsidR="00105D9C">
              <w:rPr>
                <w:rFonts w:cs="Arial"/>
                <w:szCs w:val="24"/>
              </w:rPr>
              <w:t>bude jednat</w:t>
            </w:r>
            <w:r w:rsidR="00105D9C" w:rsidRPr="00C605D8">
              <w:rPr>
                <w:rFonts w:cs="Arial"/>
                <w:szCs w:val="24"/>
              </w:rPr>
              <w:t xml:space="preserve"> </w:t>
            </w:r>
            <w:r w:rsidRPr="00C605D8">
              <w:rPr>
                <w:rFonts w:cs="Arial"/>
                <w:szCs w:val="24"/>
              </w:rPr>
              <w:t xml:space="preserve">o organizaci cílených výběrových řízení za účelem obsazení hlášených volných pracovních míst. Výběrová řízení </w:t>
            </w:r>
            <w:r w:rsidR="00105D9C">
              <w:rPr>
                <w:rFonts w:cs="Arial"/>
                <w:szCs w:val="24"/>
              </w:rPr>
              <w:t>budou probíhat</w:t>
            </w:r>
            <w:r w:rsidR="00105D9C" w:rsidRPr="00C605D8">
              <w:rPr>
                <w:rFonts w:cs="Arial"/>
                <w:szCs w:val="24"/>
              </w:rPr>
              <w:t xml:space="preserve"> </w:t>
            </w:r>
            <w:r w:rsidRPr="00C605D8">
              <w:rPr>
                <w:rFonts w:cs="Arial"/>
                <w:szCs w:val="24"/>
              </w:rPr>
              <w:t xml:space="preserve">jak v prostorách ÚP ČR, tak i přímo v prostorách zaměstnavatelů. </w:t>
            </w:r>
            <w:r w:rsidR="00105D9C">
              <w:rPr>
                <w:rFonts w:cs="Arial"/>
                <w:szCs w:val="24"/>
              </w:rPr>
              <w:t>A</w:t>
            </w:r>
            <w:r w:rsidRPr="00C605D8">
              <w:rPr>
                <w:rFonts w:cs="Arial"/>
                <w:szCs w:val="24"/>
              </w:rPr>
              <w:t>ktivní asistence zaměstnanců ÚP ČR</w:t>
            </w:r>
            <w:r w:rsidR="00105D9C">
              <w:rPr>
                <w:rFonts w:cs="Arial"/>
                <w:szCs w:val="24"/>
              </w:rPr>
              <w:t xml:space="preserve"> při výběrových řízeních</w:t>
            </w:r>
            <w:r w:rsidRPr="00C605D8">
              <w:rPr>
                <w:rFonts w:cs="Arial"/>
                <w:szCs w:val="24"/>
              </w:rPr>
              <w:t xml:space="preserve"> </w:t>
            </w:r>
            <w:r w:rsidR="00105D9C">
              <w:rPr>
                <w:rFonts w:cs="Arial"/>
                <w:szCs w:val="24"/>
              </w:rPr>
              <w:t xml:space="preserve">přispěje k získání zpětné vazby </w:t>
            </w:r>
            <w:r>
              <w:rPr>
                <w:rFonts w:cs="Arial"/>
                <w:szCs w:val="24"/>
              </w:rPr>
              <w:t xml:space="preserve">o </w:t>
            </w:r>
            <w:r w:rsidR="00105D9C">
              <w:rPr>
                <w:rFonts w:cs="Arial"/>
                <w:szCs w:val="24"/>
              </w:rPr>
              <w:t xml:space="preserve">zájmu </w:t>
            </w:r>
            <w:r>
              <w:rPr>
                <w:rFonts w:cs="Arial"/>
                <w:szCs w:val="24"/>
              </w:rPr>
              <w:t>uchazečů o </w:t>
            </w:r>
            <w:r w:rsidRPr="00C605D8">
              <w:rPr>
                <w:rFonts w:cs="Arial"/>
                <w:szCs w:val="24"/>
              </w:rPr>
              <w:t xml:space="preserve">zaměstnání </w:t>
            </w:r>
            <w:r>
              <w:rPr>
                <w:rFonts w:cs="Arial"/>
                <w:szCs w:val="24"/>
              </w:rPr>
              <w:t>o </w:t>
            </w:r>
            <w:r w:rsidRPr="00C605D8">
              <w:rPr>
                <w:rFonts w:cs="Arial"/>
                <w:szCs w:val="24"/>
              </w:rPr>
              <w:t>pracovní uplatnění na trhu práce</w:t>
            </w:r>
            <w:r w:rsidR="00105D9C">
              <w:rPr>
                <w:rFonts w:cs="Arial"/>
                <w:szCs w:val="24"/>
              </w:rPr>
              <w:t xml:space="preserve"> i o kvalitě nabídky ze strany zaměstnavatelů</w:t>
            </w:r>
            <w:r w:rsidRPr="00C605D8">
              <w:rPr>
                <w:rFonts w:cs="Arial"/>
                <w:szCs w:val="24"/>
              </w:rPr>
              <w:t>. Důraz bude kladen na genderovou rovnost v přístupu ke vhodnému zaměstnání.</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NL</w:t>
            </w:r>
          </w:p>
        </w:tc>
        <w:tc>
          <w:tcPr>
            <w:tcW w:w="1559" w:type="dxa"/>
          </w:tcPr>
          <w:p w:rsidR="00F838CD" w:rsidRPr="00C605D8" w:rsidRDefault="00F838CD" w:rsidP="00C26633">
            <w:pPr>
              <w:spacing w:after="200"/>
              <w:jc w:val="left"/>
              <w:rPr>
                <w:rFonts w:cs="Arial"/>
                <w:szCs w:val="24"/>
              </w:rPr>
            </w:pPr>
            <w:r w:rsidRPr="00C605D8">
              <w:rPr>
                <w:rFonts w:cs="Arial"/>
                <w:szCs w:val="24"/>
              </w:rPr>
              <w:t>průběžně</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3.2</w:t>
            </w:r>
          </w:p>
        </w:tc>
        <w:tc>
          <w:tcPr>
            <w:tcW w:w="2659" w:type="dxa"/>
          </w:tcPr>
          <w:p w:rsidR="00F838CD" w:rsidRPr="00C605D8" w:rsidRDefault="00F838CD" w:rsidP="00C26633">
            <w:pPr>
              <w:spacing w:after="200"/>
              <w:jc w:val="left"/>
              <w:rPr>
                <w:rFonts w:cs="Arial"/>
                <w:szCs w:val="24"/>
              </w:rPr>
            </w:pPr>
            <w:r w:rsidRPr="00C605D8">
              <w:rPr>
                <w:rFonts w:cs="Arial"/>
                <w:szCs w:val="24"/>
              </w:rPr>
              <w:t>Párování uchazečů o zaměstnání a volných pracovních míst</w:t>
            </w:r>
          </w:p>
        </w:tc>
        <w:tc>
          <w:tcPr>
            <w:tcW w:w="7371" w:type="dxa"/>
          </w:tcPr>
          <w:p w:rsidR="00F838CD" w:rsidRPr="00C605D8" w:rsidRDefault="00F838CD" w:rsidP="00C26633">
            <w:pPr>
              <w:spacing w:after="200"/>
              <w:rPr>
                <w:rFonts w:cs="Arial"/>
                <w:szCs w:val="24"/>
              </w:rPr>
            </w:pPr>
            <w:r w:rsidRPr="00C605D8">
              <w:rPr>
                <w:rFonts w:cs="Arial"/>
                <w:szCs w:val="24"/>
              </w:rPr>
              <w:t xml:space="preserve">V rámci </w:t>
            </w:r>
            <w:r>
              <w:rPr>
                <w:rFonts w:cs="Arial"/>
                <w:szCs w:val="24"/>
              </w:rPr>
              <w:t>individuální práce s uchazeči o </w:t>
            </w:r>
            <w:r w:rsidRPr="00C605D8">
              <w:rPr>
                <w:rFonts w:cs="Arial"/>
                <w:szCs w:val="24"/>
              </w:rPr>
              <w:t xml:space="preserve">zaměstnání </w:t>
            </w:r>
            <w:r>
              <w:rPr>
                <w:rFonts w:cs="Arial"/>
                <w:szCs w:val="24"/>
              </w:rPr>
              <w:t>se nadále zaměřovat</w:t>
            </w:r>
            <w:r w:rsidRPr="00C605D8">
              <w:rPr>
                <w:rFonts w:cs="Arial"/>
                <w:szCs w:val="24"/>
              </w:rPr>
              <w:t xml:space="preserve"> na vydávání konkrétních doporučenek do zaměstnání </w:t>
            </w:r>
            <w:r>
              <w:rPr>
                <w:rFonts w:cs="Arial"/>
                <w:szCs w:val="24"/>
              </w:rPr>
              <w:t>místo</w:t>
            </w:r>
            <w:r w:rsidRPr="00C605D8">
              <w:rPr>
                <w:rFonts w:cs="Arial"/>
                <w:szCs w:val="24"/>
              </w:rPr>
              <w:t xml:space="preserve"> pouhému vydávání informací o volných pracovních místech. Samozřejmě musí jít o kva</w:t>
            </w:r>
            <w:r w:rsidR="00586FAC">
              <w:rPr>
                <w:rFonts w:cs="Arial"/>
                <w:szCs w:val="24"/>
              </w:rPr>
              <w:t>litní výběr vhodných uchazečů o </w:t>
            </w:r>
            <w:r w:rsidRPr="00C605D8">
              <w:rPr>
                <w:rFonts w:cs="Arial"/>
                <w:szCs w:val="24"/>
              </w:rPr>
              <w:t>zaměstnání, doporučovaných na hlášená volná pracovní místa. Zde je důležitá spolupráce ze strany zaměstnavatelů spočívající v pečlivém vyplňování výsledku kontaktu uchazeče o zaměstnání se zaměstnavatelem, zejmé</w:t>
            </w:r>
            <w:r w:rsidR="00586FAC">
              <w:rPr>
                <w:rFonts w:cs="Arial"/>
                <w:szCs w:val="24"/>
              </w:rPr>
              <w:t>na pokud jde o zájem uchazeče o </w:t>
            </w:r>
            <w:r w:rsidRPr="00C605D8">
              <w:rPr>
                <w:rFonts w:cs="Arial"/>
                <w:szCs w:val="24"/>
              </w:rPr>
              <w:t>zaměstnání nastoupit do zprostředkovaného zaměstnání.</w:t>
            </w:r>
          </w:p>
          <w:p w:rsidR="00F838CD" w:rsidRPr="00C605D8" w:rsidRDefault="00F838CD" w:rsidP="00C26633">
            <w:pPr>
              <w:spacing w:after="200"/>
              <w:rPr>
                <w:rFonts w:cs="Arial"/>
                <w:szCs w:val="24"/>
              </w:rPr>
            </w:pPr>
            <w:r w:rsidRPr="00C605D8">
              <w:rPr>
                <w:rFonts w:cs="Arial"/>
                <w:szCs w:val="24"/>
              </w:rPr>
              <w:t>Nedílnou částí zprostředkovatelské činnosti ÚP ČR je spolupráce se zaměstnavateli v oblasti zveřejňování nabídek pracovních příležitostí, genderové rovnosti, pořádání burz práce a aktivní působení na pracovní sílu</w:t>
            </w:r>
            <w:r w:rsidR="00586FAC">
              <w:rPr>
                <w:rFonts w:cs="Arial"/>
                <w:szCs w:val="24"/>
              </w:rPr>
              <w:t xml:space="preserve"> prostřednictvím informačních a </w:t>
            </w:r>
            <w:r w:rsidRPr="00C605D8">
              <w:rPr>
                <w:rFonts w:cs="Arial"/>
                <w:szCs w:val="24"/>
              </w:rPr>
              <w:t xml:space="preserve">poradenských středisek. </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NL</w:t>
            </w:r>
          </w:p>
        </w:tc>
        <w:tc>
          <w:tcPr>
            <w:tcW w:w="1559" w:type="dxa"/>
          </w:tcPr>
          <w:p w:rsidR="00F838CD" w:rsidRPr="00C605D8" w:rsidRDefault="00F838CD" w:rsidP="00C26633">
            <w:pPr>
              <w:spacing w:after="200"/>
              <w:jc w:val="left"/>
              <w:rPr>
                <w:rFonts w:cs="Arial"/>
                <w:szCs w:val="24"/>
              </w:rPr>
            </w:pPr>
            <w:r w:rsidRPr="00C605D8">
              <w:rPr>
                <w:rFonts w:cs="Arial"/>
                <w:szCs w:val="24"/>
              </w:rPr>
              <w:t>průběžně</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3.3</w:t>
            </w:r>
          </w:p>
        </w:tc>
        <w:tc>
          <w:tcPr>
            <w:tcW w:w="2659" w:type="dxa"/>
          </w:tcPr>
          <w:p w:rsidR="00F838CD" w:rsidRPr="00C605D8" w:rsidRDefault="00F838CD" w:rsidP="00C26633">
            <w:pPr>
              <w:spacing w:after="200"/>
              <w:jc w:val="left"/>
              <w:rPr>
                <w:rFonts w:cs="Arial"/>
                <w:szCs w:val="24"/>
              </w:rPr>
            </w:pPr>
            <w:r w:rsidRPr="00C605D8">
              <w:rPr>
                <w:rFonts w:cs="Arial"/>
                <w:szCs w:val="24"/>
              </w:rPr>
              <w:t>Koordinace politiky zaměstnanosti a sociální politiky</w:t>
            </w:r>
          </w:p>
        </w:tc>
        <w:tc>
          <w:tcPr>
            <w:tcW w:w="7371" w:type="dxa"/>
          </w:tcPr>
          <w:p w:rsidR="00F838CD" w:rsidRPr="00C605D8" w:rsidRDefault="00F838CD" w:rsidP="00C26633">
            <w:pPr>
              <w:spacing w:after="200"/>
              <w:rPr>
                <w:rFonts w:cs="Arial"/>
                <w:szCs w:val="24"/>
              </w:rPr>
            </w:pPr>
            <w:r w:rsidRPr="00C605D8">
              <w:rPr>
                <w:rFonts w:cs="Arial"/>
                <w:szCs w:val="24"/>
              </w:rPr>
              <w:t xml:space="preserve">Zvýšit spolupráci v rámci ÚP ČR mezi oblastí zprostředkování zaměstnání a nepojistných sociálních dávek s cílem koordinovat činnost jak na poli politiky zaměstnanosti, tak sociální politiky. Koordinovaně identifikovat </w:t>
            </w:r>
            <w:r w:rsidR="00105D9C">
              <w:rPr>
                <w:rFonts w:cs="Arial"/>
                <w:szCs w:val="24"/>
              </w:rPr>
              <w:t xml:space="preserve">a řešit </w:t>
            </w:r>
            <w:r w:rsidRPr="00C605D8">
              <w:rPr>
                <w:rFonts w:cs="Arial"/>
                <w:szCs w:val="24"/>
              </w:rPr>
              <w:t>možné bariéry při vstupu na trh práce ze strany pracovní síly.</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NL</w:t>
            </w:r>
          </w:p>
        </w:tc>
        <w:tc>
          <w:tcPr>
            <w:tcW w:w="1559" w:type="dxa"/>
          </w:tcPr>
          <w:p w:rsidR="00F838CD" w:rsidRPr="00C605D8" w:rsidRDefault="00F838CD" w:rsidP="00C26633">
            <w:pPr>
              <w:spacing w:after="200"/>
              <w:jc w:val="left"/>
              <w:rPr>
                <w:rFonts w:cs="Arial"/>
                <w:szCs w:val="24"/>
              </w:rPr>
            </w:pPr>
            <w:r w:rsidRPr="00C605D8">
              <w:rPr>
                <w:rFonts w:cs="Arial"/>
                <w:szCs w:val="24"/>
              </w:rPr>
              <w:t>průběžně</w:t>
            </w:r>
          </w:p>
        </w:tc>
      </w:tr>
      <w:tr w:rsidR="002D25C3" w:rsidRPr="00C605D8" w:rsidTr="00F838CD">
        <w:tc>
          <w:tcPr>
            <w:tcW w:w="710" w:type="dxa"/>
          </w:tcPr>
          <w:p w:rsidR="002D25C3" w:rsidRPr="00C605D8" w:rsidRDefault="002D25C3" w:rsidP="00C26633">
            <w:pPr>
              <w:spacing w:after="200"/>
              <w:jc w:val="left"/>
              <w:rPr>
                <w:rFonts w:cs="Arial"/>
                <w:szCs w:val="24"/>
              </w:rPr>
            </w:pPr>
            <w:r>
              <w:rPr>
                <w:rFonts w:cs="Arial"/>
                <w:szCs w:val="24"/>
              </w:rPr>
              <w:t>3.4</w:t>
            </w:r>
          </w:p>
        </w:tc>
        <w:tc>
          <w:tcPr>
            <w:tcW w:w="2659" w:type="dxa"/>
          </w:tcPr>
          <w:p w:rsidR="002D25C3" w:rsidRPr="00C605D8" w:rsidRDefault="002D25C3" w:rsidP="00C26633">
            <w:pPr>
              <w:spacing w:after="200"/>
              <w:jc w:val="left"/>
              <w:rPr>
                <w:rFonts w:cs="Arial"/>
                <w:szCs w:val="24"/>
              </w:rPr>
            </w:pPr>
            <w:r>
              <w:rPr>
                <w:rFonts w:cs="Arial"/>
                <w:szCs w:val="24"/>
              </w:rPr>
              <w:t>Potírání diskriminace na trhu práce a nelegálního zaměstnávání</w:t>
            </w:r>
          </w:p>
        </w:tc>
        <w:tc>
          <w:tcPr>
            <w:tcW w:w="7371" w:type="dxa"/>
          </w:tcPr>
          <w:p w:rsidR="002D25C3" w:rsidRPr="00C605D8" w:rsidRDefault="002D25C3" w:rsidP="00C26633">
            <w:pPr>
              <w:spacing w:after="200"/>
              <w:rPr>
                <w:rFonts w:cs="Arial"/>
                <w:szCs w:val="24"/>
              </w:rPr>
            </w:pPr>
            <w:r>
              <w:rPr>
                <w:rFonts w:cs="Arial"/>
                <w:szCs w:val="24"/>
              </w:rPr>
              <w:t>Zintenzivnění činnosti SUIP v oblasti kontroly nelegální práce a potírání diskriminace na trhu práce</w:t>
            </w:r>
          </w:p>
        </w:tc>
        <w:tc>
          <w:tcPr>
            <w:tcW w:w="954" w:type="dxa"/>
          </w:tcPr>
          <w:p w:rsidR="002D25C3" w:rsidRPr="00C605D8" w:rsidRDefault="002D25C3" w:rsidP="00C26633">
            <w:pPr>
              <w:spacing w:after="200"/>
              <w:jc w:val="left"/>
              <w:rPr>
                <w:rFonts w:cs="Arial"/>
                <w:szCs w:val="24"/>
              </w:rPr>
            </w:pPr>
            <w:r>
              <w:rPr>
                <w:rFonts w:cs="Arial"/>
                <w:szCs w:val="24"/>
              </w:rPr>
              <w:t>MPSV</w:t>
            </w:r>
          </w:p>
        </w:tc>
        <w:tc>
          <w:tcPr>
            <w:tcW w:w="747" w:type="dxa"/>
          </w:tcPr>
          <w:p w:rsidR="002D25C3" w:rsidRPr="00C605D8" w:rsidRDefault="002D25C3" w:rsidP="00C26633">
            <w:pPr>
              <w:spacing w:after="200"/>
              <w:jc w:val="left"/>
              <w:rPr>
                <w:rFonts w:cs="Arial"/>
                <w:szCs w:val="24"/>
              </w:rPr>
            </w:pPr>
            <w:r>
              <w:rPr>
                <w:rFonts w:cs="Arial"/>
                <w:szCs w:val="24"/>
              </w:rPr>
              <w:t>NL</w:t>
            </w:r>
          </w:p>
        </w:tc>
        <w:tc>
          <w:tcPr>
            <w:tcW w:w="1559" w:type="dxa"/>
          </w:tcPr>
          <w:p w:rsidR="002D25C3" w:rsidRPr="00C605D8" w:rsidRDefault="002D25C3" w:rsidP="00C26633">
            <w:pPr>
              <w:spacing w:after="200"/>
              <w:jc w:val="left"/>
              <w:rPr>
                <w:rFonts w:cs="Arial"/>
                <w:szCs w:val="24"/>
              </w:rPr>
            </w:pPr>
            <w:r>
              <w:rPr>
                <w:rFonts w:cs="Arial"/>
                <w:szCs w:val="24"/>
              </w:rPr>
              <w:t>průběžně</w:t>
            </w:r>
          </w:p>
        </w:tc>
      </w:tr>
      <w:tr w:rsidR="00F838CD" w:rsidRPr="00C605D8" w:rsidTr="00F838CD">
        <w:tc>
          <w:tcPr>
            <w:tcW w:w="14000" w:type="dxa"/>
            <w:gridSpan w:val="6"/>
          </w:tcPr>
          <w:p w:rsidR="00F838CD" w:rsidRPr="00C605D8" w:rsidRDefault="00F838CD" w:rsidP="00C26633">
            <w:pPr>
              <w:spacing w:after="200"/>
              <w:jc w:val="left"/>
              <w:rPr>
                <w:rFonts w:cs="Arial"/>
                <w:b/>
                <w:szCs w:val="24"/>
              </w:rPr>
            </w:pPr>
            <w:r w:rsidRPr="00C605D8">
              <w:rPr>
                <w:rFonts w:cs="Arial"/>
                <w:b/>
                <w:szCs w:val="24"/>
              </w:rPr>
              <w:t>Skupina 4: zvýšení kvalifikačního souladu na trhu práce</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4.1</w:t>
            </w:r>
          </w:p>
        </w:tc>
        <w:tc>
          <w:tcPr>
            <w:tcW w:w="2659" w:type="dxa"/>
          </w:tcPr>
          <w:p w:rsidR="00F838CD" w:rsidRPr="00C605D8" w:rsidRDefault="00F838CD" w:rsidP="00C26633">
            <w:pPr>
              <w:spacing w:after="200"/>
              <w:jc w:val="left"/>
              <w:rPr>
                <w:rFonts w:cs="Arial"/>
                <w:szCs w:val="24"/>
              </w:rPr>
            </w:pPr>
            <w:r w:rsidRPr="00C605D8">
              <w:rPr>
                <w:rFonts w:cs="Arial"/>
                <w:szCs w:val="24"/>
              </w:rPr>
              <w:t>Kariérové poradenství</w:t>
            </w:r>
          </w:p>
        </w:tc>
        <w:tc>
          <w:tcPr>
            <w:tcW w:w="7371" w:type="dxa"/>
          </w:tcPr>
          <w:p w:rsidR="00F838CD" w:rsidRPr="00C605D8" w:rsidRDefault="00F838CD" w:rsidP="00C26633">
            <w:pPr>
              <w:spacing w:after="200"/>
              <w:rPr>
                <w:rFonts w:cs="Arial"/>
                <w:szCs w:val="24"/>
              </w:rPr>
            </w:pPr>
            <w:r w:rsidRPr="00C605D8">
              <w:rPr>
                <w:rFonts w:cs="Arial"/>
                <w:szCs w:val="24"/>
              </w:rPr>
              <w:t>V rámci individualizované práce s klienty ÚP ČR budou</w:t>
            </w:r>
            <w:r>
              <w:rPr>
                <w:rFonts w:cs="Arial"/>
                <w:szCs w:val="24"/>
              </w:rPr>
              <w:t xml:space="preserve"> posíleny útvary informačních a </w:t>
            </w:r>
            <w:r w:rsidRPr="00C605D8">
              <w:rPr>
                <w:rFonts w:cs="Arial"/>
                <w:szCs w:val="24"/>
              </w:rPr>
              <w:t>poradenských středisek s cílem zintenzivnit činnost ÚP ČR v ob</w:t>
            </w:r>
            <w:r>
              <w:rPr>
                <w:rFonts w:cs="Arial"/>
                <w:szCs w:val="24"/>
              </w:rPr>
              <w:t>lasti kariérového poradenství a </w:t>
            </w:r>
            <w:r w:rsidRPr="00C605D8">
              <w:rPr>
                <w:rFonts w:cs="Arial"/>
                <w:szCs w:val="24"/>
              </w:rPr>
              <w:t>poradenství k volbě povolání s cílem směřovat volnou (a potenciální) pracovní sílu do těch oblastí národního hospodářství, kde je citelný nedostatek vhodné a kvalifikované pracovní síly</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NL</w:t>
            </w:r>
          </w:p>
        </w:tc>
        <w:tc>
          <w:tcPr>
            <w:tcW w:w="1559" w:type="dxa"/>
          </w:tcPr>
          <w:p w:rsidR="00F838CD" w:rsidRPr="00C605D8" w:rsidRDefault="00F838CD" w:rsidP="00C26633">
            <w:pPr>
              <w:spacing w:after="200"/>
              <w:jc w:val="left"/>
              <w:rPr>
                <w:rFonts w:cs="Arial"/>
                <w:szCs w:val="24"/>
              </w:rPr>
            </w:pPr>
            <w:r w:rsidRPr="00C605D8">
              <w:rPr>
                <w:rFonts w:cs="Arial"/>
                <w:szCs w:val="24"/>
              </w:rPr>
              <w:t>průběžně</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4.2</w:t>
            </w:r>
          </w:p>
        </w:tc>
        <w:tc>
          <w:tcPr>
            <w:tcW w:w="2659" w:type="dxa"/>
          </w:tcPr>
          <w:p w:rsidR="00F838CD" w:rsidRPr="00C605D8" w:rsidRDefault="00F838CD" w:rsidP="00C26633">
            <w:pPr>
              <w:spacing w:after="200"/>
              <w:jc w:val="left"/>
              <w:rPr>
                <w:rFonts w:cs="Arial"/>
                <w:szCs w:val="24"/>
              </w:rPr>
            </w:pPr>
            <w:r w:rsidRPr="00C605D8">
              <w:rPr>
                <w:rFonts w:cs="Arial"/>
                <w:szCs w:val="24"/>
              </w:rPr>
              <w:t>Rekvalifikace</w:t>
            </w:r>
          </w:p>
        </w:tc>
        <w:tc>
          <w:tcPr>
            <w:tcW w:w="7371" w:type="dxa"/>
          </w:tcPr>
          <w:p w:rsidR="00F838CD" w:rsidRPr="00C605D8" w:rsidRDefault="00F838CD" w:rsidP="00105D9C">
            <w:pPr>
              <w:spacing w:after="200"/>
              <w:rPr>
                <w:rFonts w:cs="Arial"/>
                <w:szCs w:val="24"/>
              </w:rPr>
            </w:pPr>
            <w:r w:rsidRPr="00C605D8">
              <w:rPr>
                <w:rFonts w:cs="Arial"/>
                <w:iCs/>
                <w:szCs w:val="24"/>
              </w:rPr>
              <w:t xml:space="preserve">Pro odstranění disproporcí </w:t>
            </w:r>
            <w:r w:rsidR="00586FAC">
              <w:rPr>
                <w:rFonts w:cs="Arial"/>
                <w:iCs/>
                <w:szCs w:val="24"/>
              </w:rPr>
              <w:t>v profesním rozložení nabídky a </w:t>
            </w:r>
            <w:r w:rsidRPr="00C605D8">
              <w:rPr>
                <w:rFonts w:cs="Arial"/>
                <w:iCs/>
                <w:szCs w:val="24"/>
              </w:rPr>
              <w:t>poptávky bude prováděn</w:t>
            </w:r>
            <w:r w:rsidRPr="00C605D8">
              <w:rPr>
                <w:rFonts w:cs="Arial"/>
                <w:i/>
                <w:iCs/>
                <w:szCs w:val="24"/>
              </w:rPr>
              <w:t xml:space="preserve"> </w:t>
            </w:r>
            <w:r w:rsidRPr="00C605D8">
              <w:rPr>
                <w:rFonts w:cs="Arial"/>
                <w:szCs w:val="24"/>
              </w:rPr>
              <w:t xml:space="preserve">efektivní průzkum požadavků zaměstnavatelů tak, aby rekvalifikační kurzy byly schopny v dostatečném předstihu připravit pracovní sílu. MPSV provede vyhodnocení efektivity nastavení rekvalifikačních kurzů a vypracuje návrhy směřující ke zvýšení flexibility a efektivity tohoto </w:t>
            </w:r>
            <w:r w:rsidR="00105D9C">
              <w:rPr>
                <w:rFonts w:cs="Arial"/>
                <w:szCs w:val="24"/>
              </w:rPr>
              <w:t>nástroje APZ</w:t>
            </w:r>
            <w:r w:rsidRPr="00C605D8">
              <w:rPr>
                <w:rFonts w:cs="Arial"/>
                <w:szCs w:val="24"/>
              </w:rPr>
              <w:t>.</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NL</w:t>
            </w:r>
          </w:p>
        </w:tc>
        <w:tc>
          <w:tcPr>
            <w:tcW w:w="1559" w:type="dxa"/>
          </w:tcPr>
          <w:p w:rsidR="00F838CD" w:rsidRPr="00C605D8" w:rsidRDefault="00F838CD" w:rsidP="00C26633">
            <w:pPr>
              <w:spacing w:after="200"/>
              <w:jc w:val="left"/>
              <w:rPr>
                <w:rFonts w:cs="Arial"/>
                <w:szCs w:val="24"/>
              </w:rPr>
            </w:pPr>
            <w:r w:rsidRPr="00C605D8">
              <w:rPr>
                <w:rFonts w:cs="Arial"/>
                <w:szCs w:val="24"/>
              </w:rPr>
              <w:t>2016</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4.3</w:t>
            </w:r>
          </w:p>
        </w:tc>
        <w:tc>
          <w:tcPr>
            <w:tcW w:w="2659" w:type="dxa"/>
          </w:tcPr>
          <w:p w:rsidR="00F838CD" w:rsidRPr="00C605D8" w:rsidRDefault="00F838CD" w:rsidP="00C26633">
            <w:pPr>
              <w:spacing w:after="200"/>
              <w:jc w:val="left"/>
              <w:rPr>
                <w:rFonts w:cs="Arial"/>
                <w:szCs w:val="24"/>
              </w:rPr>
            </w:pPr>
            <w:r w:rsidRPr="00C605D8">
              <w:rPr>
                <w:rFonts w:cs="Arial"/>
                <w:szCs w:val="24"/>
              </w:rPr>
              <w:t>Predikce trhu práce</w:t>
            </w:r>
          </w:p>
        </w:tc>
        <w:tc>
          <w:tcPr>
            <w:tcW w:w="7371" w:type="dxa"/>
          </w:tcPr>
          <w:p w:rsidR="00F838CD" w:rsidRPr="00C605D8" w:rsidRDefault="00F838CD" w:rsidP="00C26633">
            <w:pPr>
              <w:spacing w:after="200"/>
              <w:rPr>
                <w:rFonts w:cs="Arial"/>
                <w:szCs w:val="24"/>
              </w:rPr>
            </w:pPr>
            <w:r w:rsidRPr="00C605D8">
              <w:rPr>
                <w:rFonts w:cs="Arial"/>
                <w:szCs w:val="24"/>
              </w:rPr>
              <w:t>MPSV vytvoří systém predikcí vývoje trhu práce, tak aby bylo možné v dostatečném předstihu</w:t>
            </w:r>
            <w:r w:rsidR="00586FAC">
              <w:rPr>
                <w:rFonts w:cs="Arial"/>
                <w:szCs w:val="24"/>
              </w:rPr>
              <w:t xml:space="preserve"> reagovat na vývoj trhu práce a </w:t>
            </w:r>
            <w:r w:rsidRPr="00C605D8">
              <w:rPr>
                <w:rFonts w:cs="Arial"/>
                <w:szCs w:val="24"/>
              </w:rPr>
              <w:t>zabezpečit tak dostatek pracovní síly ve vhodné kvalifikační struktuře</w:t>
            </w:r>
            <w:r w:rsidR="006175EA">
              <w:rPr>
                <w:rFonts w:cs="Arial"/>
                <w:szCs w:val="24"/>
              </w:rPr>
              <w:t xml:space="preserve"> a její připravenost ke vstupu na trh práce</w:t>
            </w:r>
            <w:r w:rsidRPr="00C605D8">
              <w:rPr>
                <w:rFonts w:cs="Arial"/>
                <w:szCs w:val="24"/>
              </w:rPr>
              <w:t>.</w:t>
            </w:r>
            <w:r>
              <w:rPr>
                <w:rFonts w:cs="Arial"/>
                <w:szCs w:val="24"/>
              </w:rPr>
              <w:t xml:space="preserve"> Využito bude již realizovaných kroků (projekt PŘEKVAP)</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NL</w:t>
            </w:r>
          </w:p>
        </w:tc>
        <w:tc>
          <w:tcPr>
            <w:tcW w:w="1559" w:type="dxa"/>
          </w:tcPr>
          <w:p w:rsidR="00F838CD" w:rsidRPr="00C605D8" w:rsidRDefault="00F838CD" w:rsidP="00C26633">
            <w:pPr>
              <w:spacing w:after="200"/>
              <w:jc w:val="left"/>
              <w:rPr>
                <w:rFonts w:cs="Arial"/>
                <w:szCs w:val="24"/>
              </w:rPr>
            </w:pPr>
            <w:r w:rsidRPr="00C605D8">
              <w:rPr>
                <w:rFonts w:cs="Arial"/>
                <w:szCs w:val="24"/>
              </w:rPr>
              <w:t>2016</w:t>
            </w:r>
          </w:p>
        </w:tc>
      </w:tr>
      <w:tr w:rsidR="00F838CD" w:rsidRPr="00C605D8" w:rsidTr="00F838CD">
        <w:tc>
          <w:tcPr>
            <w:tcW w:w="710" w:type="dxa"/>
          </w:tcPr>
          <w:p w:rsidR="00F838CD" w:rsidRPr="00C605D8" w:rsidRDefault="00F838CD" w:rsidP="00C26633">
            <w:pPr>
              <w:spacing w:after="200"/>
              <w:jc w:val="left"/>
              <w:rPr>
                <w:rFonts w:cs="Arial"/>
                <w:szCs w:val="24"/>
              </w:rPr>
            </w:pPr>
            <w:r w:rsidRPr="00C605D8">
              <w:rPr>
                <w:rFonts w:cs="Arial"/>
                <w:szCs w:val="24"/>
              </w:rPr>
              <w:t>4.4</w:t>
            </w:r>
          </w:p>
        </w:tc>
        <w:tc>
          <w:tcPr>
            <w:tcW w:w="2659" w:type="dxa"/>
          </w:tcPr>
          <w:p w:rsidR="00F838CD" w:rsidRPr="00C605D8" w:rsidRDefault="00F838CD" w:rsidP="00C26633">
            <w:pPr>
              <w:spacing w:after="200"/>
              <w:jc w:val="left"/>
              <w:rPr>
                <w:rFonts w:cs="Arial"/>
                <w:szCs w:val="24"/>
              </w:rPr>
            </w:pPr>
            <w:r w:rsidRPr="00C605D8">
              <w:rPr>
                <w:rFonts w:cs="Arial"/>
                <w:szCs w:val="24"/>
              </w:rPr>
              <w:t>Spolupráce na trhu práce</w:t>
            </w:r>
          </w:p>
        </w:tc>
        <w:tc>
          <w:tcPr>
            <w:tcW w:w="7371" w:type="dxa"/>
          </w:tcPr>
          <w:p w:rsidR="00F838CD" w:rsidRPr="00C605D8" w:rsidRDefault="00F838CD" w:rsidP="00C26633">
            <w:pPr>
              <w:spacing w:after="200"/>
              <w:rPr>
                <w:rFonts w:cs="Arial"/>
                <w:szCs w:val="24"/>
              </w:rPr>
            </w:pPr>
            <w:r w:rsidRPr="00C605D8">
              <w:rPr>
                <w:rFonts w:cs="Arial"/>
                <w:szCs w:val="24"/>
              </w:rPr>
              <w:t>Spolupráce všech zúčastněných aktérů trhu práce (státní správy, zaměstnavatel</w:t>
            </w:r>
            <w:r>
              <w:rPr>
                <w:rFonts w:cs="Arial"/>
                <w:szCs w:val="24"/>
              </w:rPr>
              <w:t>ů</w:t>
            </w:r>
            <w:r w:rsidRPr="00C605D8">
              <w:rPr>
                <w:rFonts w:cs="Arial"/>
                <w:szCs w:val="24"/>
              </w:rPr>
              <w:t>, samosprávy, zástupc</w:t>
            </w:r>
            <w:r>
              <w:rPr>
                <w:rFonts w:cs="Arial"/>
                <w:szCs w:val="24"/>
              </w:rPr>
              <w:t>ů</w:t>
            </w:r>
            <w:r w:rsidRPr="00C605D8">
              <w:rPr>
                <w:rFonts w:cs="Arial"/>
                <w:szCs w:val="24"/>
              </w:rPr>
              <w:t xml:space="preserve"> zaměstnanců, vzdělávací</w:t>
            </w:r>
            <w:r>
              <w:rPr>
                <w:rFonts w:cs="Arial"/>
                <w:szCs w:val="24"/>
              </w:rPr>
              <w:t>ch</w:t>
            </w:r>
            <w:r w:rsidRPr="00C605D8">
              <w:rPr>
                <w:rFonts w:cs="Arial"/>
                <w:szCs w:val="24"/>
              </w:rPr>
              <w:t xml:space="preserve"> instituc</w:t>
            </w:r>
            <w:r>
              <w:rPr>
                <w:rFonts w:cs="Arial"/>
                <w:szCs w:val="24"/>
              </w:rPr>
              <w:t>í, nestátních neziskových organizací a dalších aktérů ovlivňujících trh práce</w:t>
            </w:r>
            <w:r w:rsidRPr="00C605D8">
              <w:rPr>
                <w:rFonts w:cs="Arial"/>
                <w:szCs w:val="24"/>
              </w:rPr>
              <w:t>) je zcela nezbytným předpokladem k realizaci významné části výše uvedených opatření.</w:t>
            </w:r>
          </w:p>
          <w:p w:rsidR="00F838CD" w:rsidRPr="00C605D8" w:rsidRDefault="00F838CD" w:rsidP="00C26633">
            <w:pPr>
              <w:spacing w:after="200"/>
              <w:rPr>
                <w:rFonts w:cs="Arial"/>
                <w:szCs w:val="24"/>
              </w:rPr>
            </w:pPr>
            <w:r w:rsidRPr="00C605D8">
              <w:rPr>
                <w:rFonts w:cs="Arial"/>
                <w:szCs w:val="24"/>
              </w:rPr>
              <w:t>Ze strany státní správy bude zaměstnavatelům poskytnuta maximální možn</w:t>
            </w:r>
            <w:r>
              <w:rPr>
                <w:rFonts w:cs="Arial"/>
                <w:szCs w:val="24"/>
              </w:rPr>
              <w:t>á</w:t>
            </w:r>
            <w:r w:rsidRPr="00C605D8">
              <w:rPr>
                <w:rFonts w:cs="Arial"/>
                <w:szCs w:val="24"/>
              </w:rPr>
              <w:t xml:space="preserve"> podpora při podpoře zaměstnanosti a kvalifikace pracovní síly, zejména </w:t>
            </w:r>
            <w:r>
              <w:rPr>
                <w:rFonts w:cs="Arial"/>
                <w:szCs w:val="24"/>
              </w:rPr>
              <w:t> ve prospěch</w:t>
            </w:r>
            <w:r w:rsidRPr="00C605D8">
              <w:rPr>
                <w:rFonts w:cs="Arial"/>
                <w:szCs w:val="24"/>
              </w:rPr>
              <w:t xml:space="preserve"> znevýhodněných skupin osob.</w:t>
            </w:r>
          </w:p>
          <w:p w:rsidR="00F838CD" w:rsidRPr="00C605D8" w:rsidRDefault="00F838CD">
            <w:pPr>
              <w:spacing w:after="200"/>
              <w:rPr>
                <w:rFonts w:cs="Arial"/>
                <w:szCs w:val="24"/>
              </w:rPr>
            </w:pPr>
            <w:r w:rsidRPr="00C605D8">
              <w:rPr>
                <w:rFonts w:cs="Arial"/>
                <w:szCs w:val="24"/>
              </w:rPr>
              <w:t>Primární platformou pro posilování spolupráce na trhu práce, zejména v oblasti realizace politiky zaměstnanosti, jsou poradní sbory zřizované Úřadem práce ČR podle zákona o zaměstnanosti.</w:t>
            </w:r>
          </w:p>
        </w:tc>
        <w:tc>
          <w:tcPr>
            <w:tcW w:w="954" w:type="dxa"/>
          </w:tcPr>
          <w:p w:rsidR="00F838CD" w:rsidRPr="00C605D8" w:rsidRDefault="00F838CD" w:rsidP="00C26633">
            <w:pPr>
              <w:spacing w:after="200"/>
              <w:jc w:val="left"/>
              <w:rPr>
                <w:rFonts w:cs="Arial"/>
                <w:szCs w:val="24"/>
              </w:rPr>
            </w:pPr>
            <w:r w:rsidRPr="00C605D8">
              <w:rPr>
                <w:rFonts w:cs="Arial"/>
                <w:szCs w:val="24"/>
              </w:rPr>
              <w:t>MPSV</w:t>
            </w:r>
          </w:p>
        </w:tc>
        <w:tc>
          <w:tcPr>
            <w:tcW w:w="747" w:type="dxa"/>
          </w:tcPr>
          <w:p w:rsidR="00F838CD" w:rsidRPr="00C605D8" w:rsidRDefault="00F838CD" w:rsidP="00C26633">
            <w:pPr>
              <w:spacing w:after="200"/>
              <w:jc w:val="left"/>
              <w:rPr>
                <w:rFonts w:cs="Arial"/>
                <w:szCs w:val="24"/>
              </w:rPr>
            </w:pPr>
            <w:r w:rsidRPr="00C605D8">
              <w:rPr>
                <w:rFonts w:cs="Arial"/>
                <w:szCs w:val="24"/>
              </w:rPr>
              <w:t>NL</w:t>
            </w:r>
          </w:p>
        </w:tc>
        <w:tc>
          <w:tcPr>
            <w:tcW w:w="1559" w:type="dxa"/>
          </w:tcPr>
          <w:p w:rsidR="00F838CD" w:rsidRPr="00C605D8" w:rsidRDefault="00F838CD" w:rsidP="00C26633">
            <w:pPr>
              <w:spacing w:after="200"/>
              <w:jc w:val="left"/>
              <w:rPr>
                <w:rFonts w:cs="Arial"/>
                <w:szCs w:val="24"/>
              </w:rPr>
            </w:pPr>
            <w:r w:rsidRPr="00C605D8">
              <w:rPr>
                <w:rFonts w:cs="Arial"/>
                <w:szCs w:val="24"/>
              </w:rPr>
              <w:t>průběžně</w:t>
            </w:r>
          </w:p>
        </w:tc>
      </w:tr>
    </w:tbl>
    <w:p w:rsidR="00F838CD" w:rsidRDefault="00F838CD" w:rsidP="00696DB7">
      <w:pPr>
        <w:spacing w:after="200" w:line="240" w:lineRule="auto"/>
        <w:rPr>
          <w:rFonts w:cs="Arial"/>
          <w:b/>
        </w:rPr>
      </w:pPr>
    </w:p>
    <w:p w:rsidR="00280EA8" w:rsidRDefault="00280EA8" w:rsidP="00696DB7">
      <w:pPr>
        <w:spacing w:after="200" w:line="240" w:lineRule="auto"/>
        <w:rPr>
          <w:rFonts w:cs="Arial"/>
          <w:b/>
        </w:rPr>
        <w:sectPr w:rsidR="00280EA8" w:rsidSect="00F838CD">
          <w:pgSz w:w="16838" w:h="11906" w:orient="landscape"/>
          <w:pgMar w:top="1417" w:right="1417" w:bottom="1417" w:left="1417" w:header="708" w:footer="708" w:gutter="0"/>
          <w:cols w:space="708"/>
          <w:docGrid w:linePitch="360"/>
        </w:sectPr>
      </w:pPr>
    </w:p>
    <w:p w:rsidR="00280EA8" w:rsidRDefault="00280EA8" w:rsidP="00280EA8">
      <w:pPr>
        <w:jc w:val="center"/>
      </w:pPr>
      <w:r>
        <w:rPr>
          <w:noProof/>
          <w:lang w:eastAsia="cs-CZ"/>
        </w:rPr>
        <w:drawing>
          <wp:inline distT="0" distB="0" distL="0" distR="0" wp14:anchorId="1845A6B3" wp14:editId="4318E36A">
            <wp:extent cx="1009650" cy="971550"/>
            <wp:effectExtent l="0" t="0" r="0" b="0"/>
            <wp:docPr id="513" name="Obrázek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9650" cy="971550"/>
                    </a:xfrm>
                    <a:prstGeom prst="rect">
                      <a:avLst/>
                    </a:prstGeom>
                    <a:noFill/>
                    <a:ln>
                      <a:noFill/>
                    </a:ln>
                  </pic:spPr>
                </pic:pic>
              </a:graphicData>
            </a:graphic>
          </wp:inline>
        </w:drawing>
      </w:r>
    </w:p>
    <w:p w:rsidR="00280EA8" w:rsidRDefault="00280EA8" w:rsidP="00280EA8">
      <w:pPr>
        <w:jc w:val="center"/>
      </w:pPr>
    </w:p>
    <w:p w:rsidR="00280EA8" w:rsidRDefault="00280EA8" w:rsidP="00280EA8">
      <w:pPr>
        <w:jc w:val="center"/>
      </w:pPr>
    </w:p>
    <w:p w:rsidR="00280EA8" w:rsidRDefault="00280EA8" w:rsidP="00280EA8">
      <w:pPr>
        <w:jc w:val="center"/>
      </w:pPr>
    </w:p>
    <w:p w:rsidR="00280EA8" w:rsidRPr="006C25CB" w:rsidRDefault="00280EA8" w:rsidP="00280EA8">
      <w:pPr>
        <w:spacing w:line="240" w:lineRule="auto"/>
        <w:jc w:val="center"/>
        <w:rPr>
          <w:caps/>
          <w:spacing w:val="60"/>
        </w:rPr>
      </w:pPr>
      <w:r w:rsidRPr="006C25CB">
        <w:rPr>
          <w:caps/>
          <w:spacing w:val="60"/>
        </w:rPr>
        <w:t>Ministerstvo práce a sociálních věcí</w:t>
      </w:r>
    </w:p>
    <w:p w:rsidR="00280EA8" w:rsidRDefault="00280EA8" w:rsidP="00280EA8">
      <w:pPr>
        <w:tabs>
          <w:tab w:val="left" w:pos="1134"/>
          <w:tab w:val="center" w:pos="4536"/>
          <w:tab w:val="right" w:pos="9072"/>
        </w:tabs>
        <w:spacing w:line="240" w:lineRule="auto"/>
        <w:jc w:val="center"/>
      </w:pPr>
      <w:r w:rsidRPr="006C25CB">
        <w:rPr>
          <w:noProof/>
          <w:lang w:eastAsia="cs-CZ"/>
        </w:rPr>
        <mc:AlternateContent>
          <mc:Choice Requires="wps">
            <w:drawing>
              <wp:anchor distT="0" distB="0" distL="114300" distR="114300" simplePos="0" relativeHeight="251685888" behindDoc="0" locked="0" layoutInCell="0" allowOverlap="1" wp14:anchorId="2CD930CD" wp14:editId="2331F367">
                <wp:simplePos x="0" y="0"/>
                <wp:positionH relativeFrom="column">
                  <wp:posOffset>992505</wp:posOffset>
                </wp:positionH>
                <wp:positionV relativeFrom="paragraph">
                  <wp:posOffset>102235</wp:posOffset>
                </wp:positionV>
                <wp:extent cx="5054600" cy="0"/>
                <wp:effectExtent l="0" t="0" r="0" b="0"/>
                <wp:wrapNone/>
                <wp:docPr id="512" name="Přímá spojnic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Přímá spojnice 512"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15pt,8.05pt" to="476.1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" o:allowincell="f"/>
            </w:pict>
          </mc:Fallback>
        </mc:AlternateContent>
      </w:r>
    </w:p>
    <w:p w:rsidR="00280EA8" w:rsidRDefault="00280EA8" w:rsidP="00280EA8"/>
    <w:p w:rsidR="00280EA8" w:rsidRDefault="00280EA8" w:rsidP="00280EA8"/>
    <w:p w:rsidR="00280EA8" w:rsidRDefault="00280EA8" w:rsidP="00280EA8"/>
    <w:p w:rsidR="00280EA8" w:rsidRPr="00B333BD" w:rsidRDefault="00280EA8" w:rsidP="00280EA8"/>
    <w:p w:rsidR="00280EA8" w:rsidRPr="00B333BD" w:rsidRDefault="00280EA8" w:rsidP="00280EA8">
      <w:pPr>
        <w:jc w:val="center"/>
        <w:rPr>
          <w:b/>
          <w:sz w:val="36"/>
        </w:rPr>
      </w:pPr>
      <w:r>
        <w:rPr>
          <w:b/>
          <w:sz w:val="36"/>
        </w:rPr>
        <w:t>ANALÝZA NABÍDKY A POPTÁVKY NA TRHU PRÁCE</w:t>
      </w:r>
    </w:p>
    <w:p w:rsidR="00280EA8" w:rsidRDefault="00280EA8" w:rsidP="00280EA8">
      <w:pPr>
        <w:jc w:val="center"/>
        <w:rPr>
          <w:b/>
          <w:sz w:val="36"/>
        </w:rPr>
      </w:pPr>
    </w:p>
    <w:p w:rsidR="00280EA8" w:rsidRDefault="00280EA8" w:rsidP="00280EA8">
      <w:pPr>
        <w:jc w:val="center"/>
        <w:rPr>
          <w:b/>
          <w:sz w:val="36"/>
        </w:rPr>
      </w:pPr>
    </w:p>
    <w:p w:rsidR="00280EA8" w:rsidRDefault="00280EA8" w:rsidP="00280EA8">
      <w:pPr>
        <w:jc w:val="center"/>
        <w:rPr>
          <w:b/>
          <w:sz w:val="36"/>
        </w:rPr>
      </w:pPr>
      <w:r>
        <w:rPr>
          <w:b/>
          <w:sz w:val="36"/>
        </w:rPr>
        <w:t>Část B</w:t>
      </w:r>
    </w:p>
    <w:p w:rsidR="00280EA8" w:rsidRPr="00B333BD" w:rsidRDefault="00280EA8" w:rsidP="00280EA8">
      <w:pPr>
        <w:jc w:val="center"/>
        <w:rPr>
          <w:b/>
          <w:sz w:val="36"/>
        </w:rPr>
      </w:pPr>
      <w:r>
        <w:rPr>
          <w:b/>
          <w:sz w:val="36"/>
        </w:rPr>
        <w:t>Vyhodnocení Aktivizačních opatření k řešení nepříznivé situace na trhu práce, 3. čtvrtletí 2016 (závěrečná zpráva)</w:t>
      </w:r>
    </w:p>
    <w:p w:rsidR="00280EA8" w:rsidRPr="00B333BD" w:rsidRDefault="00280EA8" w:rsidP="00280EA8">
      <w:pPr>
        <w:jc w:val="center"/>
        <w:rPr>
          <w:b/>
          <w:sz w:val="36"/>
        </w:rPr>
      </w:pPr>
    </w:p>
    <w:p w:rsidR="00280EA8" w:rsidRPr="00B333BD" w:rsidRDefault="00280EA8" w:rsidP="00280EA8">
      <w:pPr>
        <w:jc w:val="center"/>
        <w:rPr>
          <w:b/>
          <w:sz w:val="36"/>
        </w:rPr>
      </w:pPr>
    </w:p>
    <w:p w:rsidR="00280EA8" w:rsidRDefault="00280EA8" w:rsidP="00280EA8">
      <w:pPr>
        <w:jc w:val="center"/>
        <w:rPr>
          <w:b/>
          <w:sz w:val="36"/>
        </w:rPr>
      </w:pPr>
      <w:r>
        <w:rPr>
          <w:b/>
          <w:sz w:val="36"/>
        </w:rPr>
        <w:t>říjen</w:t>
      </w:r>
      <w:r w:rsidRPr="00B333BD">
        <w:rPr>
          <w:b/>
          <w:sz w:val="36"/>
        </w:rPr>
        <w:t xml:space="preserve"> 2016</w:t>
      </w:r>
    </w:p>
    <w:p w:rsidR="00280EA8" w:rsidRDefault="00280EA8">
      <w:pPr>
        <w:spacing w:after="200"/>
        <w:jc w:val="left"/>
        <w:rPr>
          <w:b/>
          <w:sz w:val="36"/>
        </w:rPr>
      </w:pPr>
      <w:r>
        <w:rPr>
          <w:b/>
          <w:sz w:val="36"/>
        </w:rPr>
        <w:br w:type="page"/>
      </w:r>
    </w:p>
    <w:p w:rsidR="005B254A" w:rsidRDefault="005B254A">
      <w:pPr>
        <w:spacing w:after="200"/>
        <w:jc w:val="left"/>
        <w:sectPr w:rsidR="005B254A" w:rsidSect="00644621">
          <w:headerReference w:type="default" r:id="rId40"/>
          <w:footerReference w:type="default" r:id="rId41"/>
          <w:headerReference w:type="first" r:id="rId42"/>
          <w:pgSz w:w="11906" w:h="16838"/>
          <w:pgMar w:top="1417" w:right="1417" w:bottom="1417" w:left="1417" w:header="708" w:footer="708" w:gutter="0"/>
          <w:pgNumType w:start="0"/>
          <w:cols w:space="708"/>
          <w:titlePg/>
          <w:docGrid w:linePitch="360"/>
        </w:sectPr>
      </w:pPr>
      <w:bookmarkStart w:id="54" w:name="_Toc465674368"/>
      <w:bookmarkStart w:id="55" w:name="_Toc465674788"/>
      <w:r>
        <w:br w:type="page"/>
      </w:r>
    </w:p>
    <w:p w:rsidR="005B254A" w:rsidRDefault="005B254A">
      <w:pPr>
        <w:spacing w:after="200"/>
        <w:jc w:val="left"/>
        <w:rPr>
          <w:rFonts w:eastAsiaTheme="majorEastAsia" w:cstheme="majorBidi"/>
          <w:b/>
          <w:bCs/>
          <w:sz w:val="28"/>
          <w:szCs w:val="28"/>
          <w:u w:val="single"/>
        </w:rPr>
      </w:pPr>
      <w:bookmarkStart w:id="56" w:name="_GoBack"/>
      <w:bookmarkEnd w:id="56"/>
    </w:p>
    <w:p w:rsidR="00280EA8" w:rsidRDefault="00280EA8" w:rsidP="001F4C42">
      <w:pPr>
        <w:pStyle w:val="Nadpis1"/>
        <w:numPr>
          <w:ilvl w:val="0"/>
          <w:numId w:val="8"/>
        </w:numPr>
      </w:pPr>
      <w:r>
        <w:t>Úvod</w:t>
      </w:r>
      <w:bookmarkEnd w:id="54"/>
      <w:bookmarkEnd w:id="55"/>
    </w:p>
    <w:p w:rsidR="00280EA8" w:rsidRDefault="00280EA8" w:rsidP="00280EA8"/>
    <w:p w:rsidR="00280EA8" w:rsidRPr="00280EA8" w:rsidRDefault="00280EA8" w:rsidP="00586FAC">
      <w:pPr>
        <w:spacing w:line="240" w:lineRule="auto"/>
      </w:pPr>
      <w:r w:rsidRPr="00280EA8">
        <w:t>Usnesením vlády ČR č. 891 ze dne 3. listopadu 2014 byl schválen materiál „Aktivizační opatření k řešení nepříznivé situace na trhu práce" (dále jen „aktivizační opatření“), který reaguje na nepříznivou situaci na trhu práce. Smyslem a cílem aktivizačních opatření, která byla zpracována ve vzájemné spolupráci se sociálními partnery, bylo stanovit okruh konkrétních opatření majících za cíl zvýšení zaměstnanosti. Aktivizační opatření navazují na koncepční a strategické materiály vlády, přičemž jsou provázána s Akčním plánem vlády na podporu hospodářského růstu a zaměstnanosti v ČR.</w:t>
      </w:r>
      <w:r>
        <w:t xml:space="preserve"> </w:t>
      </w:r>
      <w:r w:rsidRPr="00280EA8">
        <w:t>Jednotlivá opatření jsou podrobněji průběžně rozpracovávána v rámci pracovní skupiny pro zaměstnanost při MPSV, jež je na tripartitním základě.</w:t>
      </w:r>
    </w:p>
    <w:p w:rsidR="00280EA8" w:rsidRPr="00280EA8" w:rsidRDefault="00280EA8" w:rsidP="00586FAC">
      <w:pPr>
        <w:spacing w:line="240" w:lineRule="auto"/>
      </w:pPr>
    </w:p>
    <w:p w:rsidR="00280EA8" w:rsidRDefault="00280EA8" w:rsidP="00586FAC">
      <w:pPr>
        <w:spacing w:line="240" w:lineRule="auto"/>
      </w:pPr>
      <w:r>
        <w:t xml:space="preserve">Od přijetí výše uvedeného usnesení vlády č. 891 došlo k významným změnám na českém trhu práce, který se definitivně vymanil z dopadů hospodářské recese let 2008 až 2013. Situace na trhu práce se v současné době významně přibližuje stavu roku 2008, před počátkem krize, a blíží se stavu </w:t>
      </w:r>
      <w:r>
        <w:rPr>
          <w:b/>
        </w:rPr>
        <w:t>přirozené míry nezaměstnanosti</w:t>
      </w:r>
      <w:r>
        <w:t xml:space="preserve">. Primárním cílem politiky zaměstnanosti v následujících letech nejsou již podmíněny snahou o vytváření velkého objemu nových pracovních příležitostí, ale zejména </w:t>
      </w:r>
      <w:r>
        <w:rPr>
          <w:b/>
        </w:rPr>
        <w:t>podporovat soulad nabídky a poptávky na trhu práce</w:t>
      </w:r>
      <w:r>
        <w:t xml:space="preserve"> a maximalizovat využití dostupných zdrojů pracovní síly k zajištění kontinuity hospodářského růstu a při respektování pravidel udržitelného sociálního rozvoje ČR.</w:t>
      </w:r>
    </w:p>
    <w:p w:rsidR="00280EA8" w:rsidRDefault="00280EA8" w:rsidP="00586FAC">
      <w:pPr>
        <w:spacing w:line="240" w:lineRule="auto"/>
      </w:pPr>
    </w:p>
    <w:p w:rsidR="00F54833" w:rsidRDefault="00280EA8" w:rsidP="00586FAC">
      <w:pPr>
        <w:spacing w:line="240" w:lineRule="auto"/>
      </w:pPr>
      <w:r>
        <w:t>Z výše uvedeného vyplývá potřeba změn v opatřeních politiky zaměstnanosti</w:t>
      </w:r>
      <w:r w:rsidR="00F54833">
        <w:t>, včetně revize opatření zahrnutých do Aktivizačních opatření k řešení nepříznivé situace na trhu práce, resp. jejich nahrazení opatřeními novými. Nová opatření vyplývají z provedené analýzy českého trhu práce a jsou, stejně jako samotná analýza, částí A</w:t>
      </w:r>
      <w:r w:rsidR="00586FAC">
        <w:t>)</w:t>
      </w:r>
      <w:r w:rsidR="00F54833">
        <w:t xml:space="preserve"> předkládaného komplexního materiálu Analýza nabídky a poptávky na trhu práce.</w:t>
      </w:r>
    </w:p>
    <w:p w:rsidR="00F54833" w:rsidRDefault="00F54833" w:rsidP="00586FAC">
      <w:pPr>
        <w:spacing w:line="240" w:lineRule="auto"/>
      </w:pPr>
    </w:p>
    <w:p w:rsidR="00F54833" w:rsidRDefault="00F54833" w:rsidP="00586FAC">
      <w:pPr>
        <w:spacing w:line="240" w:lineRule="auto"/>
      </w:pPr>
      <w:r>
        <w:t>Následující část je věnována vyhodnocení Aktivizačních opatření k řešení nepříznivé situace na trhu práce a to ve stavu k 3. čtvrtletí 2016.</w:t>
      </w:r>
    </w:p>
    <w:p w:rsidR="00FA07F1" w:rsidRDefault="00FA07F1" w:rsidP="00280EA8"/>
    <w:p w:rsidR="00FA07F1" w:rsidRDefault="00FA07F1" w:rsidP="00280EA8">
      <w:pPr>
        <w:sectPr w:rsidR="00FA07F1" w:rsidSect="005B254A">
          <w:headerReference w:type="first" r:id="rId43"/>
          <w:footerReference w:type="first" r:id="rId44"/>
          <w:pgSz w:w="11906" w:h="16838"/>
          <w:pgMar w:top="1417" w:right="1417" w:bottom="1417" w:left="1417" w:header="708" w:footer="708" w:gutter="0"/>
          <w:pgNumType w:start="1"/>
          <w:cols w:space="708"/>
          <w:titlePg/>
          <w:docGrid w:linePitch="360"/>
        </w:sectPr>
      </w:pPr>
    </w:p>
    <w:tbl>
      <w:tblPr>
        <w:tblStyle w:val="Mkatabulky"/>
        <w:tblW w:w="0" w:type="auto"/>
        <w:tblLayout w:type="fixed"/>
        <w:tblLook w:val="04A0" w:firstRow="1" w:lastRow="0" w:firstColumn="1" w:lastColumn="0" w:noHBand="0" w:noVBand="1"/>
      </w:tblPr>
      <w:tblGrid>
        <w:gridCol w:w="4565"/>
        <w:gridCol w:w="993"/>
        <w:gridCol w:w="1213"/>
        <w:gridCol w:w="141"/>
        <w:gridCol w:w="330"/>
        <w:gridCol w:w="6978"/>
      </w:tblGrid>
      <w:tr w:rsidR="00FA07F1" w:rsidTr="00C54482">
        <w:tc>
          <w:tcPr>
            <w:tcW w:w="4565" w:type="dxa"/>
          </w:tcPr>
          <w:p w:rsidR="00FA07F1" w:rsidRPr="00FA07F1" w:rsidRDefault="00FA07F1" w:rsidP="00280EA8">
            <w:pPr>
              <w:rPr>
                <w:b/>
              </w:rPr>
            </w:pPr>
            <w:r>
              <w:rPr>
                <w:b/>
              </w:rPr>
              <w:t>Opatření</w:t>
            </w:r>
          </w:p>
        </w:tc>
        <w:tc>
          <w:tcPr>
            <w:tcW w:w="993" w:type="dxa"/>
          </w:tcPr>
          <w:p w:rsidR="00FA07F1" w:rsidRPr="00FA07F1" w:rsidRDefault="00FA07F1" w:rsidP="00280EA8">
            <w:pPr>
              <w:rPr>
                <w:b/>
              </w:rPr>
            </w:pPr>
            <w:r>
              <w:rPr>
                <w:b/>
              </w:rPr>
              <w:t>Gestor</w:t>
            </w:r>
          </w:p>
        </w:tc>
        <w:tc>
          <w:tcPr>
            <w:tcW w:w="1684" w:type="dxa"/>
            <w:gridSpan w:val="3"/>
          </w:tcPr>
          <w:p w:rsidR="00FA07F1" w:rsidRDefault="00FA07F1" w:rsidP="00280EA8">
            <w:pPr>
              <w:rPr>
                <w:b/>
              </w:rPr>
            </w:pPr>
            <w:r>
              <w:rPr>
                <w:b/>
              </w:rPr>
              <w:t>Stav</w:t>
            </w:r>
          </w:p>
        </w:tc>
        <w:tc>
          <w:tcPr>
            <w:tcW w:w="6978" w:type="dxa"/>
          </w:tcPr>
          <w:p w:rsidR="00FA07F1" w:rsidRPr="00FA07F1" w:rsidRDefault="00FA07F1" w:rsidP="00280EA8">
            <w:pPr>
              <w:rPr>
                <w:b/>
              </w:rPr>
            </w:pPr>
            <w:r>
              <w:rPr>
                <w:b/>
              </w:rPr>
              <w:t>Plnění</w:t>
            </w:r>
          </w:p>
        </w:tc>
      </w:tr>
      <w:tr w:rsidR="00C54482" w:rsidTr="00C54482">
        <w:tc>
          <w:tcPr>
            <w:tcW w:w="14220" w:type="dxa"/>
            <w:gridSpan w:val="6"/>
          </w:tcPr>
          <w:p w:rsidR="00C54482" w:rsidRPr="00C54482" w:rsidRDefault="00C54482" w:rsidP="00FA07F1">
            <w:pPr>
              <w:rPr>
                <w:rFonts w:eastAsia="Calibri"/>
                <w:b/>
              </w:rPr>
            </w:pPr>
            <w:r w:rsidRPr="00C54482">
              <w:rPr>
                <w:rFonts w:eastAsia="Calibri"/>
                <w:b/>
              </w:rPr>
              <w:t>I. Úprava systému investičních pobídek (výše hmotné podpory a cílové územní oblasti)</w:t>
            </w:r>
          </w:p>
          <w:p w:rsidR="00C54482" w:rsidRPr="00C54482" w:rsidRDefault="00C54482" w:rsidP="00280EA8">
            <w:pPr>
              <w:rPr>
                <w:b/>
              </w:rPr>
            </w:pPr>
          </w:p>
        </w:tc>
      </w:tr>
      <w:tr w:rsidR="00C54482" w:rsidTr="00C54482">
        <w:tc>
          <w:tcPr>
            <w:tcW w:w="4565" w:type="dxa"/>
          </w:tcPr>
          <w:p w:rsidR="00C54482" w:rsidRPr="00FA42AF" w:rsidRDefault="00C54482" w:rsidP="001F4C42">
            <w:pPr>
              <w:numPr>
                <w:ilvl w:val="0"/>
                <w:numId w:val="9"/>
              </w:numPr>
              <w:contextualSpacing/>
              <w:rPr>
                <w:rFonts w:eastAsia="Calibri"/>
                <w:b/>
              </w:rPr>
            </w:pPr>
            <w:r w:rsidRPr="00FA42AF">
              <w:rPr>
                <w:rFonts w:eastAsia="Calibri"/>
              </w:rPr>
              <w:t>Rozšířit územní oblasti, do kterých lze poskytovat investiční pobídky, na regiony s mírou nezaměstnanosti o 25 % vyšší než je průměrná míra nezaměstnanosti v ČR a na území zvýhodněných průmyslových zón schválených vládou.</w:t>
            </w:r>
          </w:p>
          <w:p w:rsidR="00C54482" w:rsidRDefault="00C54482" w:rsidP="00280EA8"/>
        </w:tc>
        <w:tc>
          <w:tcPr>
            <w:tcW w:w="993" w:type="dxa"/>
            <w:vMerge w:val="restart"/>
          </w:tcPr>
          <w:p w:rsidR="00C54482" w:rsidRDefault="00C54482" w:rsidP="00C54482">
            <w:r>
              <w:t>MPO</w:t>
            </w:r>
          </w:p>
          <w:p w:rsidR="00C54482" w:rsidRDefault="00C54482" w:rsidP="00C54482">
            <w:r>
              <w:t>MPSV</w:t>
            </w:r>
          </w:p>
        </w:tc>
        <w:tc>
          <w:tcPr>
            <w:tcW w:w="1213" w:type="dxa"/>
            <w:vMerge w:val="restart"/>
          </w:tcPr>
          <w:p w:rsidR="00C54482" w:rsidRDefault="00C54482" w:rsidP="00280EA8">
            <w:r>
              <w:t>splněno</w:t>
            </w:r>
          </w:p>
        </w:tc>
        <w:tc>
          <w:tcPr>
            <w:tcW w:w="7449" w:type="dxa"/>
            <w:gridSpan w:val="3"/>
          </w:tcPr>
          <w:p w:rsidR="00C54482" w:rsidRDefault="00C54482" w:rsidP="00C54482">
            <w:pPr>
              <w:spacing w:before="120"/>
            </w:pPr>
            <w:r>
              <w:t xml:space="preserve">Plně se podařilo naplnit opatření v oblasti systému </w:t>
            </w:r>
            <w:r w:rsidRPr="00EA484B">
              <w:rPr>
                <w:b/>
              </w:rPr>
              <w:t>investičních pobídek</w:t>
            </w:r>
            <w:r>
              <w:t>. Zákonem č. 84/2015 Sb.</w:t>
            </w:r>
            <w:r>
              <w:rPr>
                <w:rStyle w:val="Znakapoznpodarou"/>
              </w:rPr>
              <w:footnoteReference w:id="3"/>
            </w:r>
            <w:r>
              <w:t xml:space="preserve"> došlo k novelizaci příslušných částí zákona č. 435/2004 Sb., o zaměstnanosti, ve znění pozdějších předpisů. Novelou byl rozšířen okruh regionů, do nichž je možné poskytovat hmotnou podporu na vytváření pracovních míst nebo rekvalifikaci zaměstnanců i o regiony, v nichž průměrný podíl nezaměstnaných osob přesahuje o 25 % celorepublikový průměr (před novelizací bylo možné tuto podporu poskytnout pouze do regionů s podílem nezaměstnaných osob vyšším než celorepublikový průměr o 50 %).</w:t>
            </w:r>
            <w:r w:rsidR="00586FAC">
              <w:t xml:space="preserve"> Novela nabyla účinnosti dne 1. </w:t>
            </w:r>
            <w:r>
              <w:t xml:space="preserve">května 2015. </w:t>
            </w:r>
          </w:p>
        </w:tc>
      </w:tr>
      <w:tr w:rsidR="00C54482" w:rsidTr="00C54482">
        <w:tc>
          <w:tcPr>
            <w:tcW w:w="4565" w:type="dxa"/>
          </w:tcPr>
          <w:p w:rsidR="00C54482" w:rsidRPr="00FA42AF" w:rsidRDefault="00C54482" w:rsidP="001F4C42">
            <w:pPr>
              <w:numPr>
                <w:ilvl w:val="0"/>
                <w:numId w:val="9"/>
              </w:numPr>
              <w:contextualSpacing/>
              <w:rPr>
                <w:rFonts w:eastAsia="Calibri"/>
                <w:b/>
              </w:rPr>
            </w:pPr>
            <w:r w:rsidRPr="00FA42AF">
              <w:rPr>
                <w:rFonts w:eastAsia="Calibri"/>
              </w:rPr>
              <w:t>Odstupňovat výši hmotné podpory na vytváření nových pracovních míst dle výše míry nezaměstnanosti.</w:t>
            </w:r>
          </w:p>
          <w:p w:rsidR="00C54482" w:rsidRDefault="00C54482" w:rsidP="00280EA8"/>
        </w:tc>
        <w:tc>
          <w:tcPr>
            <w:tcW w:w="993" w:type="dxa"/>
            <w:vMerge/>
          </w:tcPr>
          <w:p w:rsidR="00C54482" w:rsidRDefault="00C54482" w:rsidP="00280EA8"/>
        </w:tc>
        <w:tc>
          <w:tcPr>
            <w:tcW w:w="1213" w:type="dxa"/>
            <w:vMerge/>
          </w:tcPr>
          <w:p w:rsidR="00C54482" w:rsidRDefault="00C54482" w:rsidP="00280EA8"/>
        </w:tc>
        <w:tc>
          <w:tcPr>
            <w:tcW w:w="7449" w:type="dxa"/>
            <w:gridSpan w:val="3"/>
          </w:tcPr>
          <w:p w:rsidR="00C54482" w:rsidRDefault="00C54482" w:rsidP="00C54482">
            <w:r>
              <w:t xml:space="preserve">Rovněž byla odstupňována výše poskytované podpory a to na základě novelizace nařízení vlády č. 515/2004 Sb., </w:t>
            </w:r>
            <w:r w:rsidRPr="00E06C3B">
              <w:t>o hmotné podpoře na vytváření nových pracovních míst a hmotné podpoře rekvalifikace nebo školení zaměstnanců v rámci investičních pobídek</w:t>
            </w:r>
            <w:r>
              <w:t>. Nařízení bylo novelizováno Nařízením vlády č. 173/2015 Sb., s účinností od 15. srpna 2015. Výše podpory byla odstupňována následovně:</w:t>
            </w:r>
          </w:p>
          <w:p w:rsidR="00C54482" w:rsidRDefault="00C54482" w:rsidP="001F4C42">
            <w:pPr>
              <w:pStyle w:val="Odstavecseseznamem"/>
              <w:numPr>
                <w:ilvl w:val="0"/>
                <w:numId w:val="3"/>
              </w:numPr>
              <w:spacing w:before="120"/>
              <w:ind w:left="714" w:hanging="357"/>
              <w:contextualSpacing w:val="0"/>
            </w:pPr>
            <w:r>
              <w:t>regiony s podílem nezaměstnaných osob nejméně o 25 % vyšším než celorepublikový průměr – 100 000 Kč na jedno nově vytvořené pracovní místo</w:t>
            </w:r>
          </w:p>
          <w:p w:rsidR="00C54482" w:rsidRDefault="00C54482" w:rsidP="001F4C42">
            <w:pPr>
              <w:pStyle w:val="Odstavecseseznamem"/>
              <w:numPr>
                <w:ilvl w:val="0"/>
                <w:numId w:val="3"/>
              </w:numPr>
              <w:spacing w:before="120"/>
              <w:ind w:left="714" w:hanging="357"/>
              <w:contextualSpacing w:val="0"/>
            </w:pPr>
            <w:r>
              <w:t>regiony s podílem nezaměstnaných osob o nejméně 50 % vyšším než celorepublikový průměr – 200 000 Kč</w:t>
            </w:r>
          </w:p>
          <w:p w:rsidR="00C54482" w:rsidRDefault="00C54482" w:rsidP="00280EA8"/>
        </w:tc>
      </w:tr>
      <w:tr w:rsidR="00C54482" w:rsidTr="00C54482">
        <w:tc>
          <w:tcPr>
            <w:tcW w:w="14220" w:type="dxa"/>
            <w:gridSpan w:val="6"/>
          </w:tcPr>
          <w:p w:rsidR="00C54482" w:rsidRPr="00C54482" w:rsidRDefault="00C54482" w:rsidP="00280EA8">
            <w:pPr>
              <w:rPr>
                <w:b/>
              </w:rPr>
            </w:pPr>
            <w:r w:rsidRPr="00C54482">
              <w:rPr>
                <w:rFonts w:eastAsia="Calibri"/>
                <w:b/>
              </w:rPr>
              <w:t>II. Podpora vytváření pracovních příležitostí, zejména v problémových regionech</w:t>
            </w:r>
          </w:p>
        </w:tc>
      </w:tr>
      <w:tr w:rsidR="00FA07F1" w:rsidTr="00C54482">
        <w:tc>
          <w:tcPr>
            <w:tcW w:w="4565" w:type="dxa"/>
          </w:tcPr>
          <w:p w:rsidR="00FA07F1" w:rsidRDefault="00C54482" w:rsidP="001F4C42">
            <w:pPr>
              <w:pStyle w:val="Odstavecseseznamem"/>
              <w:numPr>
                <w:ilvl w:val="0"/>
                <w:numId w:val="9"/>
              </w:numPr>
            </w:pPr>
            <w:r w:rsidRPr="00C54482">
              <w:rPr>
                <w:rFonts w:eastAsia="Calibri"/>
              </w:rPr>
              <w:t>Zavedení slev na pojistném na sociální zabezpečení v případě přijetí vybraných skupin uchazečů o zaměstnání nejobtížněji umístitelných na trh práce. Mladí lidé do 25 let, osoby starší 50 let, osoby vracející se z rodičovské dovolené.</w:t>
            </w:r>
          </w:p>
        </w:tc>
        <w:tc>
          <w:tcPr>
            <w:tcW w:w="993" w:type="dxa"/>
          </w:tcPr>
          <w:p w:rsidR="00FA07F1" w:rsidRDefault="00C54482" w:rsidP="00280EA8">
            <w:r>
              <w:t>MPSV</w:t>
            </w:r>
          </w:p>
        </w:tc>
        <w:tc>
          <w:tcPr>
            <w:tcW w:w="1213" w:type="dxa"/>
          </w:tcPr>
          <w:p w:rsidR="00FA07F1" w:rsidRPr="00C54482" w:rsidRDefault="00C54482" w:rsidP="00280EA8">
            <w:pPr>
              <w:rPr>
                <w:b/>
              </w:rPr>
            </w:pPr>
            <w:r>
              <w:rPr>
                <w:b/>
              </w:rPr>
              <w:t>Pozastaveno</w:t>
            </w:r>
          </w:p>
        </w:tc>
        <w:tc>
          <w:tcPr>
            <w:tcW w:w="7449" w:type="dxa"/>
            <w:gridSpan w:val="3"/>
          </w:tcPr>
          <w:p w:rsidR="00C54482" w:rsidRPr="00FA42AF" w:rsidRDefault="00C54482" w:rsidP="00C54482">
            <w:pPr>
              <w:rPr>
                <w:b/>
              </w:rPr>
            </w:pPr>
            <w:r w:rsidRPr="00FA42AF">
              <w:t>MPSV připravilo návrh řešení k problematice slev na pojistném, který byl v průběhu měsíce března 2015 konzultován se zástupci Ministerstva financí.</w:t>
            </w:r>
          </w:p>
          <w:p w:rsidR="00C54482" w:rsidRPr="00FA42AF" w:rsidRDefault="00C54482" w:rsidP="00C54482">
            <w:pPr>
              <w:rPr>
                <w:b/>
              </w:rPr>
            </w:pPr>
          </w:p>
          <w:p w:rsidR="00FA07F1" w:rsidRDefault="00C54482" w:rsidP="00C54482">
            <w:r w:rsidRPr="00FA42AF">
              <w:t xml:space="preserve">Materiál byl předložen na jednání koaliční rady, kdy bylo rozhodnuto o pozastavení tohoto úkolu a to z důvodu, že v současné době by se jednalo o </w:t>
            </w:r>
            <w:proofErr w:type="spellStart"/>
            <w:r w:rsidRPr="00FA42AF">
              <w:t>procyklické</w:t>
            </w:r>
            <w:proofErr w:type="spellEnd"/>
            <w:r w:rsidRPr="00FA42AF">
              <w:t xml:space="preserve"> opatření, kdy situace na trhu práce je nyní dostatečně řešena prostřednictvím aktivní politiky zaměstnanosti (APZ)</w:t>
            </w:r>
            <w:r>
              <w:t>.</w:t>
            </w:r>
          </w:p>
        </w:tc>
      </w:tr>
      <w:tr w:rsidR="00C54482" w:rsidTr="006D6F35">
        <w:tc>
          <w:tcPr>
            <w:tcW w:w="14220" w:type="dxa"/>
            <w:gridSpan w:val="6"/>
          </w:tcPr>
          <w:p w:rsidR="00C54482" w:rsidRPr="00C54482" w:rsidRDefault="00C54482" w:rsidP="00280EA8">
            <w:pPr>
              <w:rPr>
                <w:b/>
              </w:rPr>
            </w:pPr>
            <w:r w:rsidRPr="00C54482">
              <w:rPr>
                <w:rFonts w:eastAsia="Calibri"/>
                <w:b/>
              </w:rPr>
              <w:t xml:space="preserve">III. Přístup k dalšímu financování a rozvoji  </w:t>
            </w:r>
          </w:p>
        </w:tc>
      </w:tr>
      <w:tr w:rsidR="00FA07F1" w:rsidTr="00C54482">
        <w:tc>
          <w:tcPr>
            <w:tcW w:w="4565" w:type="dxa"/>
          </w:tcPr>
          <w:p w:rsidR="00C54482" w:rsidRPr="00FA42AF" w:rsidRDefault="00C54482" w:rsidP="001F4C42">
            <w:pPr>
              <w:numPr>
                <w:ilvl w:val="0"/>
                <w:numId w:val="9"/>
              </w:numPr>
              <w:contextualSpacing/>
              <w:rPr>
                <w:rFonts w:eastAsia="Calibri"/>
                <w:b/>
              </w:rPr>
            </w:pPr>
            <w:r w:rsidRPr="00FA42AF">
              <w:rPr>
                <w:rFonts w:eastAsia="Calibri"/>
              </w:rPr>
              <w:t>Vytvořit jednotnou metodiku provazující počáteční poradenství, rekvalifikaci a poskytnutí finančního příspěvku; rozšířit možnost poskytovat poradenské aktivity i začínajícím podnikatelům v oblasti vedení SVČ (konzultace).</w:t>
            </w:r>
          </w:p>
          <w:p w:rsidR="00FA07F1" w:rsidRDefault="00FA07F1" w:rsidP="00280EA8"/>
        </w:tc>
        <w:tc>
          <w:tcPr>
            <w:tcW w:w="993" w:type="dxa"/>
          </w:tcPr>
          <w:p w:rsidR="00FA07F1" w:rsidRDefault="00C54482" w:rsidP="00280EA8">
            <w:r>
              <w:t>MPSV</w:t>
            </w:r>
          </w:p>
          <w:p w:rsidR="00C54482" w:rsidRPr="00C54482" w:rsidRDefault="00C54482" w:rsidP="00280EA8">
            <w:pPr>
              <w:rPr>
                <w:b/>
              </w:rPr>
            </w:pPr>
            <w:r>
              <w:rPr>
                <w:b/>
              </w:rPr>
              <w:t>ÚP ČR</w:t>
            </w:r>
          </w:p>
        </w:tc>
        <w:tc>
          <w:tcPr>
            <w:tcW w:w="1354" w:type="dxa"/>
            <w:gridSpan w:val="2"/>
          </w:tcPr>
          <w:p w:rsidR="00FA07F1" w:rsidRPr="00C54482" w:rsidRDefault="00C54482" w:rsidP="00280EA8">
            <w:pPr>
              <w:rPr>
                <w:b/>
              </w:rPr>
            </w:pPr>
            <w:r>
              <w:rPr>
                <w:b/>
              </w:rPr>
              <w:t>Průběžně řešeno</w:t>
            </w:r>
          </w:p>
        </w:tc>
        <w:tc>
          <w:tcPr>
            <w:tcW w:w="7308" w:type="dxa"/>
            <w:gridSpan w:val="2"/>
          </w:tcPr>
          <w:p w:rsidR="00C54482" w:rsidRPr="00FA42AF" w:rsidRDefault="00C54482" w:rsidP="00C54482">
            <w:pPr>
              <w:rPr>
                <w:b/>
              </w:rPr>
            </w:pPr>
            <w:r w:rsidRPr="00FA42AF">
              <w:t>Generální ředitelství Úřadu práce ČR (GŘ ÚP ČR) upravilo v roce 2014 formuláře a přístup k poskytování podpory společensky účelného pracovního místa (SÚPM) – SVČ</w:t>
            </w:r>
            <w:r w:rsidR="00586FAC">
              <w:t>.</w:t>
            </w:r>
          </w:p>
          <w:p w:rsidR="00C54482" w:rsidRPr="00FA42AF" w:rsidRDefault="00C54482" w:rsidP="00C54482">
            <w:pPr>
              <w:rPr>
                <w:b/>
              </w:rPr>
            </w:pPr>
          </w:p>
          <w:p w:rsidR="00C54482" w:rsidRPr="00386FAF" w:rsidRDefault="00C54482" w:rsidP="00C54482">
            <w:pPr>
              <w:rPr>
                <w:b/>
                <w:i/>
              </w:rPr>
            </w:pPr>
            <w:r w:rsidRPr="00FA42AF">
              <w:t>Byla přepracována žádost o SÚPM zřizované uchaze</w:t>
            </w:r>
            <w:r>
              <w:t>čem o </w:t>
            </w:r>
            <w:r w:rsidRPr="00FA42AF">
              <w:t>zaměstnání za účelem výkonu samostatné výdělečné činnosti, byly do ní zahrnuty kompletně požadované přílohy, byly upřesněny požadavky na podnikatelský plán. Bylo vydáno Sdělení ředitele Odboru trhu práce GŘ ÚP ČR: „</w:t>
            </w:r>
            <w:r w:rsidRPr="00386FAF">
              <w:rPr>
                <w:i/>
              </w:rPr>
              <w:t>Postupy při realizaci nástroje zřízení společensky účelného pracovního místa uchazečem o zaměstnání za účelem výkonu samostatné výdělečné činnosti.“</w:t>
            </w:r>
          </w:p>
          <w:p w:rsidR="00C54482" w:rsidRPr="00FA42AF" w:rsidRDefault="00C54482" w:rsidP="00C54482">
            <w:pPr>
              <w:rPr>
                <w:b/>
              </w:rPr>
            </w:pPr>
          </w:p>
          <w:p w:rsidR="00C54482" w:rsidRPr="00FA42AF" w:rsidRDefault="00C54482" w:rsidP="00C54482">
            <w:pPr>
              <w:rPr>
                <w:b/>
              </w:rPr>
            </w:pPr>
            <w:r w:rsidRPr="00FA42AF">
              <w:t>V rámci projektu „Efektivní služby</w:t>
            </w:r>
            <w:r>
              <w:t xml:space="preserve"> </w:t>
            </w:r>
            <w:r w:rsidRPr="00FA42AF">
              <w:t xml:space="preserve">zaměstnanosti“ (EFES), </w:t>
            </w:r>
            <w:r>
              <w:t>je</w:t>
            </w:r>
            <w:r w:rsidRPr="00FA42AF">
              <w:t xml:space="preserve"> </w:t>
            </w:r>
            <w:r>
              <w:t xml:space="preserve">v KA01 </w:t>
            </w:r>
            <w:r w:rsidRPr="00FA42AF">
              <w:t>„</w:t>
            </w:r>
            <w:r w:rsidRPr="00386FAF">
              <w:rPr>
                <w:i/>
              </w:rPr>
              <w:t xml:space="preserve">Podpora při aktualizaci vzniklé metodiky a nastavených metodických postupů za oblast Zaměstnanost“, </w:t>
            </w:r>
            <w:r w:rsidRPr="00386FAF">
              <w:t>podstatnou částí</w:t>
            </w:r>
            <w:r w:rsidRPr="00386FAF">
              <w:rPr>
                <w:i/>
              </w:rPr>
              <w:t xml:space="preserve"> „Tvorba komplexního programu podpory samostatné výdělečné činnosti uchazečů o zaměstnání z evidence ÚP ČR</w:t>
            </w:r>
            <w:r>
              <w:t>“</w:t>
            </w:r>
            <w:r w:rsidRPr="00FA42AF">
              <w:t>. Prostřednictvím tohoto p</w:t>
            </w:r>
            <w:r w:rsidR="00586FAC">
              <w:t>rogramu pomůže ÚP ČR uchazeči o </w:t>
            </w:r>
            <w:r w:rsidRPr="00FA42AF">
              <w:t>zaměstnání zahájit a vykonávat samostatnou výdělečnou činnost. Do tvorby programu zapojí realizační tým projektu i další instituce, jako např. finanční úřad, živnostenský úřad či hospodářskou komoru. Cílem tohoto programu je především nastavit efektivní propojení služ</w:t>
            </w:r>
            <w:r w:rsidR="00586FAC">
              <w:t>eb poradenství, rekvalifikací a </w:t>
            </w:r>
            <w:r w:rsidRPr="00FA42AF">
              <w:t>využití nástrojů APZ k podpoření uchazeče o zaměstnání, který je na volném trhu obtížně umístitelný.</w:t>
            </w:r>
            <w:r>
              <w:t xml:space="preserve"> V 1. pololetí roku 2016 bude zrealizován podrobný průzkum stávající praxe na všech pracovištích ÚP ČR, jehož výstupem bude analýza práce s klientem ÚP ČR. Projekt je realizován od 1. února 2016</w:t>
            </w:r>
            <w:r w:rsidR="00586FAC">
              <w:t>.</w:t>
            </w:r>
          </w:p>
          <w:p w:rsidR="00C54482" w:rsidRPr="00FA42AF" w:rsidRDefault="00C54482" w:rsidP="00C54482">
            <w:pPr>
              <w:rPr>
                <w:b/>
              </w:rPr>
            </w:pPr>
          </w:p>
          <w:p w:rsidR="00C54482" w:rsidRDefault="00C54482" w:rsidP="00C54482">
            <w:r w:rsidRPr="00FA42AF">
              <w:t>Podporou začínajících podnikatelek – žen, jejichž poměr mezi OSVČ v důsledku málo flexibilního trhu práce v ČR strmě stoupá – se bude zabývat chystaná výzva v investiční prioritě 1.2 OPZ, jejíž vyhlášení je plánováno na 2. polovinu roku 2016. Hlavní váhu podpory hodlá řídicí orgán při nastavování jednotkových nákladů přesunout z fáze přípravy na dobu po zahájení SVČ a zaměřit se tak na rozvoj samotného podnikání jakožto potenciálu pro vytváření dalších pracovních míst.</w:t>
            </w:r>
          </w:p>
          <w:p w:rsidR="00B52427" w:rsidRDefault="00B52427" w:rsidP="00C54482"/>
          <w:p w:rsidR="00B52427" w:rsidRPr="00B52427" w:rsidRDefault="00B52427" w:rsidP="00C54482">
            <w:r>
              <w:rPr>
                <w:b/>
              </w:rPr>
              <w:t xml:space="preserve">Opatření částečně transformováno do opatření č. 4.1 a 3.1 k řešení souladu nabídky a poptávky na trhu práce a to v případech, kdy bude s ohledem na aktuální potřeby trhu práce vhodné podpořit klienta v samostatně výdělečné činnosti </w:t>
            </w:r>
            <w:r>
              <w:t>(tedy nebude-li jej možné umístit na trh práce na volné pracovní místo)</w:t>
            </w:r>
            <w:r w:rsidR="00586FAC">
              <w:t>.</w:t>
            </w:r>
          </w:p>
          <w:p w:rsidR="00FA07F1" w:rsidRDefault="00FA07F1" w:rsidP="00280EA8"/>
        </w:tc>
      </w:tr>
      <w:tr w:rsidR="00C54482" w:rsidTr="00C54482">
        <w:tc>
          <w:tcPr>
            <w:tcW w:w="4565" w:type="dxa"/>
          </w:tcPr>
          <w:p w:rsidR="00C61ECC" w:rsidRPr="00FA42AF" w:rsidRDefault="00586FAC" w:rsidP="00586FAC">
            <w:pPr>
              <w:numPr>
                <w:ilvl w:val="0"/>
                <w:numId w:val="9"/>
              </w:numPr>
              <w:ind w:left="426"/>
              <w:contextualSpacing/>
              <w:rPr>
                <w:rFonts w:eastAsia="Calibri"/>
              </w:rPr>
            </w:pPr>
            <w:r>
              <w:rPr>
                <w:rFonts w:eastAsia="Calibri"/>
              </w:rPr>
              <w:t>Úprava definice zájemce o </w:t>
            </w:r>
            <w:r w:rsidR="00C61ECC" w:rsidRPr="00FA42AF">
              <w:rPr>
                <w:rFonts w:eastAsia="Calibri"/>
              </w:rPr>
              <w:t>zaměstnání, tak aby bylo možné příspěvky APZ podpořit i skupiny osob, které jsou zaměstnány</w:t>
            </w:r>
            <w:r>
              <w:rPr>
                <w:rFonts w:eastAsia="Calibri"/>
              </w:rPr>
              <w:t xml:space="preserve"> (tedy např. i SVČ nebo osoby v </w:t>
            </w:r>
            <w:r w:rsidR="00C61ECC" w:rsidRPr="00FA42AF">
              <w:rPr>
                <w:rFonts w:eastAsia="Calibri"/>
              </w:rPr>
              <w:t>předdůchodovém věku, atd.…), ale které jsou na trhu ohroženy (úprava § 22 zákona č. 435/2004 Sb. – současná právní ú</w:t>
            </w:r>
            <w:r>
              <w:rPr>
                <w:rFonts w:eastAsia="Calibri"/>
              </w:rPr>
              <w:t>prava charakterizuje „zájemce o </w:t>
            </w:r>
            <w:r w:rsidR="00C61ECC" w:rsidRPr="00FA42AF">
              <w:rPr>
                <w:rFonts w:eastAsia="Calibri"/>
              </w:rPr>
              <w:t>zaměstnání“ jako osobu mající zájem o zprostředkování za</w:t>
            </w:r>
            <w:r>
              <w:rPr>
                <w:rFonts w:eastAsia="Calibri"/>
              </w:rPr>
              <w:t>městnání, měla by jím být ale i </w:t>
            </w:r>
            <w:r w:rsidR="00C61ECC" w:rsidRPr="00FA42AF">
              <w:rPr>
                <w:rFonts w:eastAsia="Calibri"/>
              </w:rPr>
              <w:t>osoba, která zaměstnání má, ale je na trhu práce ohrožena, zejména ohrožena ztrátou zaměstnání, resp. osoba vyžadující na trhu práce asistenci k udržení zaměstnání).</w:t>
            </w:r>
          </w:p>
          <w:p w:rsidR="00C54482" w:rsidRDefault="00C54482" w:rsidP="00280EA8"/>
        </w:tc>
        <w:tc>
          <w:tcPr>
            <w:tcW w:w="993" w:type="dxa"/>
          </w:tcPr>
          <w:p w:rsidR="00C61ECC" w:rsidRPr="00FA42AF" w:rsidRDefault="00C61ECC" w:rsidP="00C61ECC">
            <w:pPr>
              <w:rPr>
                <w:b/>
              </w:rPr>
            </w:pPr>
            <w:r w:rsidRPr="00C61ECC">
              <w:rPr>
                <w:b/>
              </w:rPr>
              <w:t>MPSVÚP ČR</w:t>
            </w:r>
            <w:r>
              <w:t xml:space="preserve"> MPO HK ČR</w:t>
            </w:r>
            <w:r w:rsidRPr="00FA42AF">
              <w:t>SPČR</w:t>
            </w:r>
          </w:p>
          <w:p w:rsidR="00C54482" w:rsidRDefault="00C54482" w:rsidP="00280EA8"/>
        </w:tc>
        <w:tc>
          <w:tcPr>
            <w:tcW w:w="1354" w:type="dxa"/>
            <w:gridSpan w:val="2"/>
          </w:tcPr>
          <w:p w:rsidR="00C54482" w:rsidRPr="00C61ECC" w:rsidRDefault="00C61ECC" w:rsidP="00280EA8">
            <w:pPr>
              <w:rPr>
                <w:b/>
              </w:rPr>
            </w:pPr>
            <w:r>
              <w:rPr>
                <w:b/>
              </w:rPr>
              <w:t>Splněno</w:t>
            </w:r>
          </w:p>
        </w:tc>
        <w:tc>
          <w:tcPr>
            <w:tcW w:w="7308" w:type="dxa"/>
            <w:gridSpan w:val="2"/>
          </w:tcPr>
          <w:p w:rsidR="00C61ECC" w:rsidRDefault="00C61ECC" w:rsidP="00C61ECC">
            <w:r w:rsidRPr="00FA42AF">
              <w:t xml:space="preserve">Definice zájemce o zaměstnání v ustanovení § 22 zákona </w:t>
            </w:r>
            <w:r>
              <w:t>č. </w:t>
            </w:r>
            <w:r w:rsidRPr="00FA42AF">
              <w:t>435/2004 Sb., o zaměstnanosti, se jeví v současné době jako dostačující, nicméně bude posouzena metodika vztahující se k tomu ustanovení a bude zvážena její úprava. Současně bude ověřeno v</w:t>
            </w:r>
            <w:r>
              <w:t> </w:t>
            </w:r>
            <w:r w:rsidRPr="00FA42AF">
              <w:t>rámci</w:t>
            </w:r>
            <w:r>
              <w:t xml:space="preserve"> </w:t>
            </w:r>
            <w:r w:rsidRPr="00FA42AF">
              <w:t>§ 106 nebo § 120 uvedeného zákona, zda je účelné poskytovat podporu osobám, které jsou sice zaměstnány (resp. provozují SVČ), ale jsou osobami, které jsou na trhu práce ohroženy.</w:t>
            </w:r>
          </w:p>
          <w:p w:rsidR="00C61ECC" w:rsidRPr="00FA42AF" w:rsidRDefault="00C61ECC" w:rsidP="00C61ECC">
            <w:pPr>
              <w:rPr>
                <w:b/>
              </w:rPr>
            </w:pPr>
          </w:p>
          <w:p w:rsidR="00C61ECC" w:rsidRPr="00FA42AF" w:rsidRDefault="00C61ECC" w:rsidP="00C61ECC">
            <w:pPr>
              <w:rPr>
                <w:b/>
              </w:rPr>
            </w:pPr>
            <w:r w:rsidRPr="00FA42AF">
              <w:t>V roce 2014 započala pilotáž Rea</w:t>
            </w:r>
            <w:r w:rsidR="00586FAC">
              <w:t>lizace preventivních opatření a </w:t>
            </w:r>
            <w:r w:rsidRPr="00FA42AF">
              <w:t>nástrojů při pomoci zaměstnancům ohroženým ztrátou zaměstnání a ověřování nového nástroje APZ v Moravskoslezském kraji, kde jsou cílovou skupinou zaměstnanci, kteří jsou ohroženi ztrátou zaměstnání z důvodu plánovaného hromadného propouštění podle zákoníku práce.</w:t>
            </w:r>
          </w:p>
          <w:p w:rsidR="00C54482" w:rsidRDefault="00C54482" w:rsidP="00280EA8"/>
        </w:tc>
      </w:tr>
      <w:tr w:rsidR="00C54482" w:rsidTr="00C54482">
        <w:tc>
          <w:tcPr>
            <w:tcW w:w="4565" w:type="dxa"/>
          </w:tcPr>
          <w:p w:rsidR="00C61ECC" w:rsidRPr="00FA42AF" w:rsidRDefault="00C61ECC" w:rsidP="00586FAC">
            <w:pPr>
              <w:numPr>
                <w:ilvl w:val="0"/>
                <w:numId w:val="9"/>
              </w:numPr>
              <w:ind w:left="426"/>
              <w:contextualSpacing/>
              <w:rPr>
                <w:rFonts w:eastAsia="Calibri"/>
                <w:b/>
              </w:rPr>
            </w:pPr>
            <w:r w:rsidRPr="00FA42AF">
              <w:rPr>
                <w:rFonts w:eastAsia="Calibri"/>
              </w:rPr>
              <w:t>Vytv</w:t>
            </w:r>
            <w:r w:rsidR="00586FAC">
              <w:rPr>
                <w:rFonts w:eastAsia="Calibri"/>
              </w:rPr>
              <w:t xml:space="preserve">oření programu (implementace do </w:t>
            </w:r>
            <w:r w:rsidRPr="00FA42AF">
              <w:rPr>
                <w:rFonts w:eastAsia="Calibri"/>
              </w:rPr>
              <w:t>stávajících programů) zaměřeného na poskytování poradenství začínajícím OSVČ ve spolupráci s HK, MPO.</w:t>
            </w:r>
          </w:p>
          <w:p w:rsidR="00C54482" w:rsidRDefault="00C54482" w:rsidP="00C61ECC">
            <w:pPr>
              <w:tabs>
                <w:tab w:val="left" w:pos="1540"/>
              </w:tabs>
            </w:pPr>
          </w:p>
        </w:tc>
        <w:tc>
          <w:tcPr>
            <w:tcW w:w="993" w:type="dxa"/>
          </w:tcPr>
          <w:p w:rsidR="00C61ECC" w:rsidRPr="00FA42AF" w:rsidRDefault="00C61ECC" w:rsidP="00C61ECC">
            <w:pPr>
              <w:rPr>
                <w:b/>
              </w:rPr>
            </w:pPr>
            <w:r w:rsidRPr="00C61ECC">
              <w:rPr>
                <w:b/>
              </w:rPr>
              <w:t>MPSVÚP ČR</w:t>
            </w:r>
            <w:r w:rsidRPr="00FA42AF">
              <w:t xml:space="preserve"> </w:t>
            </w:r>
            <w:r>
              <w:t>MPO HK ČR KZPS</w:t>
            </w:r>
            <w:r w:rsidRPr="00FA42AF">
              <w:t xml:space="preserve"> SPČR</w:t>
            </w:r>
          </w:p>
          <w:p w:rsidR="00C54482" w:rsidRDefault="00C54482" w:rsidP="00280EA8"/>
        </w:tc>
        <w:tc>
          <w:tcPr>
            <w:tcW w:w="1354" w:type="dxa"/>
            <w:gridSpan w:val="2"/>
          </w:tcPr>
          <w:p w:rsidR="00C54482" w:rsidRPr="00C61ECC" w:rsidRDefault="00C61ECC" w:rsidP="00280EA8">
            <w:pPr>
              <w:rPr>
                <w:b/>
              </w:rPr>
            </w:pPr>
            <w:r>
              <w:rPr>
                <w:b/>
              </w:rPr>
              <w:t>Průběžně řešeno</w:t>
            </w:r>
          </w:p>
        </w:tc>
        <w:tc>
          <w:tcPr>
            <w:tcW w:w="7308" w:type="dxa"/>
            <w:gridSpan w:val="2"/>
          </w:tcPr>
          <w:p w:rsidR="00C61ECC" w:rsidRDefault="00C61ECC" w:rsidP="00C61ECC">
            <w:r w:rsidRPr="00FA42AF">
              <w:t>ÚP ČR připravil projektový záměr „</w:t>
            </w:r>
            <w:r w:rsidRPr="00FA42AF">
              <w:rPr>
                <w:color w:val="000000"/>
              </w:rPr>
              <w:t xml:space="preserve">Efektivní služby zaměstnanosti (EFES)“, </w:t>
            </w:r>
            <w:r>
              <w:rPr>
                <w:color w:val="000000"/>
              </w:rPr>
              <w:t>jehož r</w:t>
            </w:r>
            <w:r w:rsidRPr="00FA42AF">
              <w:rPr>
                <w:color w:val="000000"/>
              </w:rPr>
              <w:t>ealizace byla zahájena od 1. 2. 2016. V rámci tohoto projektu</w:t>
            </w:r>
            <w:r w:rsidRPr="00FA42AF">
              <w:t xml:space="preserve"> bude po provedení analýzy práce s klientem navrhnut „Komplexní program podpory samostatné výdělečné činnosti uchazečů o zaměstnání z evidence ÚP ČR“, v rámci kterého vznikne metodika práce s klientem ÚP ČR, který projeví zájem řešit své umístění na trhu práce zahájením samostatné výdělečné činnosti. Do tvorby programu zapojí realizační tým projektu i další instituce, jako např. finanční úřad, živnostenský úřad či hospodářskou komoru. Navržený program bude pilotně ověřen v praxi a po zhodnocení pilotního provozu bude program plošně implementován do praxe na všech pracovištích ÚP ČR. </w:t>
            </w:r>
          </w:p>
          <w:p w:rsidR="00C61ECC" w:rsidRDefault="00C61ECC" w:rsidP="00C61ECC"/>
          <w:p w:rsidR="00C61ECC" w:rsidRPr="00FA42AF" w:rsidRDefault="00C61ECC" w:rsidP="00C61ECC">
            <w:pPr>
              <w:rPr>
                <w:b/>
              </w:rPr>
            </w:pPr>
            <w:r>
              <w:rPr>
                <w:b/>
              </w:rPr>
              <w:t xml:space="preserve">Opatření částečně transformováno do opatření č. 4.1 a 3.1 k řešení souladu nabídky a poptávky na trhu práce a to v případech, kdy bude s ohledem na aktuální potřeby trhu práce vhodné podpořit klienta v samostatně výdělečné činnosti </w:t>
            </w:r>
            <w:r>
              <w:t>(tedy nebude-li jej možné umístit na trh práce na volné pracovní místo)</w:t>
            </w:r>
            <w:r w:rsidR="00586FAC">
              <w:t>.</w:t>
            </w:r>
          </w:p>
          <w:p w:rsidR="00C54482" w:rsidRDefault="00C54482" w:rsidP="00280EA8"/>
        </w:tc>
      </w:tr>
      <w:tr w:rsidR="00C54482" w:rsidTr="00C54482">
        <w:tc>
          <w:tcPr>
            <w:tcW w:w="4565" w:type="dxa"/>
          </w:tcPr>
          <w:p w:rsidR="003B2D34" w:rsidRPr="00FA42AF" w:rsidRDefault="003B2D34" w:rsidP="00586FAC">
            <w:pPr>
              <w:numPr>
                <w:ilvl w:val="0"/>
                <w:numId w:val="9"/>
              </w:numPr>
              <w:spacing w:after="200"/>
              <w:contextualSpacing/>
              <w:rPr>
                <w:rFonts w:eastAsia="Calibri"/>
              </w:rPr>
            </w:pPr>
            <w:r w:rsidRPr="00FA42AF">
              <w:rPr>
                <w:rFonts w:eastAsia="Calibri"/>
              </w:rPr>
              <w:t>Cílená podpora uchazečů o</w:t>
            </w:r>
            <w:r w:rsidR="00586FAC">
              <w:rPr>
                <w:rFonts w:eastAsia="Calibri"/>
              </w:rPr>
              <w:t> </w:t>
            </w:r>
            <w:r w:rsidRPr="00FA42AF">
              <w:rPr>
                <w:rFonts w:eastAsia="Calibri"/>
              </w:rPr>
              <w:t>zaměstnání prostřednictvím rekvalifikací náhradou za cizince.</w:t>
            </w:r>
          </w:p>
          <w:p w:rsidR="00C54482" w:rsidRDefault="00C54482" w:rsidP="003B2D34">
            <w:pPr>
              <w:jc w:val="center"/>
            </w:pPr>
          </w:p>
        </w:tc>
        <w:tc>
          <w:tcPr>
            <w:tcW w:w="993" w:type="dxa"/>
          </w:tcPr>
          <w:p w:rsidR="003B2D34" w:rsidRPr="00FA42AF" w:rsidRDefault="003B2D34" w:rsidP="003B2D34">
            <w:pPr>
              <w:rPr>
                <w:b/>
              </w:rPr>
            </w:pPr>
            <w:r w:rsidRPr="003B2D34">
              <w:rPr>
                <w:rFonts w:eastAsia="Calibri"/>
                <w:b/>
              </w:rPr>
              <w:t>MPSV</w:t>
            </w:r>
            <w:r>
              <w:rPr>
                <w:rFonts w:eastAsia="Calibri"/>
              </w:rPr>
              <w:t>ÚP ČR</w:t>
            </w:r>
            <w:r w:rsidRPr="00FA42AF">
              <w:rPr>
                <w:rFonts w:eastAsia="Calibri"/>
              </w:rPr>
              <w:t xml:space="preserve"> </w:t>
            </w:r>
          </w:p>
          <w:p w:rsidR="00C54482" w:rsidRDefault="00C54482" w:rsidP="00280EA8"/>
        </w:tc>
        <w:tc>
          <w:tcPr>
            <w:tcW w:w="1354" w:type="dxa"/>
            <w:gridSpan w:val="2"/>
          </w:tcPr>
          <w:p w:rsidR="00C54482" w:rsidRPr="003B2D34" w:rsidRDefault="003B2D34" w:rsidP="00280EA8">
            <w:r>
              <w:t>Splněno</w:t>
            </w:r>
          </w:p>
        </w:tc>
        <w:tc>
          <w:tcPr>
            <w:tcW w:w="7308" w:type="dxa"/>
            <w:gridSpan w:val="2"/>
          </w:tcPr>
          <w:p w:rsidR="003B2D34" w:rsidRDefault="003B2D34" w:rsidP="003B2D34">
            <w:pPr>
              <w:ind w:left="33"/>
            </w:pPr>
            <w:r w:rsidRPr="00FA42AF">
              <w:t>Je řešeno vnitřním aktem řízení. Je aplikována instrukce k realizaci aktivní politiky zaměstnanosti, která mimo jiné obsahuje požadavek na důraz rekvalifikací v oblasti technických oborů, kde zejména je nejvíce citelný nedostatek vlastních českých odborníků</w:t>
            </w:r>
            <w:r>
              <w:t xml:space="preserve"> a </w:t>
            </w:r>
            <w:r w:rsidRPr="00FA42AF">
              <w:t>kde často dochází k</w:t>
            </w:r>
            <w:r>
              <w:t> </w:t>
            </w:r>
            <w:r w:rsidRPr="00FA42AF">
              <w:t>preferování cizinců z tohoto důvodu. Současně je zohledněno usnesení vlády 954/2015 o státním integračním programu pro osoby s udělenou mezinárodní ochranou v roce 2016 a v letech následujících</w:t>
            </w:r>
            <w:r>
              <w:t>.</w:t>
            </w:r>
            <w:r w:rsidRPr="00FA42AF">
              <w:t xml:space="preserve"> </w:t>
            </w:r>
          </w:p>
          <w:p w:rsidR="003B2D34" w:rsidRPr="00FA42AF" w:rsidRDefault="003B2D34" w:rsidP="003B2D34">
            <w:pPr>
              <w:ind w:left="33"/>
              <w:rPr>
                <w:b/>
              </w:rPr>
            </w:pPr>
          </w:p>
          <w:p w:rsidR="00C54482" w:rsidRDefault="003B2D34" w:rsidP="003B2D34">
            <w:r w:rsidRPr="003B2D34">
              <w:t>Zohledněno ve Směrnici GŘ ÚP ČR 1/2015 a dodatku k této směrnici (2016).</w:t>
            </w:r>
          </w:p>
          <w:p w:rsidR="003B2D34" w:rsidRDefault="003B2D34" w:rsidP="003B2D34"/>
          <w:p w:rsidR="003B2D34" w:rsidRPr="003B2D34" w:rsidRDefault="003B2D34" w:rsidP="003B2D34">
            <w:pPr>
              <w:rPr>
                <w:b/>
              </w:rPr>
            </w:pPr>
            <w:r>
              <w:rPr>
                <w:b/>
              </w:rPr>
              <w:t>Zároveň další plnění transformováno do opatření č. 4.2 k řešení souladu nabídky a poptávky na trhu práce.</w:t>
            </w:r>
          </w:p>
        </w:tc>
      </w:tr>
      <w:tr w:rsidR="003B2D34" w:rsidTr="006D6F35">
        <w:tc>
          <w:tcPr>
            <w:tcW w:w="14220" w:type="dxa"/>
            <w:gridSpan w:val="6"/>
          </w:tcPr>
          <w:p w:rsidR="003B2D34" w:rsidRPr="003B2D34" w:rsidRDefault="003B2D34" w:rsidP="00280EA8">
            <w:pPr>
              <w:rPr>
                <w:b/>
              </w:rPr>
            </w:pPr>
            <w:r w:rsidRPr="003B2D34">
              <w:rPr>
                <w:b/>
              </w:rPr>
              <w:t xml:space="preserve">IV. Koncepční a </w:t>
            </w:r>
            <w:proofErr w:type="spellStart"/>
            <w:r w:rsidRPr="003B2D34">
              <w:rPr>
                <w:b/>
              </w:rPr>
              <w:t>multiresortní</w:t>
            </w:r>
            <w:proofErr w:type="spellEnd"/>
            <w:r w:rsidRPr="003B2D34">
              <w:rPr>
                <w:b/>
              </w:rPr>
              <w:t xml:space="preserve"> přístup k podpoře principů sociální ekonomiky</w:t>
            </w:r>
          </w:p>
        </w:tc>
      </w:tr>
      <w:tr w:rsidR="00C54482" w:rsidTr="00C54482">
        <w:tc>
          <w:tcPr>
            <w:tcW w:w="4565" w:type="dxa"/>
          </w:tcPr>
          <w:p w:rsidR="00C54482" w:rsidRDefault="003B2D34" w:rsidP="001F4C42">
            <w:pPr>
              <w:pStyle w:val="Odstavecseseznamem"/>
              <w:numPr>
                <w:ilvl w:val="0"/>
                <w:numId w:val="9"/>
              </w:numPr>
            </w:pPr>
            <w:r w:rsidRPr="003B2D34">
              <w:rPr>
                <w:rFonts w:eastAsia="Calibri"/>
              </w:rPr>
              <w:t>Pokračovat v podpoře vzniku sociálních firem a s tím spojených pracovních příležitostí v rámci sociálního podnikání. V této souvislosti se počítá například s podporou dlouhodobě nezaměstnaných (déle než 12 měsíců v evidenci).</w:t>
            </w:r>
          </w:p>
        </w:tc>
        <w:tc>
          <w:tcPr>
            <w:tcW w:w="993" w:type="dxa"/>
          </w:tcPr>
          <w:p w:rsidR="00C54482" w:rsidRDefault="003B2D34" w:rsidP="00280EA8">
            <w:pPr>
              <w:rPr>
                <w:b/>
              </w:rPr>
            </w:pPr>
            <w:r>
              <w:rPr>
                <w:b/>
              </w:rPr>
              <w:t>MPSV</w:t>
            </w:r>
          </w:p>
          <w:p w:rsidR="003B2D34" w:rsidRPr="003B2D34" w:rsidRDefault="003B2D34" w:rsidP="00280EA8">
            <w:pPr>
              <w:rPr>
                <w:b/>
              </w:rPr>
            </w:pPr>
            <w:r>
              <w:rPr>
                <w:b/>
              </w:rPr>
              <w:t>ÚP ČR</w:t>
            </w:r>
          </w:p>
        </w:tc>
        <w:tc>
          <w:tcPr>
            <w:tcW w:w="1354" w:type="dxa"/>
            <w:gridSpan w:val="2"/>
          </w:tcPr>
          <w:p w:rsidR="003B2D34" w:rsidRPr="003B2D34" w:rsidRDefault="003B2D34" w:rsidP="00280EA8">
            <w:pPr>
              <w:rPr>
                <w:b/>
              </w:rPr>
            </w:pPr>
            <w:r w:rsidRPr="005B0E6F">
              <w:rPr>
                <w:b/>
              </w:rPr>
              <w:t>Splněno</w:t>
            </w:r>
          </w:p>
        </w:tc>
        <w:tc>
          <w:tcPr>
            <w:tcW w:w="7308" w:type="dxa"/>
            <w:gridSpan w:val="2"/>
          </w:tcPr>
          <w:p w:rsidR="00C54482" w:rsidRDefault="003B2D34" w:rsidP="00280EA8">
            <w:r w:rsidRPr="00FA42AF">
              <w:t>V současné době je připravován při Úřadu vlády ČR věcný záměr zákona o sociálním podnikání, na kterém MPSV participuje. V srpnu 2015 byla vyhlášena první výzva na podporu sociálních podniků (výzva č. 015).</w:t>
            </w:r>
            <w:r w:rsidRPr="00FA42AF">
              <w:rPr>
                <w:i/>
              </w:rPr>
              <w:t xml:space="preserve"> </w:t>
            </w:r>
            <w:r w:rsidRPr="00FA42AF">
              <w:t xml:space="preserve">Podporu sociálního podnikání obsahují </w:t>
            </w:r>
            <w:r>
              <w:br/>
            </w:r>
            <w:r w:rsidRPr="00FA42AF">
              <w:t xml:space="preserve">i výzvy č. 026 a 042 zaměřené na podporu koordinovaného přístupu k sociálně vyloučeným lokalitám a sociální podnikání </w:t>
            </w:r>
            <w:r>
              <w:t xml:space="preserve">je </w:t>
            </w:r>
            <w:r w:rsidRPr="00FA42AF">
              <w:t>rovněž jednou z podporovaných aktiv</w:t>
            </w:r>
            <w:r>
              <w:t>i</w:t>
            </w:r>
            <w:r w:rsidRPr="00FA42AF">
              <w:t>t CLLD (komunitně vedený rozvoj) v rámci IP 2.3 OPZ. Zároveň je připravován projekt na vytvoření a rozvoj podpůrné sítě pro začínající sociální podnikatele (poradenství/konzultace atd.)</w:t>
            </w:r>
            <w:r>
              <w:t>.</w:t>
            </w:r>
          </w:p>
        </w:tc>
      </w:tr>
      <w:tr w:rsidR="003B2D34" w:rsidTr="006D6F35">
        <w:tc>
          <w:tcPr>
            <w:tcW w:w="14220" w:type="dxa"/>
            <w:gridSpan w:val="6"/>
          </w:tcPr>
          <w:p w:rsidR="003B2D34" w:rsidRPr="003B2D34" w:rsidRDefault="003B2D34" w:rsidP="00280EA8">
            <w:pPr>
              <w:rPr>
                <w:b/>
              </w:rPr>
            </w:pPr>
            <w:r w:rsidRPr="003B2D34">
              <w:rPr>
                <w:rFonts w:eastAsia="Calibri"/>
                <w:b/>
              </w:rPr>
              <w:t>V. Navýšení finančních prostředků na APZ</w:t>
            </w:r>
          </w:p>
        </w:tc>
      </w:tr>
      <w:tr w:rsidR="003B2D34" w:rsidTr="00C54482">
        <w:tc>
          <w:tcPr>
            <w:tcW w:w="4565" w:type="dxa"/>
          </w:tcPr>
          <w:p w:rsidR="003B2D34" w:rsidRPr="00FA42AF" w:rsidRDefault="003B2D34" w:rsidP="001F4C42">
            <w:pPr>
              <w:numPr>
                <w:ilvl w:val="0"/>
                <w:numId w:val="9"/>
              </w:numPr>
              <w:contextualSpacing/>
              <w:rPr>
                <w:rFonts w:eastAsia="Calibri"/>
                <w:b/>
              </w:rPr>
            </w:pPr>
            <w:r w:rsidRPr="00FA42AF">
              <w:rPr>
                <w:rFonts w:eastAsia="Calibri"/>
              </w:rPr>
              <w:t>Zajistit průběžné navyšování rozpočtu na APZ do roku 2018 z národních prostředků a to s ohledem na situaci trhu práce.</w:t>
            </w:r>
          </w:p>
          <w:p w:rsidR="003B2D34" w:rsidRDefault="003B2D34" w:rsidP="003B2D34">
            <w:pPr>
              <w:tabs>
                <w:tab w:val="left" w:pos="2897"/>
              </w:tabs>
            </w:pPr>
          </w:p>
        </w:tc>
        <w:tc>
          <w:tcPr>
            <w:tcW w:w="993" w:type="dxa"/>
          </w:tcPr>
          <w:p w:rsidR="008754EF" w:rsidRDefault="008754EF" w:rsidP="008754EF">
            <w:pPr>
              <w:rPr>
                <w:b/>
              </w:rPr>
            </w:pPr>
            <w:r>
              <w:rPr>
                <w:b/>
              </w:rPr>
              <w:t>MPSV</w:t>
            </w:r>
          </w:p>
          <w:p w:rsidR="003B2D34" w:rsidRDefault="008754EF" w:rsidP="008754EF">
            <w:r>
              <w:rPr>
                <w:b/>
              </w:rPr>
              <w:t>ÚP ČR</w:t>
            </w:r>
          </w:p>
        </w:tc>
        <w:tc>
          <w:tcPr>
            <w:tcW w:w="1354" w:type="dxa"/>
            <w:gridSpan w:val="2"/>
          </w:tcPr>
          <w:p w:rsidR="003B2D34" w:rsidRPr="008754EF" w:rsidRDefault="008754EF" w:rsidP="00280EA8">
            <w:pPr>
              <w:rPr>
                <w:b/>
              </w:rPr>
            </w:pPr>
            <w:r>
              <w:rPr>
                <w:b/>
              </w:rPr>
              <w:t>Průběžně řešeno</w:t>
            </w:r>
          </w:p>
        </w:tc>
        <w:tc>
          <w:tcPr>
            <w:tcW w:w="7308" w:type="dxa"/>
            <w:gridSpan w:val="2"/>
          </w:tcPr>
          <w:p w:rsidR="008754EF" w:rsidRPr="00FA42AF" w:rsidRDefault="008754EF" w:rsidP="008754EF">
            <w:r>
              <w:t>Konečný r</w:t>
            </w:r>
            <w:r w:rsidRPr="00FA42AF">
              <w:t xml:space="preserve">ozpočet </w:t>
            </w:r>
            <w:r>
              <w:t xml:space="preserve"> APZ financované čistě z </w:t>
            </w:r>
            <w:r w:rsidRPr="00FA42AF">
              <w:t xml:space="preserve">národních </w:t>
            </w:r>
            <w:r>
              <w:t>zdrojů</w:t>
            </w:r>
            <w:r w:rsidRPr="00FA42AF">
              <w:t>:</w:t>
            </w:r>
          </w:p>
          <w:p w:rsidR="008754EF" w:rsidRPr="00FA42AF" w:rsidRDefault="008754EF" w:rsidP="008754EF">
            <w:pPr>
              <w:rPr>
                <w:b/>
              </w:rPr>
            </w:pPr>
          </w:p>
          <w:p w:rsidR="008754EF" w:rsidRPr="00FA42AF" w:rsidRDefault="008754EF" w:rsidP="008754EF">
            <w:pPr>
              <w:rPr>
                <w:b/>
              </w:rPr>
            </w:pPr>
            <w:r w:rsidRPr="00FA42AF">
              <w:t>2013: 2 435 956 000,- Kč</w:t>
            </w:r>
            <w:r>
              <w:t>.</w:t>
            </w:r>
          </w:p>
          <w:p w:rsidR="008754EF" w:rsidRPr="00FA42AF" w:rsidRDefault="008754EF" w:rsidP="008754EF">
            <w:pPr>
              <w:rPr>
                <w:b/>
              </w:rPr>
            </w:pPr>
            <w:r w:rsidRPr="00FA42AF">
              <w:t>2014: 2 172 743 750,- Kč</w:t>
            </w:r>
            <w:r>
              <w:t>.</w:t>
            </w:r>
          </w:p>
          <w:p w:rsidR="008754EF" w:rsidRDefault="008754EF" w:rsidP="008754EF">
            <w:r w:rsidRPr="00FA42AF">
              <w:t xml:space="preserve">2015: </w:t>
            </w:r>
            <w:r>
              <w:t>1 950 215 000 Kč.</w:t>
            </w:r>
          </w:p>
          <w:p w:rsidR="008754EF" w:rsidRPr="00FA42AF" w:rsidRDefault="008754EF" w:rsidP="008754EF">
            <w:pPr>
              <w:rPr>
                <w:b/>
              </w:rPr>
            </w:pPr>
          </w:p>
          <w:p w:rsidR="008754EF" w:rsidRPr="00FA42AF" w:rsidRDefault="008754EF" w:rsidP="008754EF">
            <w:pPr>
              <w:rPr>
                <w:b/>
              </w:rPr>
            </w:pPr>
            <w:r>
              <w:t xml:space="preserve">K 1. 1. </w:t>
            </w:r>
            <w:r w:rsidRPr="00FA42AF">
              <w:t xml:space="preserve">2016: </w:t>
            </w:r>
            <w:r>
              <w:t xml:space="preserve">schválený rozpočet </w:t>
            </w:r>
            <w:r w:rsidRPr="00FA42AF">
              <w:t>1 010 000 000,- Kč</w:t>
            </w:r>
            <w:r>
              <w:t>, k 3. 3. 2016 uvolněné NNV ve výši 1 193 000 000,- Kč. Finanční zdroj k 1. 6. 2016 ve výši 2 203 000 000 Kč.</w:t>
            </w:r>
          </w:p>
          <w:p w:rsidR="008754EF" w:rsidRPr="00A447D0" w:rsidRDefault="008754EF" w:rsidP="008754EF">
            <w:pPr>
              <w:rPr>
                <w:b/>
              </w:rPr>
            </w:pPr>
          </w:p>
          <w:p w:rsidR="008754EF" w:rsidRPr="00FA42AF" w:rsidRDefault="008754EF" w:rsidP="008754EF">
            <w:pPr>
              <w:rPr>
                <w:b/>
              </w:rPr>
            </w:pPr>
            <w:r>
              <w:t xml:space="preserve">Ve střednědobém výhledu na </w:t>
            </w:r>
            <w:r w:rsidRPr="00FA42AF">
              <w:t>léta 2017-2018</w:t>
            </w:r>
            <w:r>
              <w:t xml:space="preserve"> zpracovaném při návrhu rozpočtu na rok 2016 byly rozpočtovány pro uvedené roky objemy ve výši </w:t>
            </w:r>
            <w:r w:rsidRPr="00FA42AF">
              <w:t>1 530 000 000 Kč pro každý ro</w:t>
            </w:r>
            <w:r>
              <w:t>k. Zároveň nelze očekávat výrazné navýšení alokací probíhajících projektů, připravováno je navýšení u nástroje VPP o 400 mil Kč. Nicméně s ohledem na to, že již alokace projektu jsou téměř vyčerpané, bude</w:t>
            </w:r>
            <w:r w:rsidRPr="00FA42AF">
              <w:t xml:space="preserve"> problematické splnění tohoto úkolu.</w:t>
            </w:r>
          </w:p>
          <w:p w:rsidR="003B2D34" w:rsidRDefault="003B2D34" w:rsidP="00280EA8"/>
          <w:p w:rsidR="005A189A" w:rsidRDefault="005A189A" w:rsidP="00280EA8">
            <w:r>
              <w:t>Struktura výdajů na APZ podle nejčastěji využívaných nástrojů (národní prostředky + ESF):</w:t>
            </w:r>
          </w:p>
          <w:p w:rsidR="005A189A" w:rsidRDefault="005A189A" w:rsidP="00280EA8"/>
          <w:p w:rsidR="005A189A" w:rsidRPr="00406164" w:rsidRDefault="00CE55AA" w:rsidP="00280EA8">
            <w:pPr>
              <w:rPr>
                <w:i/>
              </w:rPr>
            </w:pPr>
            <w:r w:rsidRPr="00406164">
              <w:rPr>
                <w:i/>
              </w:rPr>
              <w:t>2015</w:t>
            </w:r>
          </w:p>
          <w:p w:rsidR="00CE55AA" w:rsidRDefault="00CE55AA" w:rsidP="00280EA8">
            <w:r>
              <w:t>VPP – 2,67 mld. Kč (27,65 %)</w:t>
            </w:r>
          </w:p>
          <w:p w:rsidR="00CE55AA" w:rsidRDefault="00CE55AA" w:rsidP="00280EA8">
            <w:r>
              <w:t>SÚPM</w:t>
            </w:r>
            <w:r w:rsidR="00380B51">
              <w:t xml:space="preserve"> – 3,8 mld. Kč (39,45 %)</w:t>
            </w:r>
          </w:p>
          <w:p w:rsidR="0049008F" w:rsidRDefault="0049008F" w:rsidP="00280EA8">
            <w:r>
              <w:t>Rekvalifikace – 380 mil. Kč (4 %)</w:t>
            </w:r>
          </w:p>
          <w:p w:rsidR="0049008F" w:rsidRDefault="0049008F" w:rsidP="00280EA8">
            <w:r>
              <w:t xml:space="preserve">Cílené programy </w:t>
            </w:r>
            <w:r w:rsidR="00406164">
              <w:t>–</w:t>
            </w:r>
            <w:r>
              <w:t xml:space="preserve"> </w:t>
            </w:r>
            <w:r w:rsidR="00406164">
              <w:t>2,1 mld. Kč (21,5 %)</w:t>
            </w:r>
          </w:p>
          <w:p w:rsidR="00406164" w:rsidRDefault="00406164" w:rsidP="00280EA8"/>
          <w:p w:rsidR="00406164" w:rsidRPr="00406164" w:rsidRDefault="00406164" w:rsidP="00280EA8">
            <w:pPr>
              <w:rPr>
                <w:i/>
              </w:rPr>
            </w:pPr>
            <w:r w:rsidRPr="00406164">
              <w:rPr>
                <w:i/>
              </w:rPr>
              <w:t>2014</w:t>
            </w:r>
          </w:p>
          <w:p w:rsidR="00406164" w:rsidRDefault="00406164" w:rsidP="00280EA8">
            <w:r>
              <w:t>VPP – 2,07 mld. Kč (32,5 %)</w:t>
            </w:r>
          </w:p>
          <w:p w:rsidR="00406164" w:rsidRDefault="00406164" w:rsidP="00280EA8">
            <w:r>
              <w:t>SÚPM – 1,94 mld. Kč (30,4 %)</w:t>
            </w:r>
          </w:p>
          <w:p w:rsidR="00690E87" w:rsidRDefault="00690E87" w:rsidP="00280EA8">
            <w:r>
              <w:t>Rekvalifikace – 344 mil. Kč (5,4 %)</w:t>
            </w:r>
          </w:p>
          <w:p w:rsidR="00C902F4" w:rsidRDefault="00C902F4" w:rsidP="00280EA8">
            <w:r>
              <w:t>Cílené programy – 1,7 mld. Kč (26,9 %)</w:t>
            </w:r>
          </w:p>
          <w:p w:rsidR="00380B51" w:rsidRDefault="00380B51" w:rsidP="00280EA8"/>
          <w:p w:rsidR="008754EF" w:rsidRPr="008754EF" w:rsidRDefault="008754EF" w:rsidP="00280EA8">
            <w:r>
              <w:rPr>
                <w:b/>
              </w:rPr>
              <w:t>Naplňování tohoto opatření je nezbytným předpokladem k efektivnímu řešení opatření č. 2.1 k řešení souladu nabídky a poptávky na trhu práce</w:t>
            </w:r>
            <w:r>
              <w:t>, zejména s ohledem na vyšší finanční náklady při eliminaci strukturální nezaměstnanosti a integraci dlouhodobě nezaměstnaných a nezaměstnaných s kumulací hendikepů na trh práce.</w:t>
            </w:r>
          </w:p>
        </w:tc>
      </w:tr>
      <w:tr w:rsidR="008754EF" w:rsidTr="006D6F35">
        <w:tc>
          <w:tcPr>
            <w:tcW w:w="14220" w:type="dxa"/>
            <w:gridSpan w:val="6"/>
          </w:tcPr>
          <w:p w:rsidR="008754EF" w:rsidRPr="008754EF" w:rsidRDefault="008754EF" w:rsidP="008754EF">
            <w:pPr>
              <w:rPr>
                <w:b/>
              </w:rPr>
            </w:pPr>
            <w:r w:rsidRPr="008754EF">
              <w:rPr>
                <w:rFonts w:eastAsia="Calibri"/>
                <w:b/>
              </w:rPr>
              <w:t xml:space="preserve">VI. APZ – zvyšování efektivity nástrojů a opatření podpora cílových skupin (mladí do 30 let, osoby vracející </w:t>
            </w:r>
            <w:proofErr w:type="gramStart"/>
            <w:r w:rsidRPr="008754EF">
              <w:rPr>
                <w:rFonts w:eastAsia="Calibri"/>
                <w:b/>
              </w:rPr>
              <w:t>se</w:t>
            </w:r>
            <w:proofErr w:type="gramEnd"/>
            <w:r w:rsidRPr="008754EF">
              <w:rPr>
                <w:rFonts w:eastAsia="Calibri"/>
                <w:b/>
              </w:rPr>
              <w:t> z rod</w:t>
            </w:r>
            <w:r>
              <w:rPr>
                <w:rFonts w:eastAsia="Calibri"/>
                <w:b/>
              </w:rPr>
              <w:t>ičovské</w:t>
            </w:r>
            <w:r w:rsidRPr="008754EF">
              <w:rPr>
                <w:rFonts w:eastAsia="Calibri"/>
                <w:b/>
              </w:rPr>
              <w:t xml:space="preserve"> dov</w:t>
            </w:r>
            <w:r>
              <w:rPr>
                <w:rFonts w:eastAsia="Calibri"/>
                <w:b/>
              </w:rPr>
              <w:t>olené</w:t>
            </w:r>
            <w:r w:rsidRPr="008754EF">
              <w:rPr>
                <w:rFonts w:eastAsia="Calibri"/>
                <w:b/>
              </w:rPr>
              <w:t xml:space="preserve">, osoby starší 50 let) </w:t>
            </w:r>
          </w:p>
        </w:tc>
      </w:tr>
      <w:tr w:rsidR="003B2D34" w:rsidTr="008754EF">
        <w:tc>
          <w:tcPr>
            <w:tcW w:w="4565" w:type="dxa"/>
          </w:tcPr>
          <w:p w:rsidR="008754EF" w:rsidRDefault="008754EF" w:rsidP="00586FAC">
            <w:pPr>
              <w:numPr>
                <w:ilvl w:val="0"/>
                <w:numId w:val="9"/>
              </w:numPr>
              <w:ind w:left="426"/>
              <w:contextualSpacing/>
              <w:rPr>
                <w:rFonts w:eastAsia="Calibri"/>
              </w:rPr>
            </w:pPr>
            <w:r w:rsidRPr="00FA42AF">
              <w:rPr>
                <w:rFonts w:eastAsia="Calibri"/>
              </w:rPr>
              <w:t>Úřad práce zvýší počet podpořených uchazečů o zaměstnání jednotlivými nástroji APZ oproti roku 2013 o 10</w:t>
            </w:r>
            <w:r>
              <w:rPr>
                <w:rFonts w:eastAsia="Calibri"/>
              </w:rPr>
              <w:t xml:space="preserve"> </w:t>
            </w:r>
            <w:r w:rsidRPr="00FA42AF">
              <w:rPr>
                <w:rFonts w:eastAsia="Calibri"/>
              </w:rPr>
              <w:t>% uchazečů o zaměstnání.</w:t>
            </w:r>
          </w:p>
          <w:p w:rsidR="008754EF" w:rsidRDefault="008754EF" w:rsidP="008754EF">
            <w:pPr>
              <w:ind w:left="360"/>
              <w:contextualSpacing/>
              <w:rPr>
                <w:rFonts w:eastAsia="Calibri"/>
              </w:rPr>
            </w:pPr>
          </w:p>
          <w:p w:rsidR="00DA2260" w:rsidRDefault="008754EF" w:rsidP="008754EF">
            <w:pPr>
              <w:contextualSpacing/>
              <w:rPr>
                <w:rFonts w:eastAsia="Calibri"/>
              </w:rPr>
            </w:pPr>
            <w:r w:rsidRPr="00FA42AF">
              <w:rPr>
                <w:rFonts w:eastAsia="Calibri"/>
              </w:rPr>
              <w:t>Celkem:</w:t>
            </w:r>
          </w:p>
          <w:p w:rsidR="008754EF" w:rsidRPr="00FA42AF" w:rsidRDefault="00DA2260" w:rsidP="008754EF">
            <w:pPr>
              <w:contextualSpacing/>
              <w:rPr>
                <w:rFonts w:eastAsia="Calibri"/>
              </w:rPr>
            </w:pPr>
            <w:r>
              <w:rPr>
                <w:rFonts w:eastAsia="Calibri"/>
              </w:rPr>
              <w:t>100 000 uchazečů o </w:t>
            </w:r>
            <w:r w:rsidR="008754EF" w:rsidRPr="00FA42AF">
              <w:rPr>
                <w:rFonts w:eastAsia="Calibri"/>
              </w:rPr>
              <w:t>zaměstnání v roce 2014</w:t>
            </w:r>
            <w:r w:rsidR="008754EF">
              <w:rPr>
                <w:rFonts w:eastAsia="Calibri"/>
              </w:rPr>
              <w:t>.</w:t>
            </w:r>
          </w:p>
          <w:p w:rsidR="008754EF" w:rsidRPr="00FA42AF" w:rsidRDefault="008754EF" w:rsidP="008754EF">
            <w:pPr>
              <w:ind w:left="360"/>
              <w:contextualSpacing/>
              <w:rPr>
                <w:rFonts w:eastAsia="Calibri"/>
              </w:rPr>
            </w:pPr>
            <w:r w:rsidRPr="00FA42AF">
              <w:rPr>
                <w:rFonts w:eastAsia="Calibri"/>
              </w:rPr>
              <w:t xml:space="preserve"> </w:t>
            </w:r>
          </w:p>
          <w:p w:rsidR="003B2D34" w:rsidRDefault="003B2D34" w:rsidP="00280EA8"/>
        </w:tc>
        <w:tc>
          <w:tcPr>
            <w:tcW w:w="993" w:type="dxa"/>
          </w:tcPr>
          <w:p w:rsidR="003B2D34" w:rsidRDefault="008754EF" w:rsidP="00280EA8">
            <w:pPr>
              <w:rPr>
                <w:b/>
              </w:rPr>
            </w:pPr>
            <w:r>
              <w:rPr>
                <w:b/>
              </w:rPr>
              <w:t>MPSV</w:t>
            </w:r>
          </w:p>
          <w:p w:rsidR="008754EF" w:rsidRPr="008754EF" w:rsidRDefault="008754EF" w:rsidP="00280EA8">
            <w:pPr>
              <w:rPr>
                <w:b/>
              </w:rPr>
            </w:pPr>
            <w:r>
              <w:rPr>
                <w:b/>
              </w:rPr>
              <w:t>ÚP ČR</w:t>
            </w:r>
          </w:p>
        </w:tc>
        <w:tc>
          <w:tcPr>
            <w:tcW w:w="1213" w:type="dxa"/>
          </w:tcPr>
          <w:p w:rsidR="003B2D34" w:rsidRDefault="008754EF" w:rsidP="00280EA8">
            <w:r>
              <w:t>Splněno</w:t>
            </w:r>
          </w:p>
        </w:tc>
        <w:tc>
          <w:tcPr>
            <w:tcW w:w="7449" w:type="dxa"/>
            <w:gridSpan w:val="3"/>
          </w:tcPr>
          <w:p w:rsidR="008754EF" w:rsidRPr="00FA42AF" w:rsidRDefault="008754EF" w:rsidP="008754EF">
            <w:pPr>
              <w:rPr>
                <w:b/>
              </w:rPr>
            </w:pPr>
            <w:r w:rsidRPr="00FA42AF">
              <w:t>Úřad práce podpořil:</w:t>
            </w:r>
          </w:p>
          <w:p w:rsidR="008754EF" w:rsidRPr="00FA42AF" w:rsidRDefault="008754EF" w:rsidP="008754EF">
            <w:pPr>
              <w:rPr>
                <w:b/>
              </w:rPr>
            </w:pPr>
          </w:p>
          <w:p w:rsidR="008754EF" w:rsidRPr="00FA42AF" w:rsidRDefault="008754EF" w:rsidP="008754EF">
            <w:pPr>
              <w:rPr>
                <w:b/>
              </w:rPr>
            </w:pPr>
            <w:r>
              <w:t>V</w:t>
            </w:r>
            <w:r w:rsidRPr="00FA42AF">
              <w:t xml:space="preserve"> roce </w:t>
            </w:r>
            <w:r w:rsidRPr="008754EF">
              <w:rPr>
                <w:b/>
              </w:rPr>
              <w:t>2013</w:t>
            </w:r>
            <w:r w:rsidRPr="00FA42AF">
              <w:t xml:space="preserve"> 89 478 uchazečů o zaměstnání, v roce </w:t>
            </w:r>
            <w:r w:rsidRPr="008754EF">
              <w:rPr>
                <w:b/>
              </w:rPr>
              <w:t>2014</w:t>
            </w:r>
            <w:r w:rsidRPr="00FA42AF">
              <w:t xml:space="preserve"> 115 379 uchazečů o zaměstnání</w:t>
            </w:r>
            <w:r>
              <w:t>:</w:t>
            </w:r>
          </w:p>
          <w:p w:rsidR="008754EF" w:rsidRPr="00FA42AF" w:rsidRDefault="008754EF" w:rsidP="001F4C42">
            <w:pPr>
              <w:pStyle w:val="Odstavecseseznamem"/>
              <w:numPr>
                <w:ilvl w:val="0"/>
                <w:numId w:val="10"/>
              </w:numPr>
              <w:contextualSpacing w:val="0"/>
              <w:rPr>
                <w:b/>
              </w:rPr>
            </w:pPr>
            <w:r w:rsidRPr="00FA42AF">
              <w:t>32 % do 30 let</w:t>
            </w:r>
          </w:p>
          <w:p w:rsidR="008754EF" w:rsidRPr="00FA42AF" w:rsidRDefault="008754EF" w:rsidP="001F4C42">
            <w:pPr>
              <w:pStyle w:val="Odstavecseseznamem"/>
              <w:numPr>
                <w:ilvl w:val="0"/>
                <w:numId w:val="10"/>
              </w:numPr>
              <w:contextualSpacing w:val="0"/>
              <w:rPr>
                <w:b/>
              </w:rPr>
            </w:pPr>
            <w:r w:rsidRPr="00FA42AF">
              <w:t>26 % nad 50 let</w:t>
            </w:r>
          </w:p>
          <w:p w:rsidR="008754EF" w:rsidRPr="00FA42AF" w:rsidRDefault="008754EF" w:rsidP="001F4C42">
            <w:pPr>
              <w:pStyle w:val="Odstavecseseznamem"/>
              <w:numPr>
                <w:ilvl w:val="0"/>
                <w:numId w:val="10"/>
              </w:numPr>
              <w:contextualSpacing w:val="0"/>
              <w:rPr>
                <w:b/>
              </w:rPr>
            </w:pPr>
            <w:r w:rsidRPr="00FA42AF">
              <w:t>3,8 % osob po MD/RD</w:t>
            </w:r>
          </w:p>
          <w:p w:rsidR="008754EF" w:rsidRPr="00FA42AF" w:rsidRDefault="008754EF" w:rsidP="008754EF">
            <w:pPr>
              <w:rPr>
                <w:b/>
              </w:rPr>
            </w:pPr>
            <w:r w:rsidRPr="00FA42AF">
              <w:t>Došlo k nárůstu o 28,9</w:t>
            </w:r>
            <w:r>
              <w:t xml:space="preserve"> </w:t>
            </w:r>
            <w:r w:rsidRPr="00FA42AF">
              <w:t>%</w:t>
            </w:r>
            <w:r>
              <w:t>.</w:t>
            </w:r>
          </w:p>
          <w:p w:rsidR="008754EF" w:rsidRPr="00FA42AF" w:rsidRDefault="008754EF" w:rsidP="008754EF">
            <w:pPr>
              <w:rPr>
                <w:b/>
              </w:rPr>
            </w:pPr>
          </w:p>
          <w:p w:rsidR="008754EF" w:rsidRPr="00FA42AF" w:rsidRDefault="008754EF" w:rsidP="008754EF">
            <w:pPr>
              <w:rPr>
                <w:b/>
              </w:rPr>
            </w:pPr>
            <w:r w:rsidRPr="00FA42AF">
              <w:t xml:space="preserve">V roce </w:t>
            </w:r>
            <w:r w:rsidRPr="008754EF">
              <w:rPr>
                <w:b/>
              </w:rPr>
              <w:t>2015</w:t>
            </w:r>
            <w:r w:rsidRPr="00FA42AF">
              <w:t xml:space="preserve"> bylo nástroji APZ podpořeno celkem 127 919 osob</w:t>
            </w:r>
          </w:p>
          <w:p w:rsidR="008754EF" w:rsidRPr="00FA42AF" w:rsidRDefault="008754EF" w:rsidP="001F4C42">
            <w:pPr>
              <w:pStyle w:val="Odstavecseseznamem"/>
              <w:numPr>
                <w:ilvl w:val="0"/>
                <w:numId w:val="11"/>
              </w:numPr>
              <w:rPr>
                <w:b/>
              </w:rPr>
            </w:pPr>
            <w:r w:rsidRPr="00FA42AF">
              <w:t xml:space="preserve">30,6 % do 30 let </w:t>
            </w:r>
          </w:p>
          <w:p w:rsidR="008754EF" w:rsidRPr="00FA42AF" w:rsidRDefault="008754EF" w:rsidP="001F4C42">
            <w:pPr>
              <w:pStyle w:val="Odstavecseseznamem"/>
              <w:numPr>
                <w:ilvl w:val="0"/>
                <w:numId w:val="11"/>
              </w:numPr>
              <w:rPr>
                <w:b/>
              </w:rPr>
            </w:pPr>
            <w:r w:rsidRPr="00FA42AF">
              <w:t xml:space="preserve">23,8 % nad 50 let </w:t>
            </w:r>
          </w:p>
          <w:p w:rsidR="008754EF" w:rsidRPr="00FA42AF" w:rsidRDefault="008754EF" w:rsidP="001F4C42">
            <w:pPr>
              <w:pStyle w:val="Odstavecseseznamem"/>
              <w:numPr>
                <w:ilvl w:val="0"/>
                <w:numId w:val="11"/>
              </w:numPr>
              <w:rPr>
                <w:b/>
              </w:rPr>
            </w:pPr>
            <w:r w:rsidRPr="00FA42AF">
              <w:t>3,6 % osob po RD/MD</w:t>
            </w:r>
          </w:p>
          <w:p w:rsidR="003B2D34" w:rsidRDefault="008754EF" w:rsidP="008754EF">
            <w:r w:rsidRPr="00FA42AF">
              <w:t xml:space="preserve">Oproti roku 2014 došlo k navýšení o 10,9 %, </w:t>
            </w:r>
            <w:r>
              <w:t>oproti roku 2013 o 43 </w:t>
            </w:r>
            <w:r w:rsidRPr="00FA42AF">
              <w:t>%</w:t>
            </w:r>
            <w:r>
              <w:t>.</w:t>
            </w:r>
          </w:p>
          <w:p w:rsidR="00DA2260" w:rsidRDefault="00DA2260" w:rsidP="008754EF"/>
          <w:p w:rsidR="00DA2260" w:rsidRDefault="00DA2260" w:rsidP="00DA2260">
            <w:r>
              <w:t xml:space="preserve">Od začátku roku do konce srpna bylo v rámci VPP vytvořeno celkem 17 951 pracovních míst (za stejné období roku 2015 to bylo 23 859 pracovních míst). Celkem bylo na tento druh pracovních míst umístěno 18 496 uchazečů o zaměstnání, což je o 5 967 méně, než za stejné období roku 2015. </w:t>
            </w:r>
            <w:r w:rsidRPr="00EE56BA">
              <w:t>Pokles počtu osob umístěných na místa VPP je dán poklesem celkového počtu ev</w:t>
            </w:r>
            <w:r>
              <w:t xml:space="preserve">idovaných uchazečů o zaměstnání </w:t>
            </w:r>
            <w:r w:rsidRPr="00EE56BA">
              <w:t>a úpravou kritérií pro umísťování na místa VPP. Kladen je důraz zejména na umísťování osob, které jsou pro svou osobní charakteristiku dlouhodobě neuplatnitelné na nepodporovaném trhu práce a osob, které pobírají dávky hmotné nouze.</w:t>
            </w:r>
          </w:p>
          <w:p w:rsidR="00DA2260" w:rsidRDefault="00DA2260" w:rsidP="00DA2260"/>
          <w:p w:rsidR="00DA2260" w:rsidRDefault="00DA2260" w:rsidP="00DA2260">
            <w:r>
              <w:t>Od začátku roku do konce srpna ÚP ČR poskytl příspěvek na vyhrazení 17 920 pracovních míst (za stejné období roku 2015 to bylo 31 656) SÚPM. Příspěvek na zřízení SÚPM byl do srpna 2016 poskytnut na vybavení 1 362 pracovních míst pro uchazeče o zaměstnání. Z tohoto počtu bylo zřízeno 18 pracovních míst u zaměstnavatelů (celkem vyčerpáno 3 898 tis. Kč) a 1 344 pracovních míst zřídili uchazeči o zaměstnání, kteří se rozhodli zahájit samostatnou výdělečnou činnost.  Příjemci příspěvku na SÚPM-SVČ mohou dále získat překlenovací příspěvek, celkem bylo tímto příspěvkem za sledované období podpořeno 128 osob. K </w:t>
            </w:r>
            <w:r w:rsidRPr="00EE56BA">
              <w:t>poklesu počtu podpořenýc</w:t>
            </w:r>
            <w:r>
              <w:t>h osob došlo zejména vzhledem k </w:t>
            </w:r>
            <w:r w:rsidRPr="00EE56BA">
              <w:t xml:space="preserve">poklesu celkového počtu evidovaných </w:t>
            </w:r>
            <w:proofErr w:type="spellStart"/>
            <w:r w:rsidRPr="00EE56BA">
              <w:t>UoZ</w:t>
            </w:r>
            <w:proofErr w:type="spellEnd"/>
            <w:r w:rsidRPr="00EE56BA">
              <w:t xml:space="preserve"> na ÚP ČR.</w:t>
            </w:r>
          </w:p>
          <w:p w:rsidR="00DA2260" w:rsidRDefault="00DA2260" w:rsidP="00DA2260"/>
          <w:p w:rsidR="00DA2260" w:rsidRPr="00DA2260" w:rsidRDefault="00DA2260" w:rsidP="00DA2260">
            <w:pPr>
              <w:rPr>
                <w:b/>
              </w:rPr>
            </w:pPr>
            <w:r>
              <w:rPr>
                <w:b/>
              </w:rPr>
              <w:t xml:space="preserve">Zajištění naplňování opatření, </w:t>
            </w:r>
            <w:r>
              <w:t xml:space="preserve">zejména cílené využívání nástrojů APZ namísto jejich širšího uplatňování, </w:t>
            </w:r>
            <w:r>
              <w:rPr>
                <w:b/>
              </w:rPr>
              <w:t>je transformováno do opatření č. 2.1 k řešení souladu nabídky a poptávky na trhu práce.</w:t>
            </w:r>
          </w:p>
        </w:tc>
      </w:tr>
      <w:tr w:rsidR="003B2D34" w:rsidTr="008754EF">
        <w:tc>
          <w:tcPr>
            <w:tcW w:w="4565" w:type="dxa"/>
          </w:tcPr>
          <w:p w:rsidR="00DA2260" w:rsidRDefault="00DA2260" w:rsidP="001F4C42">
            <w:pPr>
              <w:numPr>
                <w:ilvl w:val="0"/>
                <w:numId w:val="9"/>
              </w:numPr>
              <w:contextualSpacing/>
              <w:rPr>
                <w:rFonts w:eastAsia="Calibri"/>
                <w:b/>
              </w:rPr>
            </w:pPr>
            <w:r w:rsidRPr="00FA42AF">
              <w:rPr>
                <w:rFonts w:eastAsia="Calibri"/>
              </w:rPr>
              <w:t>Zavést možnost přiznání podpory při re</w:t>
            </w:r>
            <w:r w:rsidR="009E7964">
              <w:rPr>
                <w:rFonts w:eastAsia="Calibri"/>
              </w:rPr>
              <w:t>kvalifikaci uchazečům o </w:t>
            </w:r>
            <w:r w:rsidRPr="00FA42AF">
              <w:rPr>
                <w:rFonts w:eastAsia="Calibri"/>
              </w:rPr>
              <w:t xml:space="preserve">zaměstnání - účastníkům zvolené rekvalifikace (§ 109a </w:t>
            </w:r>
            <w:proofErr w:type="spellStart"/>
            <w:r w:rsidRPr="00FA42AF">
              <w:rPr>
                <w:rFonts w:eastAsia="Calibri"/>
              </w:rPr>
              <w:t>ZoZ</w:t>
            </w:r>
            <w:proofErr w:type="spellEnd"/>
            <w:r w:rsidRPr="00FA42AF">
              <w:rPr>
                <w:rFonts w:eastAsia="Calibri"/>
              </w:rPr>
              <w:t>).</w:t>
            </w:r>
          </w:p>
          <w:p w:rsidR="003B2D34" w:rsidRDefault="003B2D34" w:rsidP="00280EA8"/>
        </w:tc>
        <w:tc>
          <w:tcPr>
            <w:tcW w:w="993" w:type="dxa"/>
          </w:tcPr>
          <w:p w:rsidR="003B2D34" w:rsidRPr="009E7964" w:rsidRDefault="009E7964" w:rsidP="00280EA8">
            <w:pPr>
              <w:rPr>
                <w:b/>
              </w:rPr>
            </w:pPr>
            <w:r>
              <w:rPr>
                <w:b/>
              </w:rPr>
              <w:t>MPSV</w:t>
            </w:r>
          </w:p>
        </w:tc>
        <w:tc>
          <w:tcPr>
            <w:tcW w:w="1213" w:type="dxa"/>
          </w:tcPr>
          <w:p w:rsidR="003B2D34" w:rsidRPr="009E7964" w:rsidRDefault="009E7964" w:rsidP="009E7964">
            <w:pPr>
              <w:rPr>
                <w:b/>
              </w:rPr>
            </w:pPr>
            <w:proofErr w:type="spellStart"/>
            <w:r>
              <w:rPr>
                <w:b/>
              </w:rPr>
              <w:t>Průběž</w:t>
            </w:r>
            <w:proofErr w:type="spellEnd"/>
            <w:r>
              <w:rPr>
                <w:b/>
              </w:rPr>
              <w:t>. řešeno</w:t>
            </w:r>
          </w:p>
        </w:tc>
        <w:tc>
          <w:tcPr>
            <w:tcW w:w="7449" w:type="dxa"/>
            <w:gridSpan w:val="3"/>
          </w:tcPr>
          <w:p w:rsidR="003B2D34" w:rsidRDefault="009E7964" w:rsidP="009E7964">
            <w:r w:rsidRPr="00FA42AF">
              <w:t>V roce 2015 byla pr</w:t>
            </w:r>
            <w:r>
              <w:t>ovedena věcná analýza problému. V roce 2015 bylo prostřednictvím tzv. zvolené rekvalifikace podpořeno 17 641 osob. Při zachování téhož objemu a při předpokládané výši podpory v rekvalifikaci v případě rekvalifikace zvolené ve výši 6 820 Kč/měsíc a průměrné době rekvalifikace 2 měsíce činí odhadované náklady opatření 240,6 mil Kč ročně.</w:t>
            </w:r>
          </w:p>
          <w:p w:rsidR="009E7964" w:rsidRDefault="009E7964" w:rsidP="009E7964"/>
          <w:p w:rsidR="009E7964" w:rsidRPr="009E7964" w:rsidRDefault="009E7964" w:rsidP="009E7964">
            <w:pPr>
              <w:rPr>
                <w:b/>
              </w:rPr>
            </w:pPr>
            <w:r>
              <w:rPr>
                <w:b/>
              </w:rPr>
              <w:t>Řešení opatření součástí opatření č. 4.2 k řešení souladu nabídky a poptávky na trhu</w:t>
            </w:r>
          </w:p>
        </w:tc>
      </w:tr>
      <w:tr w:rsidR="003B2D34" w:rsidTr="008754EF">
        <w:tc>
          <w:tcPr>
            <w:tcW w:w="4565" w:type="dxa"/>
          </w:tcPr>
          <w:p w:rsidR="003B2D34" w:rsidRDefault="009E7964" w:rsidP="001F4C42">
            <w:pPr>
              <w:numPr>
                <w:ilvl w:val="0"/>
                <w:numId w:val="9"/>
              </w:numPr>
              <w:contextualSpacing/>
            </w:pPr>
            <w:r w:rsidRPr="00FA42AF">
              <w:rPr>
                <w:rFonts w:eastAsia="Calibri"/>
              </w:rPr>
              <w:t>V rámci uzavírání memorand s podniky se státní účastí usilovat o zaměstnávání uchazečů</w:t>
            </w:r>
            <w:r>
              <w:rPr>
                <w:rFonts w:eastAsia="Calibri"/>
              </w:rPr>
              <w:t xml:space="preserve"> </w:t>
            </w:r>
            <w:r w:rsidRPr="00FA42AF">
              <w:rPr>
                <w:rFonts w:eastAsia="Calibri"/>
              </w:rPr>
              <w:t>o zaměstnání</w:t>
            </w:r>
            <w:r>
              <w:rPr>
                <w:rFonts w:eastAsia="Calibri"/>
              </w:rPr>
              <w:t xml:space="preserve"> z evidence</w:t>
            </w:r>
            <w:r w:rsidRPr="00FA42AF">
              <w:rPr>
                <w:rFonts w:eastAsia="Calibri"/>
              </w:rPr>
              <w:t xml:space="preserve"> ÚPČR (podpořeno příspěvky APZ). Například úklid nádraží ČD, vnitřní prostory budov včetně staničního kolejiště, úklid a čištění dopravního značení na dálnicích a silnicích I. třídy, čištění bezprostředního okolí vodních toků.</w:t>
            </w:r>
          </w:p>
        </w:tc>
        <w:tc>
          <w:tcPr>
            <w:tcW w:w="993" w:type="dxa"/>
          </w:tcPr>
          <w:p w:rsidR="003B2D34" w:rsidRPr="009E7964" w:rsidRDefault="009E7964" w:rsidP="00280EA8">
            <w:pPr>
              <w:rPr>
                <w:b/>
              </w:rPr>
            </w:pPr>
            <w:r>
              <w:rPr>
                <w:b/>
              </w:rPr>
              <w:t>MPSV</w:t>
            </w:r>
          </w:p>
        </w:tc>
        <w:tc>
          <w:tcPr>
            <w:tcW w:w="1213" w:type="dxa"/>
          </w:tcPr>
          <w:p w:rsidR="003B2D34" w:rsidRPr="009E7964" w:rsidRDefault="009E7964" w:rsidP="009E7964">
            <w:pPr>
              <w:rPr>
                <w:b/>
              </w:rPr>
            </w:pPr>
            <w:proofErr w:type="spellStart"/>
            <w:r>
              <w:rPr>
                <w:b/>
              </w:rPr>
              <w:t>Průběž</w:t>
            </w:r>
            <w:proofErr w:type="spellEnd"/>
            <w:r>
              <w:rPr>
                <w:b/>
              </w:rPr>
              <w:t>. plněno</w:t>
            </w:r>
          </w:p>
        </w:tc>
        <w:tc>
          <w:tcPr>
            <w:tcW w:w="7449" w:type="dxa"/>
            <w:gridSpan w:val="3"/>
          </w:tcPr>
          <w:p w:rsidR="003B2D34" w:rsidRDefault="009E7964" w:rsidP="009E7964">
            <w:r w:rsidRPr="00FA42AF">
              <w:t xml:space="preserve">Prioritou MPSV a ÚP ČR je ve spolupráci s podniky se státní účastí usilovat o umístění uchazečů o zaměstnání ve věku do 30 let a nad 50 let a dalších skupin </w:t>
            </w:r>
            <w:r w:rsidR="00586FAC">
              <w:t>jinak znevýhodněných uchazečů o </w:t>
            </w:r>
            <w:r w:rsidRPr="00FA42AF">
              <w:t>zaměstnání. V současné době má ÚP ČR uzavřena memoranda o spolupráci se SŽDC, Lesy ČR a dalšími subjekty veřejné správy nebo s Českou biskupskou konferencí, jež je subjektem občanského sektoru. Mimo uvedených organizací  ÚP ČR intenzivně spolupracuje ta</w:t>
            </w:r>
            <w:r w:rsidR="00586FAC">
              <w:t>ké s Povodím Vltavy, Probační a </w:t>
            </w:r>
            <w:r w:rsidRPr="00FA42AF">
              <w:t>mediační službou, s</w:t>
            </w:r>
            <w:r>
              <w:t> </w:t>
            </w:r>
            <w:proofErr w:type="gramStart"/>
            <w:r w:rsidRPr="00FA42AF">
              <w:t>DIAMO</w:t>
            </w:r>
            <w:proofErr w:type="gramEnd"/>
            <w:r>
              <w:t>, Hospodářskou komorou ČR, Ministerstvem vnitra při zajišťování realizace pracovních pozic „Asistentů prevence kriminality“, Ministerstvem Obrany v rámci podpory zaměstnávání válečných veteránů.</w:t>
            </w:r>
          </w:p>
          <w:p w:rsidR="009E7964" w:rsidRDefault="009E7964" w:rsidP="009E7964"/>
          <w:p w:rsidR="009E7964" w:rsidRPr="009E7964" w:rsidRDefault="009E7964" w:rsidP="009E7964">
            <w:r>
              <w:rPr>
                <w:b/>
              </w:rPr>
              <w:t>ÚP ČR bude nadále spolupracovat s podniky se státní účastí</w:t>
            </w:r>
            <w:r>
              <w:t>, nicméně opatření není transformováno do opatření odstraňujících nesoulad nabídky a poptávky na trhu práce.</w:t>
            </w:r>
          </w:p>
        </w:tc>
      </w:tr>
      <w:tr w:rsidR="003B2D34" w:rsidTr="008754EF">
        <w:tc>
          <w:tcPr>
            <w:tcW w:w="4565" w:type="dxa"/>
          </w:tcPr>
          <w:p w:rsidR="006D6F35" w:rsidRPr="00FA42AF" w:rsidRDefault="006D6F35" w:rsidP="001F4C42">
            <w:pPr>
              <w:numPr>
                <w:ilvl w:val="0"/>
                <w:numId w:val="9"/>
              </w:numPr>
              <w:contextualSpacing/>
              <w:rPr>
                <w:rFonts w:eastAsia="Calibri"/>
                <w:b/>
              </w:rPr>
            </w:pPr>
            <w:r w:rsidRPr="00FA42AF">
              <w:rPr>
                <w:rFonts w:eastAsia="Calibri"/>
              </w:rPr>
              <w:t>V rámci uzavírání memorand s podniky se státní účastí, žádat o povinné hlášení ÚPČR volných pracovních míst.</w:t>
            </w:r>
          </w:p>
          <w:p w:rsidR="003B2D34" w:rsidRDefault="003B2D34" w:rsidP="00280EA8"/>
        </w:tc>
        <w:tc>
          <w:tcPr>
            <w:tcW w:w="993" w:type="dxa"/>
          </w:tcPr>
          <w:p w:rsidR="003B2D34" w:rsidRDefault="006D6F35" w:rsidP="00280EA8">
            <w:r>
              <w:rPr>
                <w:b/>
              </w:rPr>
              <w:t>MPSV</w:t>
            </w:r>
          </w:p>
          <w:p w:rsidR="006D6F35" w:rsidRPr="006D6F35" w:rsidRDefault="006D6F35" w:rsidP="00280EA8">
            <w:r>
              <w:t>resorty</w:t>
            </w:r>
          </w:p>
        </w:tc>
        <w:tc>
          <w:tcPr>
            <w:tcW w:w="1213" w:type="dxa"/>
          </w:tcPr>
          <w:p w:rsidR="003B2D34" w:rsidRPr="006D6F35" w:rsidRDefault="006D6F35" w:rsidP="006D6F35">
            <w:pPr>
              <w:rPr>
                <w:b/>
              </w:rPr>
            </w:pPr>
            <w:proofErr w:type="spellStart"/>
            <w:r>
              <w:rPr>
                <w:b/>
              </w:rPr>
              <w:t>Průběž</w:t>
            </w:r>
            <w:proofErr w:type="spellEnd"/>
            <w:r>
              <w:rPr>
                <w:b/>
              </w:rPr>
              <w:t>. plněno</w:t>
            </w:r>
          </w:p>
        </w:tc>
        <w:tc>
          <w:tcPr>
            <w:tcW w:w="7449" w:type="dxa"/>
            <w:gridSpan w:val="3"/>
          </w:tcPr>
          <w:p w:rsidR="006D6F35" w:rsidRPr="006D6F35" w:rsidRDefault="006D6F35" w:rsidP="006D6F35">
            <w:r w:rsidRPr="006D6F35">
              <w:t>ÚP ČR explicitně v současné době nepožaduje povinné hlášení volných míst a to s ohledem na pozitivní růst počtu dobrovolně hlášených volných pracovních míst a s ohledem na z</w:t>
            </w:r>
            <w:r w:rsidR="00586FAC">
              <w:t>nění zákona o </w:t>
            </w:r>
            <w:r w:rsidRPr="006D6F35">
              <w:t>zaměstnanosti. Důvodem je p</w:t>
            </w:r>
            <w:r w:rsidR="00586FAC">
              <w:t>říznivější ekonomická situace a </w:t>
            </w:r>
            <w:r w:rsidRPr="006D6F35">
              <w:t>posílení spolupráce ÚP ČR se zaměstnavateli a to i na základě monitoringu ÚP ČR (posílení ÚPČR).</w:t>
            </w:r>
          </w:p>
          <w:p w:rsidR="006D6F35" w:rsidRPr="006D6F35" w:rsidRDefault="006D6F35" w:rsidP="006D6F35"/>
          <w:p w:rsidR="006D6F35" w:rsidRPr="006D6F35" w:rsidRDefault="006D6F35" w:rsidP="006D6F35">
            <w:r w:rsidRPr="006D6F35">
              <w:t>Proběhla realizace projektu Rozvoj služeb v oblasti volných pracovních míst realizovaného v rámci OP LZZ. Projekt se zaměřil  na rozvoj služeb v oblasti volných pracovních míst poskytovaných ÚP ČR a posílení jeho činnosti směrem k zaměstnavatelům navázáním užšího kontaktu pro získání potřebných dat o trhu práce přímo v terénu.</w:t>
            </w:r>
          </w:p>
          <w:p w:rsidR="006D6F35" w:rsidRPr="006D6F35" w:rsidRDefault="006D6F35" w:rsidP="006D6F35"/>
          <w:p w:rsidR="003B2D34" w:rsidRDefault="006D6F35" w:rsidP="006D6F35">
            <w:r w:rsidRPr="006D6F35">
              <w:t>Aktuálně má ÚP ČR v databázi 328 VPM od zaměstnavatelů, kteří mají s ÚP ČR uzavřeno memorandum (z toho je 299 od společnosti ŠKODA AUTO, a.s.). Mimo uvedená memoranda ÚP ČR apeluje prostřednictvím intenzivní komunikace s HK ČR a SPD na jejich členy v souvislosti se zadáváním VPM do evidence ÚP</w:t>
            </w:r>
            <w:r>
              <w:t xml:space="preserve"> ČR.</w:t>
            </w:r>
          </w:p>
          <w:p w:rsidR="006D6F35" w:rsidRDefault="006D6F35" w:rsidP="006D6F35"/>
          <w:p w:rsidR="006D6F35" w:rsidRPr="006D6F35" w:rsidRDefault="006D6F35" w:rsidP="006D6F35">
            <w:pPr>
              <w:rPr>
                <w:b/>
              </w:rPr>
            </w:pPr>
            <w:r>
              <w:rPr>
                <w:b/>
              </w:rPr>
              <w:t xml:space="preserve">Spolupráce se všemi zaměstnavateli </w:t>
            </w:r>
            <w:r>
              <w:t xml:space="preserve">(a dalšími aktéry) </w:t>
            </w:r>
            <w:r>
              <w:rPr>
                <w:b/>
              </w:rPr>
              <w:t>na trhu práce je součástí opatření č. 3.1, 3.2, 4.3 a 4.4 k řešení nesouladu nabídky a poptávky na trhu práce.</w:t>
            </w:r>
          </w:p>
        </w:tc>
      </w:tr>
      <w:tr w:rsidR="003B2D34" w:rsidTr="008754EF">
        <w:tc>
          <w:tcPr>
            <w:tcW w:w="4565" w:type="dxa"/>
          </w:tcPr>
          <w:p w:rsidR="006D6F35" w:rsidRPr="00FA42AF" w:rsidRDefault="006D6F35" w:rsidP="001F4C42">
            <w:pPr>
              <w:numPr>
                <w:ilvl w:val="0"/>
                <w:numId w:val="9"/>
              </w:numPr>
              <w:contextualSpacing/>
              <w:rPr>
                <w:rFonts w:eastAsia="Calibri"/>
                <w:b/>
              </w:rPr>
            </w:pPr>
            <w:r w:rsidRPr="00FA42AF">
              <w:rPr>
                <w:rFonts w:eastAsia="Calibri"/>
              </w:rPr>
              <w:t xml:space="preserve">Ověření nástrojů a opatření APZ směřujících k řešení nezaměstnanosti. </w:t>
            </w:r>
          </w:p>
          <w:p w:rsidR="003B2D34" w:rsidRDefault="003B2D34" w:rsidP="006D6F35">
            <w:pPr>
              <w:tabs>
                <w:tab w:val="left" w:pos="1591"/>
              </w:tabs>
            </w:pPr>
          </w:p>
        </w:tc>
        <w:tc>
          <w:tcPr>
            <w:tcW w:w="993" w:type="dxa"/>
          </w:tcPr>
          <w:p w:rsidR="003B2D34" w:rsidRPr="006D6F35" w:rsidRDefault="006D6F35" w:rsidP="00280EA8">
            <w:pPr>
              <w:rPr>
                <w:b/>
              </w:rPr>
            </w:pPr>
            <w:r>
              <w:rPr>
                <w:b/>
              </w:rPr>
              <w:t>MPSV</w:t>
            </w:r>
          </w:p>
        </w:tc>
        <w:tc>
          <w:tcPr>
            <w:tcW w:w="1213" w:type="dxa"/>
          </w:tcPr>
          <w:p w:rsidR="003B2D34" w:rsidRPr="006D6F35" w:rsidRDefault="006D6F35" w:rsidP="006D6F35">
            <w:pPr>
              <w:rPr>
                <w:b/>
              </w:rPr>
            </w:pPr>
            <w:proofErr w:type="spellStart"/>
            <w:r>
              <w:rPr>
                <w:b/>
              </w:rPr>
              <w:t>Průběž</w:t>
            </w:r>
            <w:proofErr w:type="spellEnd"/>
            <w:r>
              <w:rPr>
                <w:b/>
              </w:rPr>
              <w:t>. plněno</w:t>
            </w:r>
          </w:p>
        </w:tc>
        <w:tc>
          <w:tcPr>
            <w:tcW w:w="7449" w:type="dxa"/>
            <w:gridSpan w:val="3"/>
          </w:tcPr>
          <w:p w:rsidR="003B2D34" w:rsidRDefault="006D6F35" w:rsidP="006D6F35">
            <w:r w:rsidRPr="00FA42AF">
              <w:t xml:space="preserve">V současné době jsou realizovány </w:t>
            </w:r>
            <w:r>
              <w:t>projekty</w:t>
            </w:r>
            <w:r w:rsidRPr="00FA42AF">
              <w:t xml:space="preserve"> Nové pracovní příležitosti (</w:t>
            </w:r>
            <w:proofErr w:type="spellStart"/>
            <w:r w:rsidRPr="00FA42AF">
              <w:t>N</w:t>
            </w:r>
            <w:r>
              <w:t>o</w:t>
            </w:r>
            <w:r w:rsidRPr="00FA42AF">
              <w:t>PP</w:t>
            </w:r>
            <w:proofErr w:type="spellEnd"/>
            <w:r w:rsidRPr="00FA42AF">
              <w:t>),</w:t>
            </w:r>
            <w:r>
              <w:t xml:space="preserve"> Nové pracovní příležitosti – Společensky účelná pracovní místa vyhrazená (</w:t>
            </w:r>
            <w:proofErr w:type="spellStart"/>
            <w:r>
              <w:t>NoPP</w:t>
            </w:r>
            <w:proofErr w:type="spellEnd"/>
            <w:r>
              <w:t xml:space="preserve"> – SÚPM), Nové pracovní příležitosti – Veřejně prospěšné práce (</w:t>
            </w:r>
            <w:proofErr w:type="spellStart"/>
            <w:r>
              <w:t>NoPP</w:t>
            </w:r>
            <w:proofErr w:type="spellEnd"/>
            <w:r>
              <w:t xml:space="preserve"> – VPP) a</w:t>
            </w:r>
            <w:r w:rsidRPr="00FA42AF">
              <w:t xml:space="preserve"> Vzdělávání a dovednosti pro trh práce </w:t>
            </w:r>
            <w:r>
              <w:t>II</w:t>
            </w:r>
            <w:r w:rsidRPr="00FA42AF">
              <w:t xml:space="preserve"> (VDTP II)</w:t>
            </w:r>
            <w:r>
              <w:t>.</w:t>
            </w:r>
            <w:r w:rsidRPr="00FA42AF">
              <w:t xml:space="preserve"> </w:t>
            </w:r>
            <w:r>
              <w:t xml:space="preserve">Projekty </w:t>
            </w:r>
            <w:proofErr w:type="spellStart"/>
            <w:r>
              <w:t>NoPP</w:t>
            </w:r>
            <w:proofErr w:type="spellEnd"/>
            <w:r>
              <w:t xml:space="preserve">, </w:t>
            </w:r>
            <w:proofErr w:type="spellStart"/>
            <w:r>
              <w:t>NoPP</w:t>
            </w:r>
            <w:proofErr w:type="spellEnd"/>
            <w:r>
              <w:t xml:space="preserve"> – SÚPM a </w:t>
            </w:r>
            <w:proofErr w:type="spellStart"/>
            <w:r>
              <w:t>NoPP</w:t>
            </w:r>
            <w:proofErr w:type="spellEnd"/>
            <w:r>
              <w:t xml:space="preserve"> – VPP mají za cíl realizaci 2 nástrojů APZ, a to společensky účelných pracovních míst vyhrazených </w:t>
            </w:r>
            <w:r>
              <w:br/>
              <w:t xml:space="preserve">a veřejně prospěšných prací. Projekt VDTP II je zaměřen na realizaci rekvalifikací (jak zabezpečovaných Úřadem práce ČR, tak zvolených), poradenských činností a doprovodných opatření.  </w:t>
            </w:r>
            <w:r w:rsidRPr="00FA42AF">
              <w:t xml:space="preserve">Současně jsou krajskými pobočkami </w:t>
            </w:r>
            <w:r>
              <w:t xml:space="preserve">ÚP ČR realizovány </w:t>
            </w:r>
            <w:r w:rsidRPr="00FA42AF">
              <w:t xml:space="preserve">další </w:t>
            </w:r>
            <w:r>
              <w:t>regionální projekty přímého přidělení</w:t>
            </w:r>
            <w:r w:rsidRPr="00FA42AF">
              <w:t xml:space="preserve"> zaměřené na problematické skupiny uchazečů o zaměstnání. </w:t>
            </w:r>
            <w:r>
              <w:t xml:space="preserve">Zároveň bylo 1. 4. 2016 </w:t>
            </w:r>
            <w:r w:rsidRPr="00FA42AF">
              <w:t>zahájeno pilotní ověřování příspěvku na podporu regionální mobility</w:t>
            </w:r>
            <w:r>
              <w:t>.</w:t>
            </w:r>
            <w:r w:rsidRPr="00FA42AF">
              <w:t xml:space="preserve"> </w:t>
            </w:r>
            <w:r>
              <w:t>P</w:t>
            </w:r>
            <w:r w:rsidRPr="00FA42AF">
              <w:t xml:space="preserve">ilotní testování nových opatření </w:t>
            </w:r>
            <w:r>
              <w:t>probíhá</w:t>
            </w:r>
            <w:r w:rsidRPr="00FA42AF">
              <w:t xml:space="preserve"> v rámci projektů „Záruky pro mládež“</w:t>
            </w:r>
            <w:r>
              <w:t xml:space="preserve"> a projektů Iniciativa podpory zaměstnanosti mládeže pro NUTS 2 Severozápad.</w:t>
            </w:r>
            <w:r w:rsidRPr="00FA42AF">
              <w:t xml:space="preserve"> </w:t>
            </w:r>
            <w:r>
              <w:t>P</w:t>
            </w:r>
            <w:r w:rsidRPr="00FA42AF">
              <w:t xml:space="preserve">řipravována jsou </w:t>
            </w:r>
            <w:r>
              <w:t>také</w:t>
            </w:r>
            <w:r w:rsidRPr="00FA42AF">
              <w:t xml:space="preserve"> opatření pro zaměstnance</w:t>
            </w:r>
            <w:r>
              <w:t>, kteří jsou ohrožení ztrátou zaměstnání</w:t>
            </w:r>
            <w:r w:rsidRPr="00FA42AF">
              <w:t xml:space="preserve"> </w:t>
            </w:r>
            <w:r>
              <w:t xml:space="preserve">nebo se již nacházejí ve výpovědní lhůtě (regionální projekty přímého přidělení – </w:t>
            </w:r>
            <w:proofErr w:type="spellStart"/>
            <w:r>
              <w:t>Outplacement</w:t>
            </w:r>
            <w:proofErr w:type="spellEnd"/>
            <w:r>
              <w:t xml:space="preserve"> v kraji Vysočina </w:t>
            </w:r>
            <w:proofErr w:type="spellStart"/>
            <w:r>
              <w:t>Outplacement</w:t>
            </w:r>
            <w:proofErr w:type="spellEnd"/>
            <w:r>
              <w:t xml:space="preserve"> v Moravskoslezském kraji a </w:t>
            </w:r>
            <w:proofErr w:type="spellStart"/>
            <w:r>
              <w:t>Outplacement</w:t>
            </w:r>
            <w:proofErr w:type="spellEnd"/>
            <w:r>
              <w:t xml:space="preserve">  Ústeckém kraji).</w:t>
            </w:r>
            <w:r w:rsidRPr="00FA42AF">
              <w:t xml:space="preserve"> </w:t>
            </w:r>
            <w:r>
              <w:t>Zvažovány</w:t>
            </w:r>
            <w:r w:rsidRPr="00FA42AF">
              <w:t xml:space="preserve"> jsou kroky k podpoře dlouhodobě nezaměstnaných osob (nad 24 měsíců) s využitím prostředků ESF s cílem propojit služby zaměstnanosti a sociální služby</w:t>
            </w:r>
            <w:r>
              <w:t>.</w:t>
            </w:r>
          </w:p>
          <w:p w:rsidR="006D6F35" w:rsidRDefault="006D6F35" w:rsidP="006D6F35"/>
          <w:p w:rsidR="006D6F35" w:rsidRPr="006D6F35" w:rsidRDefault="006D6F35" w:rsidP="006D6F35">
            <w:pPr>
              <w:rPr>
                <w:b/>
              </w:rPr>
            </w:pPr>
            <w:r>
              <w:rPr>
                <w:b/>
              </w:rPr>
              <w:t>Opatření transformováno do opatření č. 2.1 k řešení nesouladu nabídky a poptávky na trhu práce</w:t>
            </w:r>
          </w:p>
        </w:tc>
      </w:tr>
      <w:tr w:rsidR="003B2D34" w:rsidTr="008754EF">
        <w:tc>
          <w:tcPr>
            <w:tcW w:w="4565" w:type="dxa"/>
          </w:tcPr>
          <w:p w:rsidR="006D6F35" w:rsidRPr="00FA42AF" w:rsidRDefault="006D6F35" w:rsidP="00586FAC">
            <w:pPr>
              <w:numPr>
                <w:ilvl w:val="0"/>
                <w:numId w:val="9"/>
              </w:numPr>
              <w:ind w:left="426"/>
              <w:contextualSpacing/>
              <w:rPr>
                <w:rFonts w:eastAsia="Calibri"/>
                <w:b/>
              </w:rPr>
            </w:pPr>
            <w:r w:rsidRPr="00FA42AF">
              <w:rPr>
                <w:rFonts w:eastAsia="Calibri"/>
              </w:rPr>
              <w:t xml:space="preserve">Podpora krátkodobých pracovních úvazků v rámci veřejně prospěšných prací nebo společensky účelných pracovních míst. </w:t>
            </w:r>
          </w:p>
          <w:p w:rsidR="006D6F35" w:rsidRPr="00FA42AF" w:rsidRDefault="006D6F35" w:rsidP="006D6F35">
            <w:pPr>
              <w:ind w:left="720"/>
              <w:contextualSpacing/>
              <w:rPr>
                <w:rFonts w:eastAsia="Calibri"/>
                <w:b/>
              </w:rPr>
            </w:pPr>
          </w:p>
          <w:p w:rsidR="003B2D34" w:rsidRDefault="006D6F35" w:rsidP="00586FAC">
            <w:pPr>
              <w:ind w:left="360"/>
            </w:pPr>
            <w:r w:rsidRPr="00FA42AF">
              <w:rPr>
                <w:rFonts w:eastAsia="Calibri"/>
              </w:rPr>
              <w:t>V této souvislosti ÚPČR navýší počet</w:t>
            </w:r>
            <w:r w:rsidR="00586FAC">
              <w:rPr>
                <w:rFonts w:eastAsia="Calibri"/>
              </w:rPr>
              <w:t> </w:t>
            </w:r>
            <w:r w:rsidRPr="00FA42AF">
              <w:rPr>
                <w:rFonts w:eastAsia="Calibri"/>
              </w:rPr>
              <w:t>pod</w:t>
            </w:r>
            <w:r w:rsidR="00586FAC">
              <w:rPr>
                <w:rFonts w:eastAsia="Calibri"/>
              </w:rPr>
              <w:t>pořených uchazečů o </w:t>
            </w:r>
            <w:r w:rsidRPr="00FA42AF">
              <w:rPr>
                <w:rFonts w:eastAsia="Calibri"/>
              </w:rPr>
              <w:t>zaměstnání na 10 000 uchazečů o zaměstnání.</w:t>
            </w:r>
          </w:p>
        </w:tc>
        <w:tc>
          <w:tcPr>
            <w:tcW w:w="993" w:type="dxa"/>
          </w:tcPr>
          <w:p w:rsidR="003B2D34" w:rsidRDefault="006D6F35" w:rsidP="00280EA8">
            <w:pPr>
              <w:rPr>
                <w:b/>
              </w:rPr>
            </w:pPr>
            <w:r>
              <w:rPr>
                <w:b/>
              </w:rPr>
              <w:t>MPSV</w:t>
            </w:r>
          </w:p>
          <w:p w:rsidR="006D6F35" w:rsidRPr="006D6F35" w:rsidRDefault="006D6F35" w:rsidP="00280EA8">
            <w:pPr>
              <w:rPr>
                <w:b/>
              </w:rPr>
            </w:pPr>
            <w:r>
              <w:rPr>
                <w:b/>
              </w:rPr>
              <w:t>ÚP ČR</w:t>
            </w:r>
          </w:p>
        </w:tc>
        <w:tc>
          <w:tcPr>
            <w:tcW w:w="1213" w:type="dxa"/>
          </w:tcPr>
          <w:p w:rsidR="003B2D34" w:rsidRPr="006D6F35" w:rsidRDefault="006D6F35" w:rsidP="006D6F35">
            <w:pPr>
              <w:rPr>
                <w:b/>
              </w:rPr>
            </w:pPr>
            <w:proofErr w:type="spellStart"/>
            <w:r>
              <w:rPr>
                <w:b/>
              </w:rPr>
              <w:t>Průběž</w:t>
            </w:r>
            <w:proofErr w:type="spellEnd"/>
            <w:r>
              <w:rPr>
                <w:b/>
              </w:rPr>
              <w:t>. plněno</w:t>
            </w:r>
          </w:p>
        </w:tc>
        <w:tc>
          <w:tcPr>
            <w:tcW w:w="7449" w:type="dxa"/>
            <w:gridSpan w:val="3"/>
          </w:tcPr>
          <w:p w:rsidR="006D6F35" w:rsidRPr="00FA42AF" w:rsidRDefault="006D6F35" w:rsidP="006D6F35">
            <w:pPr>
              <w:rPr>
                <w:b/>
              </w:rPr>
            </w:pPr>
            <w:r w:rsidRPr="00FA42AF">
              <w:t xml:space="preserve">Krátkodobé pracovní úvazky jsou podporovány „bonifikovaným“ příspěvkem </w:t>
            </w:r>
            <w:r>
              <w:t xml:space="preserve">v rámci APZ </w:t>
            </w:r>
            <w:r w:rsidRPr="00FA42AF">
              <w:t>již od roku 2014, ve kterém byl zároveň pilotně odzkoušen nástroj Aktivizační pracovní příležitosti</w:t>
            </w:r>
            <w:r>
              <w:t xml:space="preserve"> (APP)</w:t>
            </w:r>
            <w:r w:rsidRPr="00FA42AF">
              <w:t xml:space="preserve">. </w:t>
            </w:r>
            <w:r>
              <w:t>Pilotním odzkoušení APP bylo zjištěno, že není potřeba realizovat tento nástroj, ale je plně vyhovující podpora krátkodobých úvazků v rámci stávajících nástrojů VPP a SÚPM – vyhrazené.</w:t>
            </w:r>
          </w:p>
          <w:p w:rsidR="006D6F35" w:rsidRPr="00FA42AF" w:rsidRDefault="006D6F35" w:rsidP="006D6F35">
            <w:pPr>
              <w:rPr>
                <w:b/>
              </w:rPr>
            </w:pPr>
          </w:p>
          <w:p w:rsidR="003B2D34" w:rsidRDefault="006D6F35" w:rsidP="006D6F35">
            <w:r>
              <w:t>Od 1. 1. do 31. 7. 2016</w:t>
            </w:r>
            <w:r w:rsidRPr="00FA42AF">
              <w:t xml:space="preserve"> bylo na dotovaných pracovních místech zkráceným pracovním úvazkem podpořeno </w:t>
            </w:r>
            <w:r>
              <w:t xml:space="preserve">2 008 osob (za celý rok 2015 to bylo </w:t>
            </w:r>
            <w:r w:rsidRPr="00FA42AF">
              <w:t>4 685 osob</w:t>
            </w:r>
            <w:r>
              <w:t>).</w:t>
            </w:r>
          </w:p>
          <w:p w:rsidR="006D6F35" w:rsidRDefault="006D6F35" w:rsidP="006D6F35"/>
          <w:p w:rsidR="006D6F35" w:rsidRPr="006D6F35" w:rsidRDefault="006D6F35" w:rsidP="006D6F35">
            <w:pPr>
              <w:rPr>
                <w:b/>
              </w:rPr>
            </w:pPr>
            <w:r>
              <w:rPr>
                <w:b/>
              </w:rPr>
              <w:t>Opatření transformováno do opatření č. 1.6a k řešení nesouladu nabídky a poptávky na trhu práce.</w:t>
            </w:r>
          </w:p>
        </w:tc>
      </w:tr>
      <w:tr w:rsidR="006D6F35" w:rsidTr="006D6F35">
        <w:tc>
          <w:tcPr>
            <w:tcW w:w="14220" w:type="dxa"/>
            <w:gridSpan w:val="6"/>
          </w:tcPr>
          <w:p w:rsidR="006D6F35" w:rsidRPr="006D6F35" w:rsidRDefault="006D6F35" w:rsidP="006D6F35">
            <w:pPr>
              <w:rPr>
                <w:b/>
              </w:rPr>
            </w:pPr>
            <w:r w:rsidRPr="006D6F35">
              <w:rPr>
                <w:b/>
              </w:rPr>
              <w:t xml:space="preserve">VII. Podpora zavádění </w:t>
            </w:r>
            <w:proofErr w:type="spellStart"/>
            <w:r w:rsidRPr="006D6F35">
              <w:rPr>
                <w:b/>
              </w:rPr>
              <w:t>age</w:t>
            </w:r>
            <w:proofErr w:type="spellEnd"/>
            <w:r w:rsidRPr="006D6F35">
              <w:rPr>
                <w:b/>
              </w:rPr>
              <w:t xml:space="preserve"> managementu</w:t>
            </w:r>
          </w:p>
        </w:tc>
      </w:tr>
      <w:tr w:rsidR="003B2D34" w:rsidTr="008754EF">
        <w:tc>
          <w:tcPr>
            <w:tcW w:w="4565" w:type="dxa"/>
          </w:tcPr>
          <w:p w:rsidR="00A17094" w:rsidRPr="00FA42AF" w:rsidRDefault="00A17094" w:rsidP="00586FAC">
            <w:pPr>
              <w:numPr>
                <w:ilvl w:val="0"/>
                <w:numId w:val="9"/>
              </w:numPr>
              <w:autoSpaceDE w:val="0"/>
              <w:autoSpaceDN w:val="0"/>
              <w:adjustRightInd w:val="0"/>
              <w:ind w:left="426"/>
              <w:contextualSpacing/>
              <w:rPr>
                <w:rFonts w:eastAsia="Calibri"/>
                <w:b/>
              </w:rPr>
            </w:pPr>
            <w:r w:rsidRPr="00FA42AF">
              <w:rPr>
                <w:rFonts w:eastAsia="Calibri"/>
              </w:rPr>
              <w:t>Nově realizovat, případně rozšířit pilotní ověření možné podpory samostatného podnikání starších pracovníků – uchaze</w:t>
            </w:r>
            <w:r w:rsidR="00586FAC">
              <w:rPr>
                <w:rFonts w:eastAsia="Calibri"/>
              </w:rPr>
              <w:t>čů o </w:t>
            </w:r>
            <w:r>
              <w:rPr>
                <w:rFonts w:eastAsia="Calibri"/>
              </w:rPr>
              <w:t>zaměstnání / osob 55</w:t>
            </w:r>
            <w:r w:rsidR="00586FAC">
              <w:rPr>
                <w:rFonts w:eastAsia="Calibri"/>
              </w:rPr>
              <w:t>+ a </w:t>
            </w:r>
            <w:r w:rsidRPr="00FA42AF">
              <w:rPr>
                <w:rFonts w:eastAsia="Calibri"/>
              </w:rPr>
              <w:t>p</w:t>
            </w:r>
            <w:r w:rsidR="00586FAC">
              <w:rPr>
                <w:rFonts w:eastAsia="Calibri"/>
              </w:rPr>
              <w:t>oskytnout jim potřebnou pomoc a </w:t>
            </w:r>
            <w:r w:rsidRPr="00FA42AF">
              <w:rPr>
                <w:rFonts w:eastAsia="Calibri"/>
              </w:rPr>
              <w:t>podporu.</w:t>
            </w:r>
          </w:p>
          <w:p w:rsidR="003B2D34" w:rsidRDefault="003B2D34" w:rsidP="00280EA8"/>
        </w:tc>
        <w:tc>
          <w:tcPr>
            <w:tcW w:w="993" w:type="dxa"/>
          </w:tcPr>
          <w:p w:rsidR="003B2D34" w:rsidRDefault="00A17094" w:rsidP="00280EA8">
            <w:r>
              <w:t>MPSV</w:t>
            </w:r>
          </w:p>
          <w:p w:rsidR="00A17094" w:rsidRDefault="00A17094" w:rsidP="00280EA8">
            <w:r>
              <w:t>ÚP ČR</w:t>
            </w:r>
          </w:p>
        </w:tc>
        <w:tc>
          <w:tcPr>
            <w:tcW w:w="1213" w:type="dxa"/>
          </w:tcPr>
          <w:p w:rsidR="003B2D34" w:rsidRPr="00A17094" w:rsidRDefault="00A17094" w:rsidP="00280EA8">
            <w:pPr>
              <w:rPr>
                <w:b/>
              </w:rPr>
            </w:pPr>
            <w:r>
              <w:rPr>
                <w:b/>
              </w:rPr>
              <w:t>Splněno</w:t>
            </w:r>
          </w:p>
        </w:tc>
        <w:tc>
          <w:tcPr>
            <w:tcW w:w="7449" w:type="dxa"/>
            <w:gridSpan w:val="3"/>
          </w:tcPr>
          <w:p w:rsidR="00A17094" w:rsidRDefault="00A17094" w:rsidP="00A17094">
            <w:pPr>
              <w:rPr>
                <w:b/>
                <w:color w:val="000000"/>
              </w:rPr>
            </w:pPr>
            <w:r>
              <w:rPr>
                <w:color w:val="000000"/>
              </w:rPr>
              <w:t>viz informace k bodům 4-5.</w:t>
            </w:r>
          </w:p>
          <w:p w:rsidR="00A17094" w:rsidRDefault="00A17094" w:rsidP="00A17094">
            <w:pPr>
              <w:rPr>
                <w:b/>
                <w:color w:val="000000"/>
              </w:rPr>
            </w:pPr>
          </w:p>
          <w:p w:rsidR="00A17094" w:rsidRPr="00687336" w:rsidRDefault="00A17094" w:rsidP="00A17094">
            <w:pPr>
              <w:rPr>
                <w:b/>
                <w:color w:val="000000"/>
              </w:rPr>
            </w:pPr>
            <w:r w:rsidRPr="00687336">
              <w:rPr>
                <w:color w:val="000000"/>
              </w:rPr>
              <w:t xml:space="preserve">K 30. 11. 2015 byla v rámci OP LZZ ukončena realizace dvou RIP zaměřených na podnikání osob starších 50 let – Nový začátek v Karlovarském kraji a Dobrá práce v Jihočeském kraji II. Podpora podnikání (formou SÚPM - SVČ) bude součástí </w:t>
            </w:r>
            <w:r>
              <w:rPr>
                <w:color w:val="000000"/>
              </w:rPr>
              <w:br/>
            </w:r>
            <w:r w:rsidRPr="00687336">
              <w:rPr>
                <w:color w:val="000000"/>
              </w:rPr>
              <w:t>i některých regionálních projektů realizovaných v OPZ. Podpora vedoucí k založení samostatného podnikání byla poskytována též vybraným cílových skupinám, včetně osob starším 50/55 let v rámci grantových projektů OP LZZ real</w:t>
            </w:r>
            <w:r w:rsidR="00586FAC">
              <w:rPr>
                <w:color w:val="000000"/>
              </w:rPr>
              <w:t>izovaných neziskovým sektorem a </w:t>
            </w:r>
            <w:r w:rsidRPr="00687336">
              <w:rPr>
                <w:color w:val="000000"/>
              </w:rPr>
              <w:t>vzdělávacími i poradenskými organizacemi. Podpora obdobně zaměřených projektů bude pokračovat i v rámci výzev pro soutěžní projekty v rámci OPZ.</w:t>
            </w:r>
          </w:p>
          <w:p w:rsidR="003B2D34" w:rsidRDefault="003B2D34" w:rsidP="00280EA8"/>
        </w:tc>
      </w:tr>
      <w:tr w:rsidR="003B2D34" w:rsidTr="008754EF">
        <w:tc>
          <w:tcPr>
            <w:tcW w:w="4565" w:type="dxa"/>
          </w:tcPr>
          <w:p w:rsidR="00A17094" w:rsidRPr="00FA42AF" w:rsidRDefault="00A17094" w:rsidP="001F4C42">
            <w:pPr>
              <w:numPr>
                <w:ilvl w:val="0"/>
                <w:numId w:val="9"/>
              </w:numPr>
              <w:autoSpaceDE w:val="0"/>
              <w:autoSpaceDN w:val="0"/>
              <w:adjustRightInd w:val="0"/>
              <w:contextualSpacing/>
              <w:rPr>
                <w:rFonts w:eastAsia="Calibri"/>
                <w:b/>
                <w:color w:val="000000" w:themeColor="text1"/>
              </w:rPr>
            </w:pPr>
            <w:r w:rsidRPr="00FA42AF">
              <w:rPr>
                <w:rFonts w:eastAsia="Calibri"/>
                <w:color w:val="000000" w:themeColor="text1"/>
              </w:rPr>
              <w:t>V rámci nástrojů APZ pro OSVČ podpořit uchazeče o zaměstnání na základě úpravy metodik pro poskytování příspěvku – účelná, efektivní podpora.</w:t>
            </w:r>
          </w:p>
          <w:p w:rsidR="003B2D34" w:rsidRDefault="003B2D34" w:rsidP="00A17094">
            <w:pPr>
              <w:jc w:val="center"/>
            </w:pPr>
          </w:p>
        </w:tc>
        <w:tc>
          <w:tcPr>
            <w:tcW w:w="993" w:type="dxa"/>
          </w:tcPr>
          <w:p w:rsidR="003B2D34" w:rsidRPr="00A17094" w:rsidRDefault="00A17094" w:rsidP="00280EA8">
            <w:pPr>
              <w:rPr>
                <w:b/>
              </w:rPr>
            </w:pPr>
            <w:r>
              <w:rPr>
                <w:b/>
              </w:rPr>
              <w:t>MPSV</w:t>
            </w:r>
          </w:p>
        </w:tc>
        <w:tc>
          <w:tcPr>
            <w:tcW w:w="1213" w:type="dxa"/>
          </w:tcPr>
          <w:p w:rsidR="003B2D34" w:rsidRPr="00A17094" w:rsidRDefault="00A17094" w:rsidP="00280EA8">
            <w:pPr>
              <w:rPr>
                <w:b/>
              </w:rPr>
            </w:pPr>
            <w:proofErr w:type="spellStart"/>
            <w:r>
              <w:rPr>
                <w:b/>
              </w:rPr>
              <w:t>Průběž</w:t>
            </w:r>
            <w:proofErr w:type="spellEnd"/>
            <w:r>
              <w:rPr>
                <w:b/>
              </w:rPr>
              <w:t>. řešeno</w:t>
            </w:r>
          </w:p>
        </w:tc>
        <w:tc>
          <w:tcPr>
            <w:tcW w:w="7449" w:type="dxa"/>
            <w:gridSpan w:val="3"/>
          </w:tcPr>
          <w:p w:rsidR="00A17094" w:rsidRDefault="00A17094" w:rsidP="00A17094">
            <w:pPr>
              <w:rPr>
                <w:b/>
                <w:color w:val="000000"/>
              </w:rPr>
            </w:pPr>
            <w:r>
              <w:rPr>
                <w:color w:val="000000"/>
              </w:rPr>
              <w:t>viz informace k bodům 4-5.</w:t>
            </w:r>
          </w:p>
          <w:p w:rsidR="003B2D34" w:rsidRDefault="003B2D34" w:rsidP="00280EA8"/>
          <w:p w:rsidR="00A17094" w:rsidRPr="00FA42AF" w:rsidRDefault="00A17094" w:rsidP="00A17094">
            <w:pPr>
              <w:rPr>
                <w:b/>
              </w:rPr>
            </w:pPr>
            <w:r w:rsidRPr="00FA42AF">
              <w:t>V roce 2013 bylo podpořeno 2</w:t>
            </w:r>
            <w:r>
              <w:t> </w:t>
            </w:r>
            <w:r w:rsidRPr="00FA42AF">
              <w:t>303 uchazečů o zaměstnání.</w:t>
            </w:r>
            <w:r>
              <w:t xml:space="preserve"> </w:t>
            </w:r>
            <w:r w:rsidRPr="00FA42AF">
              <w:t>V roce 2014 2</w:t>
            </w:r>
            <w:r>
              <w:t xml:space="preserve"> </w:t>
            </w:r>
            <w:r w:rsidRPr="00FA42AF">
              <w:t>383 uchazečů o zaměstnán</w:t>
            </w:r>
            <w:r w:rsidR="00586FAC">
              <w:t>í. V roce 2015 2 643 uchazečů o </w:t>
            </w:r>
            <w:r w:rsidRPr="00FA42AF">
              <w:t>zaměstnání. Oproti roku 201</w:t>
            </w:r>
            <w:r>
              <w:t>4</w:t>
            </w:r>
            <w:r w:rsidRPr="00FA42AF">
              <w:t xml:space="preserve"> došlo k nárůstu o 1</w:t>
            </w:r>
            <w:r>
              <w:t>0</w:t>
            </w:r>
            <w:r w:rsidRPr="00FA42AF">
              <w:t>,</w:t>
            </w:r>
            <w:r>
              <w:t>9</w:t>
            </w:r>
            <w:r w:rsidRPr="00FA42AF">
              <w:t xml:space="preserve"> %</w:t>
            </w:r>
            <w:r>
              <w:t>, důležité, ale je, že díky nové a sjednocující metodice se daří trvale schvalovat především smysluplné a konkurence schopné podnikatelské záměry, které mají velkou naději na dlouhodobou realizaci i po skončení trvání dohody o poskytnutí příspěvku.</w:t>
            </w:r>
          </w:p>
          <w:p w:rsidR="00A17094" w:rsidRPr="00FA42AF" w:rsidRDefault="00A17094" w:rsidP="00A17094">
            <w:pPr>
              <w:rPr>
                <w:b/>
              </w:rPr>
            </w:pPr>
          </w:p>
          <w:p w:rsidR="00A17094" w:rsidRDefault="00A17094" w:rsidP="00A17094">
            <w:r w:rsidRPr="00FA42AF">
              <w:t>V rámci projektu EFES zároveň bude zpracována kompletní metodika práce s klienty, kteří projeví zájem o zahájení samostatné výdělečné činnosti. Bude obsahovat souhrn nástrojů a opatření, které napomohou klientovi v orientaci v podnikatelském prostředí, seznámí ho se souvisejícími právními normami, s tvorbou podnikatelského záměru. V souvislosti s tím bude dán požadavek na vzdělávání a získávání odborných kompetencí zaměstnanců Úřadu práce ČR, kteří se budou touto agendou zabývat.</w:t>
            </w:r>
          </w:p>
          <w:p w:rsidR="00A17094" w:rsidRDefault="00A17094" w:rsidP="00A17094"/>
          <w:p w:rsidR="00A17094" w:rsidRDefault="00A17094" w:rsidP="00A17094">
            <w:r>
              <w:rPr>
                <w:b/>
              </w:rPr>
              <w:t xml:space="preserve">Opatření částečně transformováno do opatření č. 4.1 a 3.1 k řešení souladu nabídky a poptávky na trhu práce a to v případech, kdy bude s ohledem na aktuální potřeby trhu práce vhodné podpořit klienta v samostatně výdělečné činnosti </w:t>
            </w:r>
            <w:r>
              <w:t>(tedy nebude-li jej možné umístit na trh práce na volné pracovní místo)</w:t>
            </w:r>
          </w:p>
          <w:p w:rsidR="00A17094" w:rsidRDefault="00A17094" w:rsidP="00A17094"/>
        </w:tc>
      </w:tr>
      <w:tr w:rsidR="003B2D34" w:rsidTr="008754EF">
        <w:tc>
          <w:tcPr>
            <w:tcW w:w="4565" w:type="dxa"/>
          </w:tcPr>
          <w:p w:rsidR="00A17094" w:rsidRPr="00FA42AF" w:rsidRDefault="00A17094" w:rsidP="001F4C42">
            <w:pPr>
              <w:numPr>
                <w:ilvl w:val="0"/>
                <w:numId w:val="9"/>
              </w:numPr>
              <w:contextualSpacing/>
              <w:rPr>
                <w:rFonts w:eastAsia="Calibri"/>
                <w:b/>
                <w:color w:val="000000" w:themeColor="text1"/>
              </w:rPr>
            </w:pPr>
            <w:r>
              <w:tab/>
            </w:r>
            <w:r w:rsidRPr="00FA42AF">
              <w:rPr>
                <w:rFonts w:eastAsia="Calibri"/>
                <w:color w:val="000000" w:themeColor="text1"/>
              </w:rPr>
              <w:t>Úprava tzv. „nekolidujícího zaměstnání“ – omezit možnost jeho využití vybranými profesemi (tyto určit s p</w:t>
            </w:r>
            <w:r w:rsidR="00314B8E">
              <w:rPr>
                <w:rFonts w:eastAsia="Calibri"/>
                <w:color w:val="000000" w:themeColor="text1"/>
              </w:rPr>
              <w:t>řihlédnutím k </w:t>
            </w:r>
            <w:r w:rsidRPr="00FA42AF">
              <w:rPr>
                <w:rFonts w:eastAsia="Calibri"/>
                <w:color w:val="000000" w:themeColor="text1"/>
              </w:rPr>
              <w:t xml:space="preserve">činnostem dle jejich zařazení do skupin prací, od kterých se odvozuje nejnižší úroveň zaručené mzdy nebo platu). </w:t>
            </w:r>
          </w:p>
          <w:p w:rsidR="003B2D34" w:rsidRDefault="003B2D34" w:rsidP="00A17094">
            <w:pPr>
              <w:tabs>
                <w:tab w:val="left" w:pos="2746"/>
              </w:tabs>
            </w:pPr>
          </w:p>
        </w:tc>
        <w:tc>
          <w:tcPr>
            <w:tcW w:w="993" w:type="dxa"/>
          </w:tcPr>
          <w:p w:rsidR="003B2D34" w:rsidRDefault="00A17094" w:rsidP="00A17094">
            <w:r>
              <w:t>MPSV</w:t>
            </w:r>
          </w:p>
        </w:tc>
        <w:tc>
          <w:tcPr>
            <w:tcW w:w="1213" w:type="dxa"/>
          </w:tcPr>
          <w:p w:rsidR="003B2D34" w:rsidRPr="00A17094" w:rsidRDefault="00A17094" w:rsidP="00280EA8">
            <w:pPr>
              <w:rPr>
                <w:b/>
              </w:rPr>
            </w:pPr>
            <w:proofErr w:type="spellStart"/>
            <w:r>
              <w:rPr>
                <w:b/>
              </w:rPr>
              <w:t>Průběž</w:t>
            </w:r>
            <w:proofErr w:type="spellEnd"/>
            <w:r>
              <w:rPr>
                <w:b/>
              </w:rPr>
              <w:t>. plněno</w:t>
            </w:r>
          </w:p>
        </w:tc>
        <w:tc>
          <w:tcPr>
            <w:tcW w:w="7449" w:type="dxa"/>
            <w:gridSpan w:val="3"/>
          </w:tcPr>
          <w:p w:rsidR="00D44602" w:rsidRDefault="00A17094" w:rsidP="00A17094">
            <w:r>
              <w:t xml:space="preserve">MPSV proto navrhlo zrušení možnosti vykonávat nekolidující zaměstnání na základě DPP. Podle navrhované právní úpravy překážkou pro zařazení do evidence </w:t>
            </w:r>
            <w:proofErr w:type="spellStart"/>
            <w:r>
              <w:t>UoZ</w:t>
            </w:r>
            <w:proofErr w:type="spellEnd"/>
            <w:r>
              <w:t xml:space="preserve"> resp. vedení v evidenci </w:t>
            </w:r>
            <w:proofErr w:type="spellStart"/>
            <w:r>
              <w:t>UoZ</w:t>
            </w:r>
            <w:proofErr w:type="spellEnd"/>
            <w:r>
              <w:t xml:space="preserve"> bude ta skutečnost, že fyzická osoba resp. </w:t>
            </w:r>
            <w:proofErr w:type="spellStart"/>
            <w:r>
              <w:t>UoZ</w:t>
            </w:r>
            <w:proofErr w:type="spellEnd"/>
            <w:r>
              <w:t xml:space="preserve"> je v právním vztahu vzniklém k výkonu činnosti na základě DPP. Nadále bude ponechána možnost část</w:t>
            </w:r>
            <w:r w:rsidR="00314B8E">
              <w:t>ečného zaměstnávání v souběhu s </w:t>
            </w:r>
            <w:r>
              <w:t xml:space="preserve">vedením v evidenci </w:t>
            </w:r>
            <w:proofErr w:type="spellStart"/>
            <w:r>
              <w:t>UoZ</w:t>
            </w:r>
            <w:proofErr w:type="spellEnd"/>
            <w:r>
              <w:t xml:space="preserve"> avšak pouze na základě pracovního nebo služebního poměru nebo na základě dohody o pracovní činnosti. Tímto bude i nadále naplňován sledovaný cíl tohoto institutu, který slouží k zachování případně získání pracovních návyků uchazeče o zaměstnání, a podpoření snahy o zvýšení příjmu vlastní prací.</w:t>
            </w:r>
          </w:p>
          <w:p w:rsidR="00A17094" w:rsidRDefault="00A17094" w:rsidP="00A17094">
            <w:r>
              <w:t xml:space="preserve"> </w:t>
            </w:r>
          </w:p>
          <w:p w:rsidR="003B2D34" w:rsidRDefault="00A17094" w:rsidP="00A17094">
            <w:r>
              <w:t xml:space="preserve">Sněmovní tisk č. 911  - Návrh </w:t>
            </w:r>
            <w:r w:rsidR="00314B8E">
              <w:t>zákona, kterým se mění zákon č. </w:t>
            </w:r>
            <w:r>
              <w:t>435/2004 Sb., o zaměstnanosti, ve znění pozdějších předpisů, zákon č. 262/2006 Sb., zákoník práce, ve znění pozdějších předpisů, a další související zákony, jehož obsahem je i návrh změny právní úpravy nekolidujícího zaměstnání – zrušení možnosti jeho výkonu na základě DPP, byl dne 16. září 2016 rozeslán poslancům.</w:t>
            </w:r>
            <w:r w:rsidR="00450660">
              <w:t xml:space="preserve"> Materiál je zařazen na 50. schůzi Poslanecké sněmovny Parlamentu České republiky.</w:t>
            </w:r>
          </w:p>
          <w:p w:rsidR="00D44602" w:rsidRDefault="00D44602" w:rsidP="00A17094"/>
          <w:p w:rsidR="00D44602" w:rsidRPr="00D44602" w:rsidRDefault="00D44602" w:rsidP="00A17094">
            <w:pPr>
              <w:rPr>
                <w:b/>
              </w:rPr>
            </w:pPr>
            <w:r>
              <w:rPr>
                <w:b/>
              </w:rPr>
              <w:t>Opatření je plně převedeno jako opatření č. 1.2 k řešení nesouladu nabídky a poptávky na trhu práce</w:t>
            </w:r>
            <w:r w:rsidR="00314B8E">
              <w:rPr>
                <w:b/>
              </w:rPr>
              <w:t>.</w:t>
            </w:r>
          </w:p>
        </w:tc>
      </w:tr>
      <w:tr w:rsidR="003B2D34" w:rsidTr="008754EF">
        <w:tc>
          <w:tcPr>
            <w:tcW w:w="4565" w:type="dxa"/>
          </w:tcPr>
          <w:p w:rsidR="00D44602" w:rsidRPr="00FA42AF" w:rsidRDefault="00D44602" w:rsidP="001F4C42">
            <w:pPr>
              <w:numPr>
                <w:ilvl w:val="0"/>
                <w:numId w:val="9"/>
              </w:numPr>
              <w:contextualSpacing/>
              <w:rPr>
                <w:rFonts w:eastAsia="Calibri"/>
                <w:b/>
              </w:rPr>
            </w:pPr>
            <w:r w:rsidRPr="00FA42AF">
              <w:rPr>
                <w:rFonts w:eastAsia="Calibri"/>
              </w:rPr>
              <w:t>Realizovat programy k ověření nových nástrojů a opatření APZ k zvýšení aktivizace uchazečů a zájemců o zaměstnání zaměřené na odbornou jazykovou</w:t>
            </w:r>
            <w:r w:rsidR="00314B8E">
              <w:rPr>
                <w:rFonts w:eastAsia="Calibri"/>
              </w:rPr>
              <w:t xml:space="preserve"> přípravu v přímé souvislosti s </w:t>
            </w:r>
            <w:r w:rsidRPr="00FA42AF">
              <w:rPr>
                <w:rFonts w:eastAsia="Calibri"/>
              </w:rPr>
              <w:t>dalším profesním vzděláváním. V této souvislosti podpořit ročně 5 000 uchazečů o zaměstnání na trhu práce.</w:t>
            </w:r>
          </w:p>
          <w:p w:rsidR="003B2D34" w:rsidRDefault="003B2D34" w:rsidP="00D44602">
            <w:pPr>
              <w:jc w:val="center"/>
            </w:pPr>
          </w:p>
        </w:tc>
        <w:tc>
          <w:tcPr>
            <w:tcW w:w="993" w:type="dxa"/>
          </w:tcPr>
          <w:p w:rsidR="003B2D34" w:rsidRDefault="00D44602" w:rsidP="00280EA8">
            <w:r>
              <w:t>MPSV</w:t>
            </w:r>
          </w:p>
          <w:p w:rsidR="00D44602" w:rsidRDefault="00D44602" w:rsidP="00280EA8">
            <w:r>
              <w:t>ÚP ČR</w:t>
            </w:r>
          </w:p>
        </w:tc>
        <w:tc>
          <w:tcPr>
            <w:tcW w:w="1213" w:type="dxa"/>
          </w:tcPr>
          <w:p w:rsidR="003B2D34" w:rsidRPr="00D44602" w:rsidRDefault="00D44602" w:rsidP="00280EA8">
            <w:pPr>
              <w:rPr>
                <w:b/>
              </w:rPr>
            </w:pPr>
            <w:proofErr w:type="spellStart"/>
            <w:r>
              <w:rPr>
                <w:b/>
              </w:rPr>
              <w:t>Průběž</w:t>
            </w:r>
            <w:proofErr w:type="spellEnd"/>
            <w:r>
              <w:rPr>
                <w:b/>
              </w:rPr>
              <w:t>. plněno</w:t>
            </w:r>
          </w:p>
        </w:tc>
        <w:tc>
          <w:tcPr>
            <w:tcW w:w="7449" w:type="dxa"/>
            <w:gridSpan w:val="3"/>
          </w:tcPr>
          <w:p w:rsidR="00D44602" w:rsidRPr="00386FAF" w:rsidRDefault="00D44602" w:rsidP="00D44602">
            <w:pPr>
              <w:rPr>
                <w:b/>
              </w:rPr>
            </w:pPr>
            <w:r>
              <w:t>V současné době jsou v realizaci projekty „Iniciativa podpory</w:t>
            </w:r>
            <w:r w:rsidRPr="00FA42AF">
              <w:t xml:space="preserve"> zaměstnanosti mládeže pro NUTS 2 Severozápad v </w:t>
            </w:r>
            <w:r>
              <w:t>Ústeckém kraji“ a „Iniciativa podpory</w:t>
            </w:r>
            <w:r w:rsidRPr="00FA42AF">
              <w:t xml:space="preserve"> zaměstnanosti</w:t>
            </w:r>
            <w:r>
              <w:t xml:space="preserve"> mládeže</w:t>
            </w:r>
            <w:r w:rsidRPr="00FA42AF">
              <w:t xml:space="preserve"> pro NUTS 2 Severozápad v Karlovarském kraji“</w:t>
            </w:r>
            <w:r>
              <w:t xml:space="preserve"> v rámci kterých je pilotně </w:t>
            </w:r>
            <w:r w:rsidRPr="00FA42AF">
              <w:t xml:space="preserve">implementováno </w:t>
            </w:r>
            <w:r>
              <w:t>„Stáže do zahraničí“.</w:t>
            </w:r>
          </w:p>
          <w:p w:rsidR="00D44602" w:rsidRPr="00386FAF" w:rsidRDefault="00D44602" w:rsidP="00D44602">
            <w:pPr>
              <w:rPr>
                <w:b/>
              </w:rPr>
            </w:pPr>
          </w:p>
          <w:p w:rsidR="00D44602" w:rsidRPr="00386FAF" w:rsidRDefault="00D44602" w:rsidP="00D44602">
            <w:pPr>
              <w:rPr>
                <w:b/>
              </w:rPr>
            </w:pPr>
            <w:r w:rsidRPr="00386FAF">
              <w:t xml:space="preserve">V rámci </w:t>
            </w:r>
            <w:r>
              <w:t xml:space="preserve">uvedeného </w:t>
            </w:r>
            <w:r w:rsidRPr="00386FAF">
              <w:t xml:space="preserve">opatření mohou </w:t>
            </w:r>
            <w:r>
              <w:t>ú</w:t>
            </w:r>
            <w:r w:rsidRPr="00386FAF">
              <w:t xml:space="preserve">častníci projektů </w:t>
            </w:r>
            <w:r>
              <w:t>v</w:t>
            </w:r>
            <w:r w:rsidRPr="00386FAF">
              <w:t xml:space="preserve">ycestovat na pracovní pobyt do zahraničí za účelem získání </w:t>
            </w:r>
            <w:r>
              <w:t xml:space="preserve">pracovních </w:t>
            </w:r>
            <w:r w:rsidRPr="00386FAF">
              <w:t>zkušeností</w:t>
            </w:r>
            <w:r>
              <w:t xml:space="preserve">, </w:t>
            </w:r>
            <w:r w:rsidRPr="00386FAF">
              <w:t>zvýšení kvalifikace</w:t>
            </w:r>
            <w:r>
              <w:t xml:space="preserve"> a jazykových znalostí</w:t>
            </w:r>
            <w:r w:rsidRPr="00386FAF">
              <w:t>. Po dobu jejich pobytu v cizině jim ÚP Č</w:t>
            </w:r>
            <w:r w:rsidR="00314B8E">
              <w:t>R hradí ubytování, stravování a </w:t>
            </w:r>
            <w:r w:rsidRPr="00386FAF">
              <w:t xml:space="preserve">proplácí cestovní výdaje. Součástí opatření je také uznání dosaženého stupně vzdělání v zahraničí - nostrifikace, která je nutná a důležitá pro vstup na zahraniční volný trh práce. Účastníci prochází intenzivním jazykovým kurzem, který je zaměřený především na německý jazyk. </w:t>
            </w:r>
          </w:p>
          <w:p w:rsidR="00D44602" w:rsidRPr="00386FAF" w:rsidRDefault="00D44602" w:rsidP="00D44602">
            <w:pPr>
              <w:rPr>
                <w:b/>
              </w:rPr>
            </w:pPr>
          </w:p>
          <w:p w:rsidR="00D44602" w:rsidRDefault="00D44602" w:rsidP="00D44602">
            <w:r w:rsidRPr="00386FAF">
              <w:t>Opatření Stáže do zahraničí je realizováno také prostřednictvím projektů Záruky pro mladé, a to</w:t>
            </w:r>
            <w:r>
              <w:t xml:space="preserve"> konkrétně</w:t>
            </w:r>
            <w:r w:rsidR="00314B8E">
              <w:t xml:space="preserve"> v Libereckém a </w:t>
            </w:r>
            <w:r w:rsidRPr="00386FAF">
              <w:t xml:space="preserve">Jihočeském kraji. </w:t>
            </w:r>
          </w:p>
          <w:p w:rsidR="00D44602" w:rsidRDefault="00D44602" w:rsidP="00D44602"/>
          <w:p w:rsidR="00D44602" w:rsidRPr="00D44602" w:rsidRDefault="00D44602" w:rsidP="00D44602">
            <w:pPr>
              <w:rPr>
                <w:b/>
              </w:rPr>
            </w:pPr>
            <w:r>
              <w:rPr>
                <w:b/>
              </w:rPr>
              <w:t>Opatření částečně transformováno do opatření č. 2.1, 4.1 a 4.2 k řešení nesouladu nabídky a poptávky na trhu práce.</w:t>
            </w:r>
          </w:p>
          <w:p w:rsidR="003B2D34" w:rsidRDefault="003B2D34" w:rsidP="00280EA8"/>
        </w:tc>
      </w:tr>
      <w:tr w:rsidR="003B2D34" w:rsidTr="008754EF">
        <w:tc>
          <w:tcPr>
            <w:tcW w:w="4565" w:type="dxa"/>
          </w:tcPr>
          <w:p w:rsidR="00D44602" w:rsidRPr="00FA42AF" w:rsidRDefault="00D44602" w:rsidP="001F4C42">
            <w:pPr>
              <w:numPr>
                <w:ilvl w:val="0"/>
                <w:numId w:val="9"/>
              </w:numPr>
              <w:contextualSpacing/>
              <w:rPr>
                <w:rFonts w:eastAsia="Calibri"/>
                <w:b/>
              </w:rPr>
            </w:pPr>
            <w:r w:rsidRPr="00FA42AF">
              <w:rPr>
                <w:rFonts w:eastAsia="Calibri"/>
              </w:rPr>
              <w:t xml:space="preserve">Umožnit opakovanou realizaci nástrojů APZ u sezónních prací, zejména v zemědělství, lesnictví, stavebnictví. </w:t>
            </w:r>
          </w:p>
          <w:p w:rsidR="003B2D34" w:rsidRDefault="003B2D34" w:rsidP="00D44602">
            <w:pPr>
              <w:ind w:firstLine="708"/>
            </w:pPr>
          </w:p>
        </w:tc>
        <w:tc>
          <w:tcPr>
            <w:tcW w:w="993" w:type="dxa"/>
          </w:tcPr>
          <w:p w:rsidR="003B2D34" w:rsidRDefault="00B0583B" w:rsidP="00280EA8">
            <w:r>
              <w:t>MPSV</w:t>
            </w:r>
          </w:p>
          <w:p w:rsidR="00B0583B" w:rsidRDefault="00B0583B" w:rsidP="00280EA8">
            <w:r>
              <w:t>ÚP ČR</w:t>
            </w:r>
          </w:p>
        </w:tc>
        <w:tc>
          <w:tcPr>
            <w:tcW w:w="1213" w:type="dxa"/>
          </w:tcPr>
          <w:p w:rsidR="003B2D34" w:rsidRDefault="00F649AE" w:rsidP="00280EA8">
            <w:r>
              <w:t>Splněno</w:t>
            </w:r>
          </w:p>
        </w:tc>
        <w:tc>
          <w:tcPr>
            <w:tcW w:w="7449" w:type="dxa"/>
            <w:gridSpan w:val="3"/>
          </w:tcPr>
          <w:p w:rsidR="003B2D34" w:rsidRDefault="00B0583B" w:rsidP="00B0583B">
            <w:r w:rsidRPr="00FA42AF">
              <w:t>Viz bod 19. Opakovaně podpořit uchazeče o zaměstnání, který je na trhu práce znevýhodněnou osobou a u nějž existuje předpoklad, že setrvá v evidenci uchazečů o zaměstnání dlouhodobě, je možné také již v současné době. Rozhodující není obor činnosti, ale individuální charakteristiky nezaměstnaných osob, přičemž existuje důvodný předpoklad, že osoby nejvíce na trhu práce ohrožené (zejména z důvodu nízké kvalifikace) jsou v sezónních zaměstnáních zastoupeny výraznou měrou.</w:t>
            </w:r>
            <w:r>
              <w:t xml:space="preserve"> </w:t>
            </w:r>
            <w:r w:rsidRPr="00B0583B">
              <w:t>Zohledněno ve Směrnici GŘ ÚP ČR č. 1/2015.</w:t>
            </w:r>
          </w:p>
        </w:tc>
      </w:tr>
      <w:tr w:rsidR="00A17094" w:rsidTr="008754EF">
        <w:tc>
          <w:tcPr>
            <w:tcW w:w="4565" w:type="dxa"/>
          </w:tcPr>
          <w:p w:rsidR="00F649AE" w:rsidRPr="00FA42AF" w:rsidRDefault="00F649AE" w:rsidP="001F4C42">
            <w:pPr>
              <w:numPr>
                <w:ilvl w:val="0"/>
                <w:numId w:val="9"/>
              </w:numPr>
              <w:contextualSpacing/>
              <w:rPr>
                <w:rFonts w:eastAsia="Calibri"/>
                <w:b/>
              </w:rPr>
            </w:pPr>
            <w:r w:rsidRPr="00FA42AF">
              <w:rPr>
                <w:rFonts w:eastAsia="Calibri"/>
              </w:rPr>
              <w:t>Připravit a realizovat projekty podporující služby pro domácnost. V rámci pilotního ověření podpořit - aktivovat touto formou 1 000 uchazečů o zaměstnání.</w:t>
            </w:r>
          </w:p>
          <w:p w:rsidR="00A17094" w:rsidRDefault="00A17094" w:rsidP="00280EA8"/>
        </w:tc>
        <w:tc>
          <w:tcPr>
            <w:tcW w:w="993" w:type="dxa"/>
          </w:tcPr>
          <w:p w:rsidR="00A17094" w:rsidRDefault="00F649AE" w:rsidP="00280EA8">
            <w:r>
              <w:t>MPSV</w:t>
            </w:r>
          </w:p>
          <w:p w:rsidR="00F649AE" w:rsidRDefault="00F649AE" w:rsidP="00280EA8">
            <w:r>
              <w:t>ÚP ČR</w:t>
            </w:r>
          </w:p>
        </w:tc>
        <w:tc>
          <w:tcPr>
            <w:tcW w:w="1213" w:type="dxa"/>
          </w:tcPr>
          <w:p w:rsidR="00A17094" w:rsidRDefault="00F649AE" w:rsidP="00280EA8">
            <w:r>
              <w:t>Splněno</w:t>
            </w:r>
          </w:p>
        </w:tc>
        <w:tc>
          <w:tcPr>
            <w:tcW w:w="7449" w:type="dxa"/>
            <w:gridSpan w:val="3"/>
          </w:tcPr>
          <w:p w:rsidR="00F649AE" w:rsidRDefault="00F649AE" w:rsidP="00F649AE">
            <w:pPr>
              <w:rPr>
                <w:b/>
              </w:rPr>
            </w:pPr>
            <w:r w:rsidRPr="00FA42AF">
              <w:t xml:space="preserve">V roce 2014 započala realizace systémového projektu „Studie proveditelnosti nástroje služeb pro domácnost“ (Studie SPD), jehož cílem je nastavení metodických postupů fungování institutu </w:t>
            </w:r>
            <w:r>
              <w:t>SPD</w:t>
            </w:r>
            <w:r w:rsidRPr="00FA42AF">
              <w:t xml:space="preserve"> tak, aby mohly být v novém programovém období využity při konkrétní aplikaci nástrojů sloužících ke zpružnění trhu práce.  Náplní navazujícího projektu bude pilotní ověření realizace podpory služeb pro domácnost.</w:t>
            </w:r>
          </w:p>
          <w:p w:rsidR="00F649AE" w:rsidRPr="00FA42AF" w:rsidRDefault="00F649AE" w:rsidP="00F649AE">
            <w:pPr>
              <w:rPr>
                <w:b/>
              </w:rPr>
            </w:pPr>
          </w:p>
          <w:p w:rsidR="00F649AE" w:rsidRPr="00FA42AF" w:rsidRDefault="00F649AE" w:rsidP="00F649AE">
            <w:pPr>
              <w:rPr>
                <w:b/>
              </w:rPr>
            </w:pPr>
            <w:r w:rsidRPr="00FA42AF">
              <w:t>Na základě výstupů studie proveditelnosti MPSV vyhodnocuje efektivitu možného využití konceptu služeb pro domácnost v prostředí ČR.</w:t>
            </w:r>
          </w:p>
          <w:p w:rsidR="00F649AE" w:rsidRPr="00FA42AF" w:rsidRDefault="00F649AE" w:rsidP="00F649AE">
            <w:pPr>
              <w:rPr>
                <w:b/>
              </w:rPr>
            </w:pPr>
          </w:p>
          <w:p w:rsidR="00F649AE" w:rsidRPr="00FA42AF" w:rsidRDefault="00F649AE" w:rsidP="00F649AE">
            <w:pPr>
              <w:rPr>
                <w:b/>
              </w:rPr>
            </w:pPr>
            <w:r w:rsidRPr="00FA42AF">
              <w:t xml:space="preserve">Zároveň v investiční prioritě 1.2 OPZ se připravuje vyhlášení otevřené výzvy k předkládání pilotních projektů za účelem podpory péče </w:t>
            </w:r>
            <w:r>
              <w:t xml:space="preserve">o </w:t>
            </w:r>
            <w:r w:rsidRPr="00FA42AF">
              <w:t>potřebné osoby v</w:t>
            </w:r>
            <w:r>
              <w:t> </w:t>
            </w:r>
            <w:r w:rsidRPr="00FA42AF">
              <w:t>domácno</w:t>
            </w:r>
            <w:r>
              <w:t>s</w:t>
            </w:r>
            <w:r w:rsidRPr="00FA42AF">
              <w:t xml:space="preserve">tech, včetně poskytování drobných služeb s touto péčí spojených. Půjde zejména o podporu uplatnění žen ve věku 45+, jejichž podíl mezi uchazečkami roste </w:t>
            </w:r>
            <w:r>
              <w:br/>
            </w:r>
            <w:r w:rsidRPr="00FA42AF">
              <w:t>a míra jejich uplatnitelnosti na trhu práce je spíše nízká.</w:t>
            </w:r>
          </w:p>
          <w:p w:rsidR="00A17094" w:rsidRDefault="00A17094" w:rsidP="00280EA8"/>
        </w:tc>
      </w:tr>
      <w:tr w:rsidR="00A17094" w:rsidTr="008754EF">
        <w:tc>
          <w:tcPr>
            <w:tcW w:w="4565" w:type="dxa"/>
          </w:tcPr>
          <w:p w:rsidR="00F649AE" w:rsidRPr="00FA42AF" w:rsidRDefault="00F649AE" w:rsidP="00314B8E">
            <w:pPr>
              <w:numPr>
                <w:ilvl w:val="0"/>
                <w:numId w:val="9"/>
              </w:numPr>
              <w:ind w:left="426"/>
              <w:contextualSpacing/>
              <w:rPr>
                <w:rFonts w:eastAsia="Calibri"/>
                <w:b/>
              </w:rPr>
            </w:pPr>
            <w:r w:rsidRPr="00FA42AF">
              <w:rPr>
                <w:rFonts w:eastAsia="Calibri"/>
              </w:rPr>
              <w:t>Upravit maximální délku poskytování příspěvků na SÚPM. Prosazovat obecně pro všechny kategorie uchazečů možnost poskytovat příspěvek na SÚPM po dobu až 12 měsíců, u některých kategorií uchazečů o zaměstnání (absolventi, pečující matky, apod.), kde dochází ke</w:t>
            </w:r>
            <w:r w:rsidR="00314B8E">
              <w:rPr>
                <w:rFonts w:eastAsia="Calibri"/>
              </w:rPr>
              <w:t xml:space="preserve"> kumulaci handicapů, případně i </w:t>
            </w:r>
            <w:r w:rsidRPr="00FA42AF">
              <w:rPr>
                <w:rFonts w:eastAsia="Calibri"/>
              </w:rPr>
              <w:t>déle, max. 24 měsíců.</w:t>
            </w:r>
          </w:p>
          <w:p w:rsidR="00A17094" w:rsidRDefault="00A17094" w:rsidP="00280EA8"/>
        </w:tc>
        <w:tc>
          <w:tcPr>
            <w:tcW w:w="993" w:type="dxa"/>
          </w:tcPr>
          <w:p w:rsidR="00A17094" w:rsidRDefault="00F649AE" w:rsidP="00280EA8">
            <w:r>
              <w:t>MPSV</w:t>
            </w:r>
          </w:p>
        </w:tc>
        <w:tc>
          <w:tcPr>
            <w:tcW w:w="1213" w:type="dxa"/>
          </w:tcPr>
          <w:p w:rsidR="00A17094" w:rsidRPr="00F649AE" w:rsidRDefault="00F649AE" w:rsidP="00280EA8">
            <w:pPr>
              <w:rPr>
                <w:b/>
              </w:rPr>
            </w:pPr>
            <w:proofErr w:type="spellStart"/>
            <w:r>
              <w:rPr>
                <w:b/>
              </w:rPr>
              <w:t>Průběž</w:t>
            </w:r>
            <w:proofErr w:type="spellEnd"/>
            <w:r>
              <w:rPr>
                <w:b/>
              </w:rPr>
              <w:t>. plněno</w:t>
            </w:r>
          </w:p>
        </w:tc>
        <w:tc>
          <w:tcPr>
            <w:tcW w:w="7449" w:type="dxa"/>
            <w:gridSpan w:val="3"/>
          </w:tcPr>
          <w:p w:rsidR="00F649AE" w:rsidRDefault="00F649AE" w:rsidP="00F649AE">
            <w:r>
              <w:t>R</w:t>
            </w:r>
            <w:r w:rsidRPr="00FA42AF">
              <w:t>ealizováno v rámci připravované novely zákona č.</w:t>
            </w:r>
            <w:r>
              <w:t> </w:t>
            </w:r>
            <w:r w:rsidRPr="00FA42AF">
              <w:t xml:space="preserve">435/2004 </w:t>
            </w:r>
            <w:r>
              <w:t>S</w:t>
            </w:r>
            <w:r w:rsidR="00314B8E">
              <w:t>b., o </w:t>
            </w:r>
            <w:r w:rsidRPr="00FA42AF">
              <w:t>zaměstnanosti.</w:t>
            </w:r>
            <w:r>
              <w:t xml:space="preserve"> Návrh novely zákona o zaměstnanosti byl předložen k projednání vládě ČR.</w:t>
            </w:r>
          </w:p>
          <w:p w:rsidR="00F649AE" w:rsidRDefault="00F649AE" w:rsidP="00F649AE"/>
          <w:p w:rsidR="00F649AE" w:rsidRPr="00F649AE" w:rsidRDefault="00F649AE" w:rsidP="00F649AE">
            <w:pPr>
              <w:rPr>
                <w:b/>
              </w:rPr>
            </w:pPr>
            <w:r>
              <w:rPr>
                <w:b/>
              </w:rPr>
              <w:t>Součástí opatření č. 2.1 k řešení nesouladu nabídky a poptávky na trhu práce</w:t>
            </w:r>
            <w:r w:rsidR="00314B8E">
              <w:rPr>
                <w:b/>
              </w:rPr>
              <w:t>.</w:t>
            </w:r>
          </w:p>
          <w:p w:rsidR="00A17094" w:rsidRDefault="00A17094" w:rsidP="00280EA8"/>
        </w:tc>
      </w:tr>
      <w:tr w:rsidR="00A17094" w:rsidTr="008754EF">
        <w:tc>
          <w:tcPr>
            <w:tcW w:w="4565" w:type="dxa"/>
          </w:tcPr>
          <w:p w:rsidR="00F649AE" w:rsidRPr="00FA42AF" w:rsidRDefault="00314B8E" w:rsidP="001F4C42">
            <w:pPr>
              <w:numPr>
                <w:ilvl w:val="0"/>
                <w:numId w:val="9"/>
              </w:numPr>
              <w:contextualSpacing/>
              <w:rPr>
                <w:rFonts w:eastAsia="Calibri"/>
                <w:b/>
              </w:rPr>
            </w:pPr>
            <w:r>
              <w:rPr>
                <w:rFonts w:eastAsia="Calibri"/>
              </w:rPr>
              <w:t>Zavést do zákona o </w:t>
            </w:r>
            <w:r w:rsidR="00F649AE" w:rsidRPr="00FA42AF">
              <w:rPr>
                <w:rFonts w:eastAsia="Calibri"/>
              </w:rPr>
              <w:t>zaměstnanosti specifický nástroj APZ SÚPM určený pro uchazeče o zaměstnání - absolventy.</w:t>
            </w:r>
          </w:p>
          <w:p w:rsidR="00A17094" w:rsidRDefault="00A17094" w:rsidP="00F649AE">
            <w:pPr>
              <w:tabs>
                <w:tab w:val="left" w:pos="1691"/>
              </w:tabs>
            </w:pPr>
          </w:p>
        </w:tc>
        <w:tc>
          <w:tcPr>
            <w:tcW w:w="993" w:type="dxa"/>
          </w:tcPr>
          <w:p w:rsidR="00A17094" w:rsidRDefault="00F649AE" w:rsidP="00280EA8">
            <w:r>
              <w:t>MPSV</w:t>
            </w:r>
          </w:p>
        </w:tc>
        <w:tc>
          <w:tcPr>
            <w:tcW w:w="1213" w:type="dxa"/>
          </w:tcPr>
          <w:p w:rsidR="00A17094" w:rsidRDefault="00F649AE" w:rsidP="00280EA8">
            <w:r>
              <w:t>Splněno</w:t>
            </w:r>
          </w:p>
        </w:tc>
        <w:tc>
          <w:tcPr>
            <w:tcW w:w="7449" w:type="dxa"/>
            <w:gridSpan w:val="3"/>
          </w:tcPr>
          <w:p w:rsidR="00A17094" w:rsidRDefault="00F649AE" w:rsidP="00F649AE">
            <w:r>
              <w:t>Dané opatření je plněno již v rámci interních pokynů – vnitřních aktů řízení, kdy je kladen důraz na využívání stávajících nástrojů</w:t>
            </w:r>
            <w:r w:rsidR="00314B8E">
              <w:t xml:space="preserve"> APZ ve vztahu k uchazečům o za</w:t>
            </w:r>
            <w:r>
              <w:t>městnání – absolventům. Zohledněno ve Směrnici GŘ ÚP ČR 1/2015.</w:t>
            </w:r>
          </w:p>
        </w:tc>
      </w:tr>
      <w:tr w:rsidR="00F649AE" w:rsidTr="00644621">
        <w:tc>
          <w:tcPr>
            <w:tcW w:w="14220" w:type="dxa"/>
            <w:gridSpan w:val="6"/>
          </w:tcPr>
          <w:p w:rsidR="00F649AE" w:rsidRPr="00F649AE" w:rsidRDefault="00F649AE" w:rsidP="00280EA8">
            <w:pPr>
              <w:rPr>
                <w:b/>
              </w:rPr>
            </w:pPr>
            <w:r w:rsidRPr="00F649AE">
              <w:rPr>
                <w:b/>
              </w:rPr>
              <w:t xml:space="preserve">VIII. Podpora </w:t>
            </w:r>
            <w:r>
              <w:rPr>
                <w:b/>
              </w:rPr>
              <w:t>dalších flexibilních forem orga</w:t>
            </w:r>
            <w:r w:rsidRPr="00F649AE">
              <w:rPr>
                <w:b/>
              </w:rPr>
              <w:t>nizací práce</w:t>
            </w:r>
          </w:p>
        </w:tc>
      </w:tr>
      <w:tr w:rsidR="00A17094" w:rsidTr="008754EF">
        <w:tc>
          <w:tcPr>
            <w:tcW w:w="4565" w:type="dxa"/>
          </w:tcPr>
          <w:p w:rsidR="00F649AE" w:rsidRPr="00FA42AF" w:rsidRDefault="00F649AE" w:rsidP="001F4C42">
            <w:pPr>
              <w:numPr>
                <w:ilvl w:val="0"/>
                <w:numId w:val="9"/>
              </w:numPr>
              <w:contextualSpacing/>
              <w:rPr>
                <w:rFonts w:eastAsia="Calibri"/>
                <w:b/>
              </w:rPr>
            </w:pPr>
            <w:r w:rsidRPr="00FA42AF">
              <w:rPr>
                <w:rFonts w:eastAsia="Calibri"/>
              </w:rPr>
              <w:t>Rozšířit spolupráci agentur práce a úřadů práce v celé ČR, sdílení databáze uchazečů, poskytování údajů potřebných k obsazení vhodné pracovní pozice.</w:t>
            </w:r>
          </w:p>
          <w:p w:rsidR="00A17094" w:rsidRDefault="00A17094" w:rsidP="00280EA8"/>
        </w:tc>
        <w:tc>
          <w:tcPr>
            <w:tcW w:w="993" w:type="dxa"/>
          </w:tcPr>
          <w:p w:rsidR="00A17094" w:rsidRDefault="00F649AE" w:rsidP="00280EA8">
            <w:r>
              <w:t>MPSV</w:t>
            </w:r>
          </w:p>
          <w:p w:rsidR="00F649AE" w:rsidRDefault="00F649AE" w:rsidP="00280EA8">
            <w:r>
              <w:t>ÚP ČR</w:t>
            </w:r>
          </w:p>
        </w:tc>
        <w:tc>
          <w:tcPr>
            <w:tcW w:w="1213" w:type="dxa"/>
          </w:tcPr>
          <w:p w:rsidR="00A17094" w:rsidRPr="00F649AE" w:rsidRDefault="00F649AE" w:rsidP="00280EA8">
            <w:pPr>
              <w:rPr>
                <w:b/>
              </w:rPr>
            </w:pPr>
            <w:proofErr w:type="spellStart"/>
            <w:r>
              <w:rPr>
                <w:b/>
              </w:rPr>
              <w:t>Průběž</w:t>
            </w:r>
            <w:proofErr w:type="spellEnd"/>
            <w:r>
              <w:rPr>
                <w:b/>
              </w:rPr>
              <w:t>. řešeno</w:t>
            </w:r>
          </w:p>
        </w:tc>
        <w:tc>
          <w:tcPr>
            <w:tcW w:w="7449" w:type="dxa"/>
            <w:gridSpan w:val="3"/>
          </w:tcPr>
          <w:p w:rsidR="00A17094" w:rsidRDefault="00F649AE" w:rsidP="00F649AE">
            <w:r>
              <w:t>ÚP ČR připravil návrh zadávací dokumentace pro veřejnou zakázku v souvislosti s přípravou pilotáže Sdílené-ho zprostředkování (výběr spolupracujících agentur práce).</w:t>
            </w:r>
            <w:r w:rsidR="00314B8E">
              <w:t xml:space="preserve"> ÚP ČR standardně spolupracuje s </w:t>
            </w:r>
            <w:r>
              <w:t>agenturami práce, pokud vystupují jako zaměstnavatelé, a to plně v souladu se zákonem o zaměstnanosti.</w:t>
            </w:r>
          </w:p>
          <w:p w:rsidR="00F649AE" w:rsidRDefault="00F649AE" w:rsidP="00F649AE"/>
          <w:p w:rsidR="00F649AE" w:rsidRPr="00F649AE" w:rsidRDefault="00F649AE" w:rsidP="00F649AE">
            <w:pPr>
              <w:rPr>
                <w:b/>
              </w:rPr>
            </w:pPr>
            <w:r>
              <w:rPr>
                <w:b/>
              </w:rPr>
              <w:t>Spolupráce na trhu práce se všemi zúčastněnými partnery</w:t>
            </w:r>
            <w:r>
              <w:t xml:space="preserve">, včetně agentur práce, </w:t>
            </w:r>
            <w:r>
              <w:rPr>
                <w:b/>
              </w:rPr>
              <w:t>je součástí opatření č. 4.4 k řešení nesouladu nabídky a poptávky na trhu práce. Revize agenturního zaměstnávání tvoří opatření č. 1.6b k řešení nesouladu nabídky a poptávky na trhu práce</w:t>
            </w:r>
            <w:r w:rsidR="00314B8E">
              <w:rPr>
                <w:b/>
              </w:rPr>
              <w:t>.</w:t>
            </w:r>
          </w:p>
        </w:tc>
      </w:tr>
      <w:tr w:rsidR="00A17094" w:rsidTr="008754EF">
        <w:tc>
          <w:tcPr>
            <w:tcW w:w="4565" w:type="dxa"/>
          </w:tcPr>
          <w:p w:rsidR="00F649AE" w:rsidRPr="00FA42AF" w:rsidRDefault="00F649AE" w:rsidP="001F4C42">
            <w:pPr>
              <w:numPr>
                <w:ilvl w:val="0"/>
                <w:numId w:val="9"/>
              </w:numPr>
              <w:contextualSpacing/>
              <w:rPr>
                <w:rFonts w:eastAsia="Calibri"/>
                <w:b/>
              </w:rPr>
            </w:pPr>
            <w:r w:rsidRPr="00FA42AF">
              <w:rPr>
                <w:rFonts w:eastAsia="Calibri"/>
              </w:rPr>
              <w:t>Připravit komplexní úpravu zprostředkování zaměstnání agenturami práce</w:t>
            </w:r>
          </w:p>
          <w:p w:rsidR="00A17094" w:rsidRDefault="00A17094" w:rsidP="00F649AE">
            <w:pPr>
              <w:jc w:val="center"/>
            </w:pPr>
          </w:p>
        </w:tc>
        <w:tc>
          <w:tcPr>
            <w:tcW w:w="993" w:type="dxa"/>
          </w:tcPr>
          <w:p w:rsidR="00A17094" w:rsidRDefault="00F649AE" w:rsidP="00280EA8">
            <w:r>
              <w:t>MPSV</w:t>
            </w:r>
          </w:p>
        </w:tc>
        <w:tc>
          <w:tcPr>
            <w:tcW w:w="1213" w:type="dxa"/>
          </w:tcPr>
          <w:p w:rsidR="00A17094" w:rsidRDefault="00F649AE" w:rsidP="00280EA8">
            <w:r>
              <w:t>Splněno</w:t>
            </w:r>
          </w:p>
        </w:tc>
        <w:tc>
          <w:tcPr>
            <w:tcW w:w="7449" w:type="dxa"/>
            <w:gridSpan w:val="3"/>
          </w:tcPr>
          <w:p w:rsidR="00F649AE" w:rsidRPr="00F649AE" w:rsidRDefault="00F649AE" w:rsidP="00F649AE">
            <w:r w:rsidRPr="00F649AE">
              <w:t>Vládou ČR projednán a schválen návrh novely zákona o zaměstnanosti, který obsahuje:</w:t>
            </w:r>
          </w:p>
          <w:p w:rsidR="00F649AE" w:rsidRPr="00F649AE" w:rsidRDefault="00F649AE" w:rsidP="001F4C42">
            <w:pPr>
              <w:numPr>
                <w:ilvl w:val="0"/>
                <w:numId w:val="12"/>
              </w:numPr>
            </w:pPr>
            <w:r w:rsidRPr="00F649AE">
              <w:t>ukotvení institutu kauce ve výši 500.000,- Kč k prokázání finanční způsobilosti agentury práce; povinná úhrada kauce se vztahuje pouze na agentury práce s povolením ke zprostředkování zaměstnání – přidělení k uživateli. Kauce jednak eliminuje úč</w:t>
            </w:r>
            <w:r w:rsidR="00314B8E">
              <w:t>elové zakládání agentur práce a </w:t>
            </w:r>
            <w:r w:rsidRPr="00F649AE">
              <w:t>obcházení právních předpisů (např. odvodová povinnost vůči státu), a zároveň poskytne jistinu na případné neuhrazené splatné nedoplatky vytvořené vůči veřejným rozpočtům během výkonu zprostředkovatelské činnosti,</w:t>
            </w:r>
          </w:p>
          <w:p w:rsidR="00A17094" w:rsidRDefault="00F649AE" w:rsidP="001F4C42">
            <w:pPr>
              <w:numPr>
                <w:ilvl w:val="0"/>
                <w:numId w:val="4"/>
              </w:numPr>
            </w:pPr>
            <w:r w:rsidRPr="00F649AE">
              <w:t>vložení nového § 307b do zákoníku práce, kdy se přisuzuje odpovědnost za způsob, jakým je dočasné přidělování zaměstnanců agentur práce realizováno uživateli (poptávka ze strany uživatele často determinuje podmínky realizace agenturního zaměstnávání); uživatel bude nově povinen společně s agenturou práce zajistit, aby zaměstnanec nebyl dočasně přidělen k výkonu práce u toho uživatele, u něhož je současně zaměstnán v základním pracovněprávním vztahu anebo konal nebo koná v témže kalendářním měsíci práci na základě dočasného přidělení jinou agenturou práce,</w:t>
            </w:r>
            <w:r>
              <w:t xml:space="preserve"> </w:t>
            </w:r>
            <w:r w:rsidRPr="00F649AE">
              <w:t>změna zákona o inspekci práce tak, že se deliktního jednání dopustí takový uživatelský subjekt</w:t>
            </w:r>
            <w:r w:rsidR="00314B8E">
              <w:t>, který nezajistí, aby dohoda o </w:t>
            </w:r>
            <w:r w:rsidRPr="00F649AE">
              <w:t>dočasném přidělení zaměstnance agentury práce obsahovala informace o pracovních a mzdových nebo platových podmínkách zaměstnance uživatele, který vykonává nebo by vykonával stejnou práci jako dočasně přidělený zaměstnanec, s přihlédnutím ke kvalifikaci a délce odborné praxe, nebo tyto údaje uvede nepravdivě</w:t>
            </w:r>
            <w:r>
              <w:t>.</w:t>
            </w:r>
          </w:p>
          <w:p w:rsidR="00F649AE" w:rsidRDefault="00F649AE" w:rsidP="00F649AE"/>
          <w:p w:rsidR="00F649AE" w:rsidRPr="00F649AE" w:rsidRDefault="00F649AE" w:rsidP="00F649AE">
            <w:pPr>
              <w:rPr>
                <w:b/>
              </w:rPr>
            </w:pPr>
            <w:r>
              <w:rPr>
                <w:b/>
              </w:rPr>
              <w:t>Pokračování plnění opatření je převedeno do opatření č. 1.6b k řešení nesouladu nabídky a poptávky na trhu práce</w:t>
            </w:r>
          </w:p>
        </w:tc>
      </w:tr>
      <w:tr w:rsidR="00F649AE" w:rsidTr="00644621">
        <w:tc>
          <w:tcPr>
            <w:tcW w:w="14220" w:type="dxa"/>
            <w:gridSpan w:val="6"/>
          </w:tcPr>
          <w:p w:rsidR="00F649AE" w:rsidRPr="00F649AE" w:rsidRDefault="00F649AE" w:rsidP="00F649AE">
            <w:pPr>
              <w:rPr>
                <w:b/>
              </w:rPr>
            </w:pPr>
            <w:r w:rsidRPr="00F649AE">
              <w:rPr>
                <w:rFonts w:eastAsia="Calibri"/>
                <w:b/>
              </w:rPr>
              <w:t>IX. Důsledné potírání diskriminace a nelegální práce na trhu práce, včetně preciznější textace zákonných norem</w:t>
            </w:r>
          </w:p>
        </w:tc>
      </w:tr>
      <w:tr w:rsidR="00A17094" w:rsidTr="008754EF">
        <w:tc>
          <w:tcPr>
            <w:tcW w:w="4565" w:type="dxa"/>
          </w:tcPr>
          <w:p w:rsidR="00F649AE" w:rsidRPr="00FA42AF" w:rsidRDefault="00F649AE" w:rsidP="001F4C42">
            <w:pPr>
              <w:numPr>
                <w:ilvl w:val="0"/>
                <w:numId w:val="9"/>
              </w:numPr>
              <w:contextualSpacing/>
              <w:rPr>
                <w:rFonts w:eastAsia="Calibri"/>
                <w:b/>
              </w:rPr>
            </w:pPr>
            <w:r w:rsidRPr="00FA42AF">
              <w:rPr>
                <w:rFonts w:eastAsia="Calibri"/>
              </w:rPr>
              <w:t>Realizovat ročně 15 000 kontrol zaměřených na nelegální práci, diskriminaci při uplatňování práva na zaměstnání a agenturního zaměstnávání.</w:t>
            </w:r>
          </w:p>
          <w:p w:rsidR="00A17094" w:rsidRDefault="00A17094" w:rsidP="00280EA8"/>
        </w:tc>
        <w:tc>
          <w:tcPr>
            <w:tcW w:w="993" w:type="dxa"/>
          </w:tcPr>
          <w:p w:rsidR="00A17094" w:rsidRDefault="00F649AE" w:rsidP="00280EA8">
            <w:r>
              <w:t>MPSV</w:t>
            </w:r>
          </w:p>
          <w:p w:rsidR="00F649AE" w:rsidRDefault="00F649AE" w:rsidP="00280EA8">
            <w:r>
              <w:t>SUIP</w:t>
            </w:r>
          </w:p>
        </w:tc>
        <w:tc>
          <w:tcPr>
            <w:tcW w:w="1213" w:type="dxa"/>
          </w:tcPr>
          <w:p w:rsidR="00A17094" w:rsidRPr="00F649AE" w:rsidRDefault="00F649AE" w:rsidP="00280EA8">
            <w:pPr>
              <w:rPr>
                <w:b/>
              </w:rPr>
            </w:pPr>
            <w:proofErr w:type="spellStart"/>
            <w:r>
              <w:rPr>
                <w:b/>
              </w:rPr>
              <w:t>Průběž</w:t>
            </w:r>
            <w:proofErr w:type="spellEnd"/>
            <w:r>
              <w:rPr>
                <w:b/>
              </w:rPr>
              <w:t>. plněno</w:t>
            </w:r>
          </w:p>
        </w:tc>
        <w:tc>
          <w:tcPr>
            <w:tcW w:w="7449" w:type="dxa"/>
            <w:gridSpan w:val="3"/>
          </w:tcPr>
          <w:p w:rsidR="00F649AE" w:rsidRDefault="00F649AE" w:rsidP="00280EA8">
            <w:pPr>
              <w:rPr>
                <w:bCs/>
              </w:rPr>
            </w:pPr>
            <w:r w:rsidRPr="00FA42AF">
              <w:rPr>
                <w:bCs/>
              </w:rPr>
              <w:t xml:space="preserve">Kontrolní činnost SÚIP byla realizována v plném rozsahu dle zadání. V roce 2015 bylo provedeno celkem 9 583 kontrol zaměřených na nelegální zaměstnávání, jimiž bylo zjištěno 3 065 nelegálně zaměstnaných osob, z toho 1 913 občanů ČR, 294 občanů jiných zemí EU a 858 cizinců. Dále bylo provedeno 374 kontrol zaměřených na diskriminaci při uplatňování práva na zaměstnání, 336 kontrol zaměřených na diskriminaci v zaměstnání a 539 kontrol agenturního zaměstnávání, tj. celkem 10 832 kontrol ve sledovaných oblastech. </w:t>
            </w:r>
            <w:r w:rsidRPr="00AF408C">
              <w:rPr>
                <w:iCs/>
              </w:rPr>
              <w:t>Počet kontrol v oblasti nelegálního zaměstnávání byl na základě s</w:t>
            </w:r>
            <w:r w:rsidR="00314B8E">
              <w:rPr>
                <w:iCs/>
              </w:rPr>
              <w:t>chválení Radou vlády pro BOZP a </w:t>
            </w:r>
            <w:r w:rsidRPr="00AF408C">
              <w:rPr>
                <w:iCs/>
              </w:rPr>
              <w:t>následně vedení MPSV upraven pro rok 2015 na 7 500 kontrol, s cílem kontroly zefektivnit a současně nezvyšovat administrativní zátěž zaměstnavatelů.</w:t>
            </w:r>
            <w:r>
              <w:rPr>
                <w:i/>
                <w:iCs/>
              </w:rPr>
              <w:t xml:space="preserve"> </w:t>
            </w:r>
            <w:r w:rsidRPr="00FA42AF">
              <w:rPr>
                <w:bCs/>
              </w:rPr>
              <w:t>Počet plánovaných kontrol v oblasti nelegálního zaměstnávání bude v roce 2016 zachován. V rámci OP LZZ byl také SÚIP realizován projekt Efektivní systém rozvoje zaměstnanosti, výkonu komplexních kontrol a potírání nelegálního zaměstnávání v ČR (Efektivní systém rozvoje), který byl k 31. 12. 2015 ukončen.</w:t>
            </w:r>
          </w:p>
          <w:p w:rsidR="00070F11" w:rsidRDefault="00070F11" w:rsidP="00280EA8">
            <w:pPr>
              <w:rPr>
                <w:bCs/>
              </w:rPr>
            </w:pPr>
          </w:p>
          <w:p w:rsidR="00A17094" w:rsidRPr="00F649AE" w:rsidRDefault="00070F11" w:rsidP="00070F11">
            <w:r>
              <w:rPr>
                <w:b/>
                <w:bCs/>
              </w:rPr>
              <w:t>Opatření není převedeno pod opatření k řešení nesouladu nabídky a poptávky na trhu práce, nicméně MPSV s intenzivní kontrolní činností počítá i nadále.</w:t>
            </w:r>
          </w:p>
        </w:tc>
      </w:tr>
      <w:tr w:rsidR="00A17094" w:rsidTr="008754EF">
        <w:tc>
          <w:tcPr>
            <w:tcW w:w="4565" w:type="dxa"/>
          </w:tcPr>
          <w:p w:rsidR="00070F11" w:rsidRPr="00FA42AF" w:rsidRDefault="00070F11" w:rsidP="00314B8E">
            <w:pPr>
              <w:numPr>
                <w:ilvl w:val="0"/>
                <w:numId w:val="9"/>
              </w:numPr>
              <w:ind w:left="426"/>
              <w:contextualSpacing/>
              <w:rPr>
                <w:b/>
              </w:rPr>
            </w:pPr>
            <w:r w:rsidRPr="00FA42AF">
              <w:t>Propojit informační systémy Úřadu práce ČR, ČSSZ příp</w:t>
            </w:r>
            <w:r w:rsidR="00314B8E">
              <w:t>adně i </w:t>
            </w:r>
            <w:r w:rsidRPr="00FA42AF">
              <w:t>Finančního úřadu a umožnit tak náhle</w:t>
            </w:r>
            <w:r w:rsidR="00314B8E">
              <w:t xml:space="preserve">d do databází v případě jednání s uchazečem o </w:t>
            </w:r>
            <w:r w:rsidRPr="00FA42AF">
              <w:t>zaměstnání, resp. se zaměstnavateli.</w:t>
            </w:r>
          </w:p>
          <w:p w:rsidR="00A17094" w:rsidRDefault="00A17094" w:rsidP="00280EA8"/>
        </w:tc>
        <w:tc>
          <w:tcPr>
            <w:tcW w:w="993" w:type="dxa"/>
          </w:tcPr>
          <w:p w:rsidR="00A17094" w:rsidRDefault="00070F11" w:rsidP="00280EA8">
            <w:r>
              <w:t>MPSV</w:t>
            </w:r>
          </w:p>
          <w:p w:rsidR="00070F11" w:rsidRDefault="00070F11" w:rsidP="00280EA8">
            <w:r>
              <w:t>ÚP ČR</w:t>
            </w:r>
          </w:p>
          <w:p w:rsidR="00070F11" w:rsidRDefault="00070F11" w:rsidP="00280EA8">
            <w:r>
              <w:t>ČSSZ</w:t>
            </w:r>
          </w:p>
        </w:tc>
        <w:tc>
          <w:tcPr>
            <w:tcW w:w="1213" w:type="dxa"/>
          </w:tcPr>
          <w:p w:rsidR="00A17094" w:rsidRPr="00070F11" w:rsidRDefault="00070F11" w:rsidP="00280EA8">
            <w:pPr>
              <w:rPr>
                <w:b/>
              </w:rPr>
            </w:pPr>
            <w:proofErr w:type="spellStart"/>
            <w:r>
              <w:rPr>
                <w:b/>
              </w:rPr>
              <w:t>Průběž</w:t>
            </w:r>
            <w:proofErr w:type="spellEnd"/>
            <w:r>
              <w:rPr>
                <w:b/>
              </w:rPr>
              <w:t>. řešeno</w:t>
            </w:r>
          </w:p>
        </w:tc>
        <w:tc>
          <w:tcPr>
            <w:tcW w:w="7449" w:type="dxa"/>
            <w:gridSpan w:val="3"/>
          </w:tcPr>
          <w:p w:rsidR="00A17094" w:rsidRDefault="00070F11" w:rsidP="00070F11">
            <w:r w:rsidRPr="002E62A0">
              <w:t>ČSSZ může poskytnout data na základě zákonného oprávnění a po technické stránce prostřednictvím z</w:t>
            </w:r>
            <w:r w:rsidR="00314B8E">
              <w:t>abezpečeného Informačního a </w:t>
            </w:r>
            <w:r w:rsidRPr="002E62A0">
              <w:t>komunikačního rozhraní ČSSZ.</w:t>
            </w:r>
            <w:r>
              <w:t xml:space="preserve"> </w:t>
            </w:r>
            <w:r w:rsidRPr="00FA42AF">
              <w:t xml:space="preserve">V současné době </w:t>
            </w:r>
            <w:r>
              <w:t xml:space="preserve">navrhují pracovní skupiny ÚP ČR </w:t>
            </w:r>
            <w:r w:rsidRPr="00FA42AF">
              <w:t xml:space="preserve">nové informační systémy, </w:t>
            </w:r>
            <w:r>
              <w:t>ve kterých je</w:t>
            </w:r>
            <w:r w:rsidRPr="00FA42AF">
              <w:t xml:space="preserve"> požadavek na propojení databází zahrnut</w:t>
            </w:r>
            <w:r>
              <w:t>ý</w:t>
            </w:r>
            <w:r w:rsidRPr="00FA42AF">
              <w:t>.</w:t>
            </w:r>
          </w:p>
        </w:tc>
      </w:tr>
      <w:tr w:rsidR="00070F11" w:rsidTr="008754EF">
        <w:tc>
          <w:tcPr>
            <w:tcW w:w="4565" w:type="dxa"/>
          </w:tcPr>
          <w:p w:rsidR="00070F11" w:rsidRDefault="00070F11" w:rsidP="00314B8E">
            <w:pPr>
              <w:numPr>
                <w:ilvl w:val="0"/>
                <w:numId w:val="9"/>
              </w:numPr>
              <w:ind w:left="426"/>
              <w:contextualSpacing/>
            </w:pPr>
            <w:r w:rsidRPr="00FA42AF">
              <w:t>Posouzení legislativního nastavení podmínek pracovněprávních vztahů.</w:t>
            </w:r>
          </w:p>
        </w:tc>
        <w:tc>
          <w:tcPr>
            <w:tcW w:w="993" w:type="dxa"/>
          </w:tcPr>
          <w:p w:rsidR="00070F11" w:rsidRDefault="00070F11" w:rsidP="00280EA8">
            <w:r>
              <w:t>MPSV</w:t>
            </w:r>
          </w:p>
          <w:p w:rsidR="00070F11" w:rsidRDefault="00070F11" w:rsidP="00280EA8">
            <w:r>
              <w:t>ÚP ČR</w:t>
            </w:r>
          </w:p>
          <w:p w:rsidR="00070F11" w:rsidRDefault="00070F11" w:rsidP="00280EA8">
            <w:r>
              <w:t>SÚIP</w:t>
            </w:r>
          </w:p>
        </w:tc>
        <w:tc>
          <w:tcPr>
            <w:tcW w:w="1213" w:type="dxa"/>
          </w:tcPr>
          <w:p w:rsidR="00070F11" w:rsidRPr="00070F11" w:rsidRDefault="00070F11" w:rsidP="00644621">
            <w:pPr>
              <w:rPr>
                <w:b/>
              </w:rPr>
            </w:pPr>
            <w:proofErr w:type="spellStart"/>
            <w:r>
              <w:rPr>
                <w:b/>
              </w:rPr>
              <w:t>Průběž</w:t>
            </w:r>
            <w:proofErr w:type="spellEnd"/>
            <w:r>
              <w:rPr>
                <w:b/>
              </w:rPr>
              <w:t>. řešeno</w:t>
            </w:r>
          </w:p>
        </w:tc>
        <w:tc>
          <w:tcPr>
            <w:tcW w:w="7449" w:type="dxa"/>
            <w:gridSpan w:val="3"/>
          </w:tcPr>
          <w:p w:rsidR="00070F11" w:rsidRPr="00070F11" w:rsidRDefault="00070F11" w:rsidP="00280EA8">
            <w:pPr>
              <w:contextualSpacing/>
              <w:rPr>
                <w:b/>
              </w:rPr>
            </w:pPr>
            <w:r w:rsidRPr="00FA42AF">
              <w:t xml:space="preserve">Plnění opatření je průběžně diskutováno v rámci pracovní skupiny ke komplexní novele zákona č. 262/2006 Sb., zákoníku práce, a to ve spolupráci se sociálními partnery. </w:t>
            </w:r>
          </w:p>
        </w:tc>
      </w:tr>
      <w:tr w:rsidR="00070F11" w:rsidTr="00644621">
        <w:tc>
          <w:tcPr>
            <w:tcW w:w="14220" w:type="dxa"/>
            <w:gridSpan w:val="6"/>
          </w:tcPr>
          <w:p w:rsidR="00070F11" w:rsidRPr="00070F11" w:rsidRDefault="00070F11" w:rsidP="00070F11">
            <w:pPr>
              <w:rPr>
                <w:b/>
              </w:rPr>
            </w:pPr>
            <w:r w:rsidRPr="00070F11">
              <w:rPr>
                <w:rFonts w:eastAsia="Calibri"/>
                <w:b/>
              </w:rPr>
              <w:t>X. Podpora získávání praktických dovedností formou stáží a odborných praxí pro studenty a absolventy</w:t>
            </w:r>
          </w:p>
        </w:tc>
      </w:tr>
      <w:tr w:rsidR="00070F11" w:rsidTr="008754EF">
        <w:tc>
          <w:tcPr>
            <w:tcW w:w="4565" w:type="dxa"/>
          </w:tcPr>
          <w:p w:rsidR="00070F11" w:rsidRPr="00FA42AF" w:rsidRDefault="00070F11" w:rsidP="00314B8E">
            <w:pPr>
              <w:numPr>
                <w:ilvl w:val="0"/>
                <w:numId w:val="9"/>
              </w:numPr>
              <w:ind w:left="426"/>
              <w:contextualSpacing/>
              <w:rPr>
                <w:rFonts w:eastAsia="Calibri"/>
              </w:rPr>
            </w:pPr>
            <w:r w:rsidRPr="00FA42AF">
              <w:rPr>
                <w:rFonts w:eastAsia="Calibri"/>
              </w:rPr>
              <w:t>Pilotně ověřit opatření APZ „Práce – stáže ve firmách“ na zkrácený úvazek do 80</w:t>
            </w:r>
            <w:r>
              <w:rPr>
                <w:rFonts w:eastAsia="Calibri"/>
              </w:rPr>
              <w:t xml:space="preserve"> </w:t>
            </w:r>
            <w:r w:rsidRPr="00FA42AF">
              <w:rPr>
                <w:rFonts w:eastAsia="Calibri"/>
              </w:rPr>
              <w:t>hodin měsíčně po dobu 3 měsíců s finanční podporou pro stážistu i mentora ve firmě. V této souvislosti ročně podpořit 5 000 uchazečů o zaměstnání do 25 let.</w:t>
            </w:r>
          </w:p>
          <w:p w:rsidR="00070F11" w:rsidRDefault="00070F11" w:rsidP="00280EA8"/>
        </w:tc>
        <w:tc>
          <w:tcPr>
            <w:tcW w:w="993" w:type="dxa"/>
          </w:tcPr>
          <w:p w:rsidR="00070F11" w:rsidRDefault="00070F11" w:rsidP="00280EA8">
            <w:r>
              <w:t>MPSV</w:t>
            </w:r>
          </w:p>
          <w:p w:rsidR="00070F11" w:rsidRDefault="00070F11" w:rsidP="00280EA8">
            <w:r>
              <w:t>ÚP ČR</w:t>
            </w:r>
          </w:p>
        </w:tc>
        <w:tc>
          <w:tcPr>
            <w:tcW w:w="1213" w:type="dxa"/>
          </w:tcPr>
          <w:p w:rsidR="00070F11" w:rsidRPr="00070F11" w:rsidRDefault="00070F11" w:rsidP="00280EA8">
            <w:pPr>
              <w:rPr>
                <w:b/>
                <w:highlight w:val="yellow"/>
              </w:rPr>
            </w:pPr>
          </w:p>
          <w:p w:rsidR="00070F11" w:rsidRPr="00070F11" w:rsidRDefault="00070F11" w:rsidP="00280EA8">
            <w:pPr>
              <w:rPr>
                <w:b/>
              </w:rPr>
            </w:pPr>
            <w:r w:rsidRPr="00DF0169">
              <w:rPr>
                <w:b/>
              </w:rPr>
              <w:t>Splněno</w:t>
            </w:r>
          </w:p>
        </w:tc>
        <w:tc>
          <w:tcPr>
            <w:tcW w:w="7449" w:type="dxa"/>
            <w:gridSpan w:val="3"/>
          </w:tcPr>
          <w:p w:rsidR="00070F11" w:rsidRPr="00FA42AF" w:rsidRDefault="00070F11" w:rsidP="00070F11">
            <w:pPr>
              <w:rPr>
                <w:b/>
              </w:rPr>
            </w:pPr>
            <w:r w:rsidRPr="00FA42AF">
              <w:t xml:space="preserve">V rámci OPZ je </w:t>
            </w:r>
            <w:r>
              <w:t xml:space="preserve">v současné době </w:t>
            </w:r>
            <w:r w:rsidRPr="00FA42AF">
              <w:t xml:space="preserve">realizováno </w:t>
            </w:r>
            <w:r>
              <w:t>11</w:t>
            </w:r>
            <w:r w:rsidRPr="00FA42AF">
              <w:t xml:space="preserve"> </w:t>
            </w:r>
            <w:r>
              <w:t>regionálních</w:t>
            </w:r>
            <w:r w:rsidRPr="00FA42AF">
              <w:t xml:space="preserve"> projektů přímého přidělení s názvem </w:t>
            </w:r>
            <w:r>
              <w:t>„</w:t>
            </w:r>
            <w:r w:rsidRPr="00FA42AF">
              <w:t>Záruky pro mladé”</w:t>
            </w:r>
            <w:r>
              <w:t>,</w:t>
            </w:r>
            <w:r w:rsidRPr="00FA42AF">
              <w:t xml:space="preserve"> které navaz</w:t>
            </w:r>
            <w:r>
              <w:t>ují</w:t>
            </w:r>
            <w:r w:rsidRPr="00FA42AF">
              <w:t xml:space="preserve"> na úspěšné </w:t>
            </w:r>
            <w:proofErr w:type="spellStart"/>
            <w:r w:rsidRPr="00FA42AF">
              <w:t>RIP</w:t>
            </w:r>
            <w:r>
              <w:t>y</w:t>
            </w:r>
            <w:proofErr w:type="spellEnd"/>
            <w:r w:rsidRPr="00FA42AF">
              <w:t xml:space="preserve"> </w:t>
            </w:r>
            <w:r>
              <w:t>„</w:t>
            </w:r>
            <w:r w:rsidRPr="00FA42AF">
              <w:t>Odborné praxe pro mladé do 30 let”. Projekty se soustředí na podporu nástrojů a opatření APZ, a to zejména na tvorbu nových pracovních míst, podporu poradenských aktivit vedoucích k uplatnění na trhu práce</w:t>
            </w:r>
            <w:r>
              <w:t xml:space="preserve"> (např. motivační aktivity, bilanční a pracovní diagnostika aj.)</w:t>
            </w:r>
            <w:r w:rsidRPr="00FA42AF">
              <w:t>, podporu zvýšení zaměstnatelnosti a zvýšení či obnovení kvalifikace. Cílem těchto projektů je začlenění mladých osob do 29 let věku (včetně) na trh práce, a to v rámci odborné praxe s</w:t>
            </w:r>
            <w:r>
              <w:t> </w:t>
            </w:r>
            <w:r w:rsidRPr="00FA42AF">
              <w:t>mentorem</w:t>
            </w:r>
            <w:r>
              <w:t xml:space="preserve"> z řad stávajících zaměstnanců, kteří nového pracovníka zaučují na pracovišti</w:t>
            </w:r>
            <w:r w:rsidRPr="00FA42AF">
              <w:t>.</w:t>
            </w:r>
          </w:p>
          <w:p w:rsidR="00070F11" w:rsidRPr="00FA42AF" w:rsidRDefault="00070F11" w:rsidP="00070F11">
            <w:pPr>
              <w:rPr>
                <w:b/>
              </w:rPr>
            </w:pPr>
          </w:p>
          <w:p w:rsidR="00070F11" w:rsidRPr="00FA42AF" w:rsidRDefault="00070F11" w:rsidP="00070F11">
            <w:r w:rsidRPr="00386FAF">
              <w:t>ÚP ČR také realizuje v IP 1.5 OPZ 2 projekty přímého přidělení „</w:t>
            </w:r>
            <w:r w:rsidRPr="00C44D05">
              <w:rPr>
                <w:i/>
              </w:rPr>
              <w:t xml:space="preserve">Iniciativa podpory zaměstnanosti mládeže pro NUTS 2 Severozápad v Ústeckém kraji“ </w:t>
            </w:r>
            <w:r w:rsidRPr="00C44D05">
              <w:t>a</w:t>
            </w:r>
            <w:r w:rsidRPr="00C44D05">
              <w:rPr>
                <w:i/>
              </w:rPr>
              <w:t xml:space="preserve"> „Iniciativa podpory zaměstnanosti mládeže pro NUTS 2 Severozápad v Karlovarském kraji“</w:t>
            </w:r>
            <w:r w:rsidRPr="00386FAF">
              <w:t>,</w:t>
            </w:r>
            <w:r w:rsidRPr="00FA42AF">
              <w:t xml:space="preserve"> které se soustřeďují na zaměstnávání a zvýšení zaměstnatelnosti uchazečů </w:t>
            </w:r>
            <w:r>
              <w:br/>
            </w:r>
            <w:r w:rsidRPr="00FA42AF">
              <w:t>o zaměstnání ve věku 15-29 let. Hlavním cílem těchto dvou projektů je, aby mladí lidé získali potřebnou praxi a následně stabilní zaměstnání. Podpora bude cílená na získání praxe a následně stabilního zaměstnání, na návrat uchazečů či zájemců do vzdělávacího procesu a na uplatnění se na zahraničním trhu práce s předchozí jazykovou průpravou. V rámci těchto dvou projektů budou pilotně odzkoušena dvě nová inovativní opatření a to „</w:t>
            </w:r>
            <w:r w:rsidRPr="00386FAF">
              <w:t>Stáže do zahraničí“ a „Podpora návratu do vzdělávání“. Po ukončení realizace projektů „Iniciativa podpory zaměstnanosti mládeže pro NUTS II Severozápad“ v Ústeckém kraji a Karlovarském kraji budou tyto dva kraje předkládat žádost o podporu rovněž v rámci výzvy 004 „Záruky pro mladé“.</w:t>
            </w:r>
            <w:r>
              <w:t xml:space="preserve"> </w:t>
            </w:r>
          </w:p>
          <w:p w:rsidR="00070F11" w:rsidRPr="00FA42AF" w:rsidRDefault="00070F11" w:rsidP="00070F11"/>
          <w:p w:rsidR="00070F11" w:rsidRPr="00FA42AF" w:rsidRDefault="00070F11" w:rsidP="00070F11">
            <w:pPr>
              <w:autoSpaceDE w:val="0"/>
              <w:autoSpaceDN w:val="0"/>
              <w:adjustRightInd w:val="0"/>
            </w:pPr>
            <w:r w:rsidRPr="00FA42AF">
              <w:t>Práce na zkoušku (PNZ)</w:t>
            </w:r>
          </w:p>
          <w:p w:rsidR="00070F11" w:rsidRDefault="00070F11" w:rsidP="00644621">
            <w:pPr>
              <w:autoSpaceDE w:val="0"/>
              <w:autoSpaceDN w:val="0"/>
              <w:adjustRightInd w:val="0"/>
            </w:pPr>
            <w:r w:rsidRPr="00FA42AF">
              <w:rPr>
                <w:color w:val="000000"/>
              </w:rPr>
              <w:t xml:space="preserve">Zaměstnavatel uzavře s </w:t>
            </w:r>
            <w:proofErr w:type="spellStart"/>
            <w:r w:rsidRPr="00FA42AF">
              <w:rPr>
                <w:color w:val="000000"/>
              </w:rPr>
              <w:t>UoZ</w:t>
            </w:r>
            <w:proofErr w:type="spellEnd"/>
            <w:r w:rsidR="00314B8E">
              <w:rPr>
                <w:color w:val="000000"/>
              </w:rPr>
              <w:t xml:space="preserve"> umístěném na pracovním místě v </w:t>
            </w:r>
            <w:r w:rsidRPr="00FA42AF">
              <w:rPr>
                <w:color w:val="000000"/>
              </w:rPr>
              <w:t>rámci PNZ pracovní smlouvu s maximálním úvazkem</w:t>
            </w:r>
            <w:r>
              <w:rPr>
                <w:color w:val="000000"/>
              </w:rPr>
              <w:t xml:space="preserve"> </w:t>
            </w:r>
            <w:r w:rsidRPr="00FA42AF">
              <w:rPr>
                <w:color w:val="000000"/>
              </w:rPr>
              <w:t>0,5</w:t>
            </w:r>
            <w:r>
              <w:rPr>
                <w:color w:val="000000"/>
              </w:rPr>
              <w:t xml:space="preserve"> </w:t>
            </w:r>
            <w:r w:rsidRPr="00FA42AF">
              <w:rPr>
                <w:color w:val="000000"/>
              </w:rPr>
              <w:t xml:space="preserve">s tím, že doba, na kterou může </w:t>
            </w:r>
            <w:r w:rsidR="00314B8E">
              <w:rPr>
                <w:color w:val="000000"/>
              </w:rPr>
              <w:t xml:space="preserve">být pracovní smlouva mezi </w:t>
            </w:r>
            <w:proofErr w:type="spellStart"/>
            <w:r w:rsidR="00314B8E">
              <w:rPr>
                <w:color w:val="000000"/>
              </w:rPr>
              <w:t>UoZ</w:t>
            </w:r>
            <w:proofErr w:type="spellEnd"/>
            <w:r w:rsidR="00314B8E">
              <w:rPr>
                <w:color w:val="000000"/>
              </w:rPr>
              <w:t xml:space="preserve"> a </w:t>
            </w:r>
            <w:r w:rsidRPr="00FA42AF">
              <w:rPr>
                <w:color w:val="000000"/>
              </w:rPr>
              <w:t>zaměstnavatelem uzavřena je maximálně 3 měsíce. Výše příspěvku je stanovena maximálně na 7</w:t>
            </w:r>
            <w:r>
              <w:rPr>
                <w:color w:val="000000"/>
              </w:rPr>
              <w:t xml:space="preserve"> </w:t>
            </w:r>
            <w:r w:rsidRPr="00FA42AF">
              <w:rPr>
                <w:color w:val="000000"/>
              </w:rPr>
              <w:t>000 Kč měsíčně</w:t>
            </w:r>
            <w:r>
              <w:rPr>
                <w:color w:val="000000"/>
              </w:rPr>
              <w:t>,</w:t>
            </w:r>
            <w:r w:rsidRPr="00FA42AF">
              <w:rPr>
                <w:color w:val="000000"/>
              </w:rPr>
              <w:t xml:space="preserve"> u </w:t>
            </w:r>
            <w:proofErr w:type="spellStart"/>
            <w:r w:rsidRPr="00FA42AF">
              <w:rPr>
                <w:color w:val="000000"/>
              </w:rPr>
              <w:t>UoZ</w:t>
            </w:r>
            <w:proofErr w:type="spellEnd"/>
            <w:r w:rsidRPr="00FA42AF">
              <w:rPr>
                <w:color w:val="000000"/>
              </w:rPr>
              <w:t xml:space="preserve"> se středním a nižším vzděláním a maximálně na 9</w:t>
            </w:r>
            <w:r>
              <w:rPr>
                <w:color w:val="000000"/>
              </w:rPr>
              <w:t xml:space="preserve"> </w:t>
            </w:r>
            <w:r w:rsidRPr="00FA42AF">
              <w:rPr>
                <w:color w:val="000000"/>
              </w:rPr>
              <w:t xml:space="preserve">500 Kč měsíčně </w:t>
            </w:r>
            <w:r w:rsidR="00314B8E">
              <w:rPr>
                <w:color w:val="000000"/>
              </w:rPr>
              <w:t>a u </w:t>
            </w:r>
            <w:proofErr w:type="spellStart"/>
            <w:r w:rsidRPr="00FA42AF">
              <w:rPr>
                <w:color w:val="000000"/>
              </w:rPr>
              <w:t>UoZ</w:t>
            </w:r>
            <w:proofErr w:type="spellEnd"/>
            <w:r w:rsidRPr="00FA42AF">
              <w:rPr>
                <w:color w:val="000000"/>
              </w:rPr>
              <w:t xml:space="preserve"> s vyšším či vysokoškolským vzděláním při pracovním úvazku v rozsahu poloviny stanovené týdenní pracovní doby.</w:t>
            </w:r>
          </w:p>
        </w:tc>
      </w:tr>
      <w:tr w:rsidR="00070F11" w:rsidTr="008754EF">
        <w:tc>
          <w:tcPr>
            <w:tcW w:w="4565" w:type="dxa"/>
          </w:tcPr>
          <w:p w:rsidR="00070F11" w:rsidRPr="00FA42AF" w:rsidRDefault="00070F11" w:rsidP="00314B8E">
            <w:pPr>
              <w:numPr>
                <w:ilvl w:val="0"/>
                <w:numId w:val="9"/>
              </w:numPr>
              <w:ind w:left="426"/>
              <w:contextualSpacing/>
              <w:rPr>
                <w:rFonts w:eastAsia="Calibri"/>
                <w:b/>
              </w:rPr>
            </w:pPr>
            <w:r w:rsidRPr="00FA42AF">
              <w:rPr>
                <w:rFonts w:eastAsia="Calibri"/>
              </w:rPr>
              <w:t xml:space="preserve">Žákům středních škol a učilišť zajistit kvalitní dlouhodobou pravidelnou praxi dle příslušného oboru vzdělání – „typ učím se pro……“. Do těchto procesů více zapojit zaměstnavatele. </w:t>
            </w:r>
          </w:p>
          <w:p w:rsidR="00070F11" w:rsidRDefault="00070F11" w:rsidP="00280EA8"/>
        </w:tc>
        <w:tc>
          <w:tcPr>
            <w:tcW w:w="993" w:type="dxa"/>
          </w:tcPr>
          <w:p w:rsidR="00070F11" w:rsidRDefault="00070F11" w:rsidP="00280EA8">
            <w:pPr>
              <w:rPr>
                <w:b/>
              </w:rPr>
            </w:pPr>
            <w:r w:rsidRPr="00070F11">
              <w:rPr>
                <w:b/>
              </w:rPr>
              <w:t>MŠMT</w:t>
            </w:r>
          </w:p>
          <w:p w:rsidR="00070F11" w:rsidRDefault="00070F11" w:rsidP="00280EA8">
            <w:r>
              <w:t>MPSV</w:t>
            </w:r>
          </w:p>
          <w:p w:rsidR="00070F11" w:rsidRDefault="00070F11" w:rsidP="00280EA8">
            <w:r>
              <w:t>MPO</w:t>
            </w:r>
          </w:p>
          <w:p w:rsidR="00070F11" w:rsidRDefault="00070F11" w:rsidP="00280EA8">
            <w:r>
              <w:t>KZPS</w:t>
            </w:r>
          </w:p>
          <w:p w:rsidR="00070F11" w:rsidRDefault="00070F11" w:rsidP="00280EA8">
            <w:r>
              <w:t>HK ČR</w:t>
            </w:r>
          </w:p>
          <w:p w:rsidR="00070F11" w:rsidRDefault="00070F11" w:rsidP="00280EA8">
            <w:r>
              <w:t>AK ČR</w:t>
            </w:r>
          </w:p>
          <w:p w:rsidR="00070F11" w:rsidRDefault="00070F11" w:rsidP="00280EA8">
            <w:r>
              <w:t>SP ČR</w:t>
            </w:r>
          </w:p>
          <w:p w:rsidR="00070F11" w:rsidRPr="00070F11" w:rsidRDefault="00070F11" w:rsidP="00280EA8">
            <w:r>
              <w:t>SO ČR</w:t>
            </w:r>
          </w:p>
        </w:tc>
        <w:tc>
          <w:tcPr>
            <w:tcW w:w="1213" w:type="dxa"/>
          </w:tcPr>
          <w:p w:rsidR="00070F11" w:rsidRPr="00070F11" w:rsidRDefault="00070F11" w:rsidP="00280EA8">
            <w:pPr>
              <w:rPr>
                <w:b/>
              </w:rPr>
            </w:pPr>
            <w:proofErr w:type="spellStart"/>
            <w:r>
              <w:rPr>
                <w:b/>
              </w:rPr>
              <w:t>Průběž</w:t>
            </w:r>
            <w:proofErr w:type="spellEnd"/>
            <w:r>
              <w:rPr>
                <w:b/>
              </w:rPr>
              <w:t>. plněno</w:t>
            </w:r>
          </w:p>
        </w:tc>
        <w:tc>
          <w:tcPr>
            <w:tcW w:w="7449" w:type="dxa"/>
            <w:gridSpan w:val="3"/>
          </w:tcPr>
          <w:p w:rsidR="00070F11" w:rsidRDefault="00070F11" w:rsidP="00070F11">
            <w:r w:rsidRPr="00FA42AF">
              <w:t>Plnění úkolu je v souladu s Novými opatřeními na podporu odborného vzdělávání, která ve svém usnesení ze dne 9. ledna 2013, č. 8 schválila vláda ČR. Délka odborné praxe vyplývá z Rámcových vzdělávacích programů. V současnosti je připravována revize Rámcových vzdělávacích programů se snahou navýšit počty hodin odborné praxe v těch oborech vzdělání, které to vyžadují.</w:t>
            </w:r>
          </w:p>
          <w:p w:rsidR="006C5B50" w:rsidRDefault="006C5B50" w:rsidP="00070F11"/>
          <w:p w:rsidR="006C5B50" w:rsidRDefault="006C5B50" w:rsidP="00070F11">
            <w:r w:rsidRPr="006C5B50">
              <w:t>V rámci návrhu novely školského zákona (sněmovní tisk č. 841), která je v současné době projednávána v Poslanecké sněmovně, jsou pozměňovacím návrhem výboru pro vědu, vzdělání, kulturu, mládež a tělovýchovu doplněny další konkrétní povinnosti škol v oblasti spolupráce se zaměstnavateli. Zároveň jsou naplňována doporučená opatření k prohloubení spolupráce mezi školami a zaměstnavateli, která vychází ze závěrů projektu „POSPOLU“ za účelem dalšího zkvalitnění úrovně odborného vzdělávání.</w:t>
            </w:r>
          </w:p>
          <w:p w:rsidR="00070F11" w:rsidRDefault="00070F11" w:rsidP="00070F11"/>
          <w:p w:rsidR="00070F11" w:rsidRPr="00070F11" w:rsidRDefault="00070F11" w:rsidP="00070F11">
            <w:pPr>
              <w:rPr>
                <w:b/>
              </w:rPr>
            </w:pPr>
            <w:r>
              <w:rPr>
                <w:b/>
              </w:rPr>
              <w:t>Opatření není transformováno do opatření k řešení nesouladu nabídky a poptávky na trhu práce – v gesci MŠMT, částečně však součástí opatření č. 4.3 a 4.4</w:t>
            </w:r>
            <w:r w:rsidR="00314B8E">
              <w:rPr>
                <w:b/>
              </w:rPr>
              <w:t>.</w:t>
            </w:r>
          </w:p>
          <w:p w:rsidR="00070F11" w:rsidRDefault="00070F11" w:rsidP="00280EA8"/>
        </w:tc>
      </w:tr>
      <w:tr w:rsidR="00070F11" w:rsidTr="008754EF">
        <w:tc>
          <w:tcPr>
            <w:tcW w:w="4565" w:type="dxa"/>
          </w:tcPr>
          <w:p w:rsidR="00070F11" w:rsidRPr="00FA42AF" w:rsidRDefault="00070F11" w:rsidP="001F4C42">
            <w:pPr>
              <w:numPr>
                <w:ilvl w:val="0"/>
                <w:numId w:val="9"/>
              </w:numPr>
              <w:contextualSpacing/>
              <w:rPr>
                <w:rFonts w:eastAsia="Calibri"/>
              </w:rPr>
            </w:pPr>
            <w:r w:rsidRPr="00FA42AF">
              <w:rPr>
                <w:rFonts w:eastAsia="Calibri"/>
              </w:rPr>
              <w:t>Podporovat a připravit programy pro studenty, v jejichž rámci by byla při studiu škole realizována odborná praxe ve firmách</w:t>
            </w:r>
            <w:r w:rsidR="00314B8E">
              <w:rPr>
                <w:rFonts w:eastAsia="Calibri"/>
              </w:rPr>
              <w:t>.</w:t>
            </w:r>
            <w:r w:rsidRPr="00FA42AF">
              <w:rPr>
                <w:rFonts w:eastAsia="Calibri"/>
              </w:rPr>
              <w:t xml:space="preserve"> </w:t>
            </w:r>
          </w:p>
          <w:p w:rsidR="00070F11" w:rsidRDefault="00070F11" w:rsidP="00280EA8"/>
        </w:tc>
        <w:tc>
          <w:tcPr>
            <w:tcW w:w="993" w:type="dxa"/>
          </w:tcPr>
          <w:p w:rsidR="00070F11" w:rsidRDefault="00070F11" w:rsidP="00280EA8">
            <w:pPr>
              <w:rPr>
                <w:b/>
              </w:rPr>
            </w:pPr>
            <w:r w:rsidRPr="00070F11">
              <w:rPr>
                <w:b/>
              </w:rPr>
              <w:t>MŠMT</w:t>
            </w:r>
          </w:p>
          <w:p w:rsidR="00070F11" w:rsidRPr="00070F11" w:rsidRDefault="00070F11" w:rsidP="00280EA8">
            <w:r>
              <w:t>MPSV</w:t>
            </w:r>
          </w:p>
        </w:tc>
        <w:tc>
          <w:tcPr>
            <w:tcW w:w="1213" w:type="dxa"/>
          </w:tcPr>
          <w:p w:rsidR="00070F11" w:rsidRPr="00070F11" w:rsidRDefault="00070F11" w:rsidP="00070F11">
            <w:pPr>
              <w:rPr>
                <w:b/>
              </w:rPr>
            </w:pPr>
            <w:proofErr w:type="spellStart"/>
            <w:r>
              <w:rPr>
                <w:b/>
              </w:rPr>
              <w:t>Průběž</w:t>
            </w:r>
            <w:proofErr w:type="spellEnd"/>
            <w:r>
              <w:rPr>
                <w:b/>
              </w:rPr>
              <w:t>. řešeno</w:t>
            </w:r>
          </w:p>
        </w:tc>
        <w:tc>
          <w:tcPr>
            <w:tcW w:w="7449" w:type="dxa"/>
            <w:gridSpan w:val="3"/>
          </w:tcPr>
          <w:p w:rsidR="00070F11" w:rsidRDefault="00070F11" w:rsidP="00070F11">
            <w:r>
              <w:t>Plnění úkolu je ve shodě s Novými opatřeními na podporu odborného vzdělávání, která ve svém usnesení ze dne 9. ledna 2013, č. 8 schválila vláda ČR. V současnosti akreditace vzdělávacích programů oborů vzdělání VOŠ obsahuje 14-16 týdnů souvislé odborné praxe u zaměstnavatele.</w:t>
            </w:r>
          </w:p>
          <w:p w:rsidR="00070F11" w:rsidRDefault="00070F11" w:rsidP="00070F11"/>
          <w:p w:rsidR="00070F11" w:rsidRPr="00070F11" w:rsidRDefault="00070F11" w:rsidP="00070F11">
            <w:pPr>
              <w:rPr>
                <w:b/>
              </w:rPr>
            </w:pPr>
            <w:r>
              <w:rPr>
                <w:b/>
              </w:rPr>
              <w:t>Opatření není transformováno do opatření k řešení nesouladu nabídky a poptávky na trhu práce – v gesci MŠMT, částečně však součástí opatření č. 4.3 a 4.4</w:t>
            </w:r>
            <w:r w:rsidR="00314B8E">
              <w:rPr>
                <w:b/>
              </w:rPr>
              <w:t>.</w:t>
            </w:r>
          </w:p>
          <w:p w:rsidR="00070F11" w:rsidRDefault="00070F11" w:rsidP="00070F11"/>
        </w:tc>
      </w:tr>
      <w:tr w:rsidR="00070F11" w:rsidTr="00644621">
        <w:tc>
          <w:tcPr>
            <w:tcW w:w="14220" w:type="dxa"/>
            <w:gridSpan w:val="6"/>
          </w:tcPr>
          <w:p w:rsidR="00070F11" w:rsidRPr="00070F11" w:rsidRDefault="00070F11" w:rsidP="00070F11">
            <w:pPr>
              <w:rPr>
                <w:b/>
              </w:rPr>
            </w:pPr>
            <w:r w:rsidRPr="00070F11">
              <w:rPr>
                <w:b/>
              </w:rPr>
              <w:t>XI. Vytvoření systému předvídání kvalifikačních potřeb a jeho provázání na další národní soustavy, realizace rekvalifikačních kurzů a vytváření vzdělávacích oborů</w:t>
            </w:r>
          </w:p>
        </w:tc>
      </w:tr>
      <w:tr w:rsidR="002378A4" w:rsidTr="008754EF">
        <w:tc>
          <w:tcPr>
            <w:tcW w:w="4565" w:type="dxa"/>
          </w:tcPr>
          <w:p w:rsidR="002378A4" w:rsidRPr="00FA42AF" w:rsidRDefault="002378A4" w:rsidP="00314B8E">
            <w:pPr>
              <w:numPr>
                <w:ilvl w:val="0"/>
                <w:numId w:val="9"/>
              </w:numPr>
              <w:ind w:left="426"/>
              <w:contextualSpacing/>
              <w:rPr>
                <w:rFonts w:eastAsia="Calibri"/>
                <w:b/>
              </w:rPr>
            </w:pPr>
            <w:r w:rsidRPr="00FA42AF">
              <w:rPr>
                <w:rFonts w:eastAsia="Calibri"/>
              </w:rPr>
              <w:t>Vytvořit systém krátkodobých predikcí potřeb regionálního trhu práce založený na datech ÚP ČR (nezaměstnaní absolventi) a ČSSZ (odchody do důchodu) a provázat je s krajskou objednávkou počtu a struktury oborů odborného vzdělávání.</w:t>
            </w:r>
          </w:p>
          <w:p w:rsidR="002378A4" w:rsidRDefault="002378A4" w:rsidP="00070F11">
            <w:pPr>
              <w:jc w:val="center"/>
            </w:pPr>
          </w:p>
        </w:tc>
        <w:tc>
          <w:tcPr>
            <w:tcW w:w="993" w:type="dxa"/>
          </w:tcPr>
          <w:p w:rsidR="002378A4" w:rsidRDefault="002378A4" w:rsidP="00280EA8">
            <w:r>
              <w:t>MPSV</w:t>
            </w:r>
          </w:p>
          <w:p w:rsidR="002378A4" w:rsidRDefault="002378A4" w:rsidP="00280EA8">
            <w:r>
              <w:t>MŠMT</w:t>
            </w:r>
          </w:p>
        </w:tc>
        <w:tc>
          <w:tcPr>
            <w:tcW w:w="1213" w:type="dxa"/>
          </w:tcPr>
          <w:p w:rsidR="002378A4" w:rsidRPr="00070F11" w:rsidRDefault="002378A4" w:rsidP="00644621">
            <w:pPr>
              <w:rPr>
                <w:b/>
              </w:rPr>
            </w:pPr>
            <w:proofErr w:type="spellStart"/>
            <w:r>
              <w:rPr>
                <w:b/>
              </w:rPr>
              <w:t>Průběž</w:t>
            </w:r>
            <w:proofErr w:type="spellEnd"/>
            <w:r>
              <w:rPr>
                <w:b/>
              </w:rPr>
              <w:t>. řešeno</w:t>
            </w:r>
          </w:p>
        </w:tc>
        <w:tc>
          <w:tcPr>
            <w:tcW w:w="7449" w:type="dxa"/>
            <w:gridSpan w:val="3"/>
          </w:tcPr>
          <w:p w:rsidR="002378A4" w:rsidRPr="00FA42AF" w:rsidRDefault="002378A4" w:rsidP="002378A4">
            <w:pPr>
              <w:rPr>
                <w:b/>
              </w:rPr>
            </w:pPr>
            <w:r w:rsidRPr="00FA42AF">
              <w:t>V roce 2014 byl VÚPSV proveden výzkumný záměr vyhodnocující krátkodobou predikci vývoje trhu práce v Moravskoslezském kraji.</w:t>
            </w:r>
          </w:p>
          <w:p w:rsidR="002378A4" w:rsidRPr="00FA42AF" w:rsidRDefault="002378A4" w:rsidP="002378A4"/>
          <w:p w:rsidR="002378A4" w:rsidRPr="00FA42AF" w:rsidRDefault="002378A4" w:rsidP="002378A4">
            <w:pPr>
              <w:rPr>
                <w:b/>
              </w:rPr>
            </w:pPr>
            <w:r>
              <w:rPr>
                <w:color w:val="000000"/>
                <w:lang w:eastAsia="ar-SA"/>
              </w:rPr>
              <w:t>Úspěšně proběhl</w:t>
            </w:r>
            <w:r w:rsidRPr="00FA42AF">
              <w:rPr>
                <w:color w:val="000000"/>
                <w:lang w:eastAsia="ar-SA"/>
              </w:rPr>
              <w:t xml:space="preserve"> projekt financovan</w:t>
            </w:r>
            <w:r>
              <w:rPr>
                <w:color w:val="000000"/>
                <w:lang w:eastAsia="ar-SA"/>
              </w:rPr>
              <w:t>ý</w:t>
            </w:r>
            <w:r w:rsidRPr="00FA42AF">
              <w:rPr>
                <w:color w:val="000000"/>
                <w:lang w:eastAsia="ar-SA"/>
              </w:rPr>
              <w:t xml:space="preserve"> z </w:t>
            </w:r>
            <w:proofErr w:type="gramStart"/>
            <w:r w:rsidRPr="00FA42AF">
              <w:rPr>
                <w:color w:val="000000"/>
                <w:lang w:eastAsia="ar-SA"/>
              </w:rPr>
              <w:t>OP</w:t>
            </w:r>
            <w:proofErr w:type="gramEnd"/>
            <w:r w:rsidRPr="00FA42AF">
              <w:rPr>
                <w:color w:val="000000"/>
                <w:lang w:eastAsia="ar-SA"/>
              </w:rPr>
              <w:t xml:space="preserve"> LZZ Předvídání kvalifikačních potřeb (PŘEKVAP), jehož realizátorem </w:t>
            </w:r>
            <w:r>
              <w:rPr>
                <w:color w:val="000000"/>
                <w:lang w:eastAsia="ar-SA"/>
              </w:rPr>
              <w:t>bylo</w:t>
            </w:r>
            <w:r w:rsidRPr="00FA42AF">
              <w:rPr>
                <w:color w:val="000000"/>
                <w:lang w:eastAsia="ar-SA"/>
              </w:rPr>
              <w:t xml:space="preserve"> MPSV</w:t>
            </w:r>
            <w:r w:rsidR="00314B8E">
              <w:rPr>
                <w:color w:val="000000"/>
                <w:lang w:eastAsia="ar-SA"/>
              </w:rPr>
              <w:t>.</w:t>
            </w:r>
          </w:p>
          <w:p w:rsidR="002378A4" w:rsidRPr="00FA42AF" w:rsidRDefault="002378A4" w:rsidP="002378A4">
            <w:pPr>
              <w:rPr>
                <w:b/>
              </w:rPr>
            </w:pPr>
          </w:p>
          <w:p w:rsidR="002378A4" w:rsidRDefault="002378A4" w:rsidP="002378A4">
            <w:r>
              <w:t>MPSV připravuje projekt Predikce trhu práce (KOMPAS) jehož cílem je vytvoření systému komplexních predikcí vývoje trhu práce a jeho potřeb, včetně potřeb kvalifikačních. Projekt navazuje na projekt Předvídání kvalifikačních potřeb (Překvap). Předmětem projektu je vytvoření udržitelného systému spolehlivých predikcí a monitoringu trhu práce, který bude propojovat národní a regionální úroveň a jehož výsledky budou reflektovat podstatné dopady technologických trendů na trh práce a specifika regionálního vývoje. V rámci projektu bude zdokonalen predikční model předvídání potřeb trhu práce, a to jak pro národní úroveň, tak pro úroveň regionů. Vytvořeno bude v rámci MPSV predikční pracoviště. Do projektu budou významně zapojeni rovněž partneři, zejména na regionální úrovni – kraje či teritoriální pakty zaměstnanosti.</w:t>
            </w:r>
          </w:p>
          <w:p w:rsidR="002378A4" w:rsidRDefault="002378A4" w:rsidP="002378A4"/>
          <w:p w:rsidR="002378A4" w:rsidRDefault="002378A4" w:rsidP="002378A4">
            <w:r>
              <w:t>Projektový záměr byl schválen monitorovacím výborem i příslušným programovým partnerstvím OP Z. Realizace projektu bude zahájena v závěru roku 2016/počátkem 2017.</w:t>
            </w:r>
          </w:p>
          <w:p w:rsidR="006C5B50" w:rsidRDefault="006C5B50" w:rsidP="002378A4"/>
          <w:p w:rsidR="006C5B50" w:rsidRPr="006C5B50" w:rsidRDefault="006C5B50" w:rsidP="006C5B50">
            <w:r w:rsidRPr="006C5B50">
              <w:t xml:space="preserve">MŠMT a MPSV uzavřely dne 30. 8. 2016 rámcovou dohodu ve věci naplňování a využívání systému předvídání kvalifikačních potřeb, která podrobně specifikuje jednotlivé úkoly pro obě zúčastněné strany včetně termínů jejich splnění. MŠMT předpokládá, že predikce požadavků trhu práce bude využita v následujících oblastech a procesech v rámci školství: </w:t>
            </w:r>
          </w:p>
          <w:p w:rsidR="006C5B50" w:rsidRPr="006C5B50" w:rsidRDefault="006C5B50" w:rsidP="006C5B50">
            <w:pPr>
              <w:pStyle w:val="Odstavecseseznamem"/>
              <w:numPr>
                <w:ilvl w:val="0"/>
                <w:numId w:val="14"/>
              </w:numPr>
            </w:pPr>
            <w:r w:rsidRPr="006C5B50">
              <w:t>Při změnách oborové struktury a zápisech oborů vzdělání do rejstříku škol a školských zařízení, které uskutečňuje ministerstvo na základě žádostí krajských úřadů.</w:t>
            </w:r>
          </w:p>
          <w:p w:rsidR="006C5B50" w:rsidRDefault="006C5B50" w:rsidP="006C5B50">
            <w:pPr>
              <w:pStyle w:val="Odstavecseseznamem"/>
              <w:numPr>
                <w:ilvl w:val="0"/>
                <w:numId w:val="14"/>
              </w:numPr>
            </w:pPr>
            <w:r w:rsidRPr="006C5B50">
              <w:t>Pro financování odborného vzdělávání v rámci regionálního školství.</w:t>
            </w:r>
          </w:p>
          <w:p w:rsidR="002378A4" w:rsidRDefault="002378A4" w:rsidP="002378A4"/>
          <w:p w:rsidR="002378A4" w:rsidRPr="002378A4" w:rsidRDefault="002378A4" w:rsidP="002378A4">
            <w:pPr>
              <w:rPr>
                <w:b/>
              </w:rPr>
            </w:pPr>
            <w:r>
              <w:rPr>
                <w:b/>
              </w:rPr>
              <w:t>Opatření převedeno pod opatření č. 4.3 k řešení nesouladu nabídky a poptávky na trhu práce</w:t>
            </w:r>
            <w:r w:rsidR="00314B8E">
              <w:rPr>
                <w:b/>
              </w:rPr>
              <w:t>.</w:t>
            </w:r>
          </w:p>
        </w:tc>
      </w:tr>
      <w:tr w:rsidR="002378A4" w:rsidTr="00644621">
        <w:tc>
          <w:tcPr>
            <w:tcW w:w="14220" w:type="dxa"/>
            <w:gridSpan w:val="6"/>
          </w:tcPr>
          <w:p w:rsidR="002378A4" w:rsidRPr="002378A4" w:rsidRDefault="002378A4" w:rsidP="002378A4">
            <w:pPr>
              <w:rPr>
                <w:b/>
              </w:rPr>
            </w:pPr>
            <w:r w:rsidRPr="002378A4">
              <w:rPr>
                <w:rFonts w:eastAsia="Calibri"/>
                <w:b/>
              </w:rPr>
              <w:t>XII. Revize systému rekvalifikací</w:t>
            </w:r>
          </w:p>
        </w:tc>
      </w:tr>
      <w:tr w:rsidR="002378A4" w:rsidTr="008754EF">
        <w:tc>
          <w:tcPr>
            <w:tcW w:w="4565" w:type="dxa"/>
          </w:tcPr>
          <w:p w:rsidR="002378A4" w:rsidRPr="002378A4" w:rsidRDefault="002378A4" w:rsidP="00314B8E">
            <w:pPr>
              <w:numPr>
                <w:ilvl w:val="0"/>
                <w:numId w:val="9"/>
              </w:numPr>
              <w:ind w:left="426"/>
              <w:contextualSpacing/>
              <w:rPr>
                <w:rFonts w:eastAsia="Calibri"/>
                <w:b/>
              </w:rPr>
            </w:pPr>
            <w:r w:rsidRPr="00FA42AF">
              <w:rPr>
                <w:rFonts w:eastAsia="Calibri"/>
              </w:rPr>
              <w:t>Revidovat současný stav realizace rekvalifikací, přihlédnout k potřebám modularizace rekvalifikací, umožnit vykonání zkoušky z profesní kvalifikace (bez přípravy), podpořit vznik nových nástrojů APZ v návaznosti na změnu či zvýšení kvalifikace, jako jsou např. stáže, praktické rekvalifikace. Zaměřit se na rekvalifikace v technických oborech. V této souvislosti v rámci rekvalifikací podpořit 45 000 uchazečů nebo zájemců o</w:t>
            </w:r>
            <w:r w:rsidR="00314B8E">
              <w:rPr>
                <w:rFonts w:eastAsia="Calibri"/>
              </w:rPr>
              <w:t> </w:t>
            </w:r>
            <w:r w:rsidRPr="00FA42AF">
              <w:rPr>
                <w:rFonts w:eastAsia="Calibri"/>
              </w:rPr>
              <w:t>zaměstnání v rámci rekvalif</w:t>
            </w:r>
            <w:r w:rsidR="00314B8E">
              <w:rPr>
                <w:rFonts w:eastAsia="Calibri"/>
              </w:rPr>
              <w:t>ikací. Doplnit činnosti ÚP ČR o </w:t>
            </w:r>
            <w:r w:rsidRPr="00FA42AF">
              <w:rPr>
                <w:rFonts w:eastAsia="Calibri"/>
              </w:rPr>
              <w:t>poradenství ke získání/změně kvalifikace, využívající systémy NSK/NSP.</w:t>
            </w:r>
          </w:p>
        </w:tc>
        <w:tc>
          <w:tcPr>
            <w:tcW w:w="993" w:type="dxa"/>
          </w:tcPr>
          <w:p w:rsidR="002378A4" w:rsidRDefault="002378A4" w:rsidP="00280EA8">
            <w:r>
              <w:t>MPSV</w:t>
            </w:r>
          </w:p>
          <w:p w:rsidR="002378A4" w:rsidRDefault="002378A4" w:rsidP="00280EA8">
            <w:r>
              <w:t>ÚP ČR</w:t>
            </w:r>
          </w:p>
          <w:p w:rsidR="002378A4" w:rsidRDefault="002378A4" w:rsidP="00280EA8">
            <w:r>
              <w:t>MŠMT</w:t>
            </w:r>
          </w:p>
        </w:tc>
        <w:tc>
          <w:tcPr>
            <w:tcW w:w="1213" w:type="dxa"/>
          </w:tcPr>
          <w:p w:rsidR="002378A4" w:rsidRDefault="002378A4" w:rsidP="00644621">
            <w:pPr>
              <w:rPr>
                <w:b/>
              </w:rPr>
            </w:pPr>
          </w:p>
        </w:tc>
        <w:tc>
          <w:tcPr>
            <w:tcW w:w="7449" w:type="dxa"/>
            <w:gridSpan w:val="3"/>
          </w:tcPr>
          <w:p w:rsidR="002378A4" w:rsidRDefault="002378A4" w:rsidP="002378A4">
            <w:r>
              <w:t>Problematika realizace rek</w:t>
            </w:r>
            <w:r w:rsidR="00314B8E">
              <w:t>valifikací modulovým způsobem a </w:t>
            </w:r>
            <w:r>
              <w:t>vykonání zkoušky z profesní kvalifikace je pro-jednávána na úrovni resortů MPSV a MŠMT, a to včetně možné legislativní úpravy agendy rekvalifikace. V roce 2015 se rekvalifikace zúčastnilo 38 078 uchazečů či zájemců o zaměstnání, tj. přibližně stejné procento účastníků rekvalifikace z celkového počtu evidovaných osob na ÚP ČR jako ve stejném období roku 2014. Přednostně byly a jsou podporovány rekvalifikace s praktickou částí výuky. Zaměření rekvalifikací je průběžně přizpůsobováno požadavkům zaměstnavatelů, tzn., že realizace rekvalifikací se zaměřením na technické obory vychází z nabídky volných i avizovaných pracovních míst od zaměstnavatelů v jednotlivých regionech.</w:t>
            </w:r>
          </w:p>
          <w:p w:rsidR="002378A4" w:rsidRDefault="002378A4" w:rsidP="002378A4"/>
          <w:p w:rsidR="002378A4" w:rsidRDefault="002378A4" w:rsidP="002378A4">
            <w:r>
              <w:t>V rámci projektu Vzdělávání a dovednosti pro trh práce (VDTP) byly realizovány poradenské aktivity a rekvalifikace založené na Národní soustavě kvalifikací, resp. Národní soustavě povolání. Realizace těchto aktivit prostřednictvím národního individuálního projektu bude dále probíhat s finanční podporou OP Z. Pro poskytování poradenství a informací o získání/změně kvalifikace s využitím prvků NSK byli proškoleni poradci ÚP ČR prostřednictvím realizačního týmu projektu Národní soustava kvalifikací (gestor MŠMT). Současně tento projekt umožnil zavést konzultace pro využívání těchto systémů přímo na ÚP ČR prostřednictvím tzv. předsunutých pracovníků – specialistů v oblasti Národní soustavy kvalifikací.</w:t>
            </w:r>
          </w:p>
          <w:p w:rsidR="002378A4" w:rsidRDefault="002378A4" w:rsidP="002378A4"/>
          <w:p w:rsidR="002378A4" w:rsidRDefault="002378A4" w:rsidP="002378A4">
            <w:r>
              <w:t>1. čtvrtletí 2016:</w:t>
            </w:r>
          </w:p>
          <w:p w:rsidR="002378A4" w:rsidRDefault="002378A4" w:rsidP="002378A4">
            <w:r>
              <w:t>Na projekt VDTP navázal v 1. čtvrtletí 2016 projekt Operačního programu zaměstnanost VDTP II, v</w:t>
            </w:r>
            <w:r w:rsidR="00314B8E">
              <w:t xml:space="preserve"> rámci kterého byla na konci 1. čtvrt</w:t>
            </w:r>
            <w:r>
              <w:t xml:space="preserve">letí zahájena realizace jak poradenských aktivit, tak realizace rekvalifikačních kurzů. Doba realizace projektu: 1/2016 </w:t>
            </w:r>
            <w:r w:rsidR="00314B8E">
              <w:t>– 9/2020. V </w:t>
            </w:r>
            <w:r>
              <w:t>prvním čtvrtletí 2016 se rekvalifikace zúčastnilo 5 921 osob, ve stejném období roku 2015 se rekvalifikace zúčastnilo 12 121 osob. Rozdíl v počtu účastníků je dán především ukončením programu OP LZZ a zahájením realizace aktivit v rámci programu OPZ koncem 1. čtvrtletí 2016. Dalším důvodem je menší počet nezaměstnaných a více volných míst.</w:t>
            </w:r>
          </w:p>
          <w:p w:rsidR="002378A4" w:rsidRDefault="002378A4" w:rsidP="002378A4"/>
          <w:p w:rsidR="002378A4" w:rsidRPr="002378A4" w:rsidRDefault="002378A4" w:rsidP="002378A4">
            <w:pPr>
              <w:rPr>
                <w:b/>
              </w:rPr>
            </w:pPr>
            <w:r>
              <w:rPr>
                <w:b/>
              </w:rPr>
              <w:t>Opatření převedeno pod opatření č. 4.2 k řešení nesouladu nabídky a poptávky na trhu práce.</w:t>
            </w:r>
          </w:p>
        </w:tc>
      </w:tr>
      <w:tr w:rsidR="002378A4" w:rsidTr="008754EF">
        <w:tc>
          <w:tcPr>
            <w:tcW w:w="4565" w:type="dxa"/>
          </w:tcPr>
          <w:p w:rsidR="002378A4" w:rsidRPr="00FA42AF" w:rsidRDefault="002378A4" w:rsidP="00314B8E">
            <w:pPr>
              <w:numPr>
                <w:ilvl w:val="0"/>
                <w:numId w:val="9"/>
              </w:numPr>
              <w:ind w:left="426"/>
              <w:contextualSpacing/>
              <w:rPr>
                <w:rFonts w:eastAsia="Calibri"/>
              </w:rPr>
            </w:pPr>
            <w:r w:rsidRPr="00FA42AF">
              <w:rPr>
                <w:bCs/>
                <w:iCs/>
              </w:rPr>
              <w:t>V novém zákoně o veřejných zakázkách upravit postup zadavatelů při zadávání rekvalifikací tak, že zadavatelé budou moci postupovat v nejjednodušším režimu v rámci daném novými zadávacími směrnicemi.</w:t>
            </w:r>
          </w:p>
        </w:tc>
        <w:tc>
          <w:tcPr>
            <w:tcW w:w="993" w:type="dxa"/>
          </w:tcPr>
          <w:p w:rsidR="002378A4" w:rsidRDefault="002378A4" w:rsidP="00280EA8">
            <w:r>
              <w:t>MMR</w:t>
            </w:r>
          </w:p>
          <w:p w:rsidR="002378A4" w:rsidRDefault="002378A4" w:rsidP="00280EA8">
            <w:r>
              <w:t>MPSV</w:t>
            </w:r>
          </w:p>
        </w:tc>
        <w:tc>
          <w:tcPr>
            <w:tcW w:w="1213" w:type="dxa"/>
          </w:tcPr>
          <w:p w:rsidR="002378A4" w:rsidRPr="002378A4" w:rsidRDefault="002378A4" w:rsidP="00644621">
            <w:r w:rsidRPr="002378A4">
              <w:t>Splněno</w:t>
            </w:r>
          </w:p>
        </w:tc>
        <w:tc>
          <w:tcPr>
            <w:tcW w:w="7449" w:type="dxa"/>
            <w:gridSpan w:val="3"/>
          </w:tcPr>
          <w:p w:rsidR="002378A4" w:rsidRPr="00FA42AF" w:rsidRDefault="002378A4" w:rsidP="002378A4">
            <w:r w:rsidRPr="00FA42AF">
              <w:rPr>
                <w:color w:val="000000" w:themeColor="text1"/>
              </w:rPr>
              <w:t>MMR připravilo zákon</w:t>
            </w:r>
            <w:r w:rsidRPr="00FA42AF">
              <w:t xml:space="preserve"> o zadávání veřejných zakázek</w:t>
            </w:r>
            <w:r w:rsidRPr="00FA42AF">
              <w:rPr>
                <w:color w:val="000000" w:themeColor="text1"/>
              </w:rPr>
              <w:t>, který bude harmonizovat českou právní úpravu veřejných zakázek s úpravou obsaženou v nových evropských zadávacích směrnicích. V rámci zákona o zadávání veřejných zakázek bude v souladu s evropským právem umožněno zadávání služeb souvisejících s rekvalifikacemi ve zjednodušeném režimu, který umožní jejich výrazně jednodušší zadání</w:t>
            </w:r>
            <w:r>
              <w:rPr>
                <w:color w:val="000000" w:themeColor="text1"/>
              </w:rPr>
              <w:t>.</w:t>
            </w:r>
          </w:p>
        </w:tc>
      </w:tr>
      <w:tr w:rsidR="002378A4" w:rsidTr="00644621">
        <w:tc>
          <w:tcPr>
            <w:tcW w:w="14220" w:type="dxa"/>
            <w:gridSpan w:val="6"/>
          </w:tcPr>
          <w:p w:rsidR="002378A4" w:rsidRPr="002378A4" w:rsidRDefault="002378A4" w:rsidP="002378A4">
            <w:pPr>
              <w:rPr>
                <w:b/>
              </w:rPr>
            </w:pPr>
            <w:r w:rsidRPr="002378A4">
              <w:rPr>
                <w:rFonts w:eastAsia="Calibri"/>
                <w:b/>
              </w:rPr>
              <w:t>XIII. Podpora přeshraniční pracovní migrace s využitím platformy EURES</w:t>
            </w:r>
          </w:p>
        </w:tc>
      </w:tr>
      <w:tr w:rsidR="002378A4" w:rsidTr="008754EF">
        <w:tc>
          <w:tcPr>
            <w:tcW w:w="4565" w:type="dxa"/>
          </w:tcPr>
          <w:p w:rsidR="002378A4" w:rsidRPr="00FA42AF" w:rsidRDefault="002378A4" w:rsidP="00314B8E">
            <w:pPr>
              <w:numPr>
                <w:ilvl w:val="0"/>
                <w:numId w:val="9"/>
              </w:numPr>
              <w:ind w:left="426"/>
              <w:contextualSpacing/>
              <w:rPr>
                <w:rFonts w:eastAsia="Calibri"/>
              </w:rPr>
            </w:pPr>
            <w:r w:rsidRPr="00FA42AF">
              <w:rPr>
                <w:rFonts w:eastAsia="Calibri"/>
              </w:rPr>
              <w:t>Podpořit krátkodobé pracovní příležitosti v zahraničí za účelem získání</w:t>
            </w:r>
            <w:r>
              <w:rPr>
                <w:rFonts w:eastAsia="Calibri"/>
              </w:rPr>
              <w:t xml:space="preserve"> </w:t>
            </w:r>
            <w:r w:rsidRPr="00FA42AF">
              <w:rPr>
                <w:rFonts w:eastAsia="Calibri"/>
              </w:rPr>
              <w:t>zkušenost</w:t>
            </w:r>
            <w:r>
              <w:rPr>
                <w:rFonts w:eastAsia="Calibri"/>
              </w:rPr>
              <w:t xml:space="preserve">í </w:t>
            </w:r>
            <w:r w:rsidRPr="00FA42AF">
              <w:rPr>
                <w:rFonts w:eastAsia="Calibri"/>
              </w:rPr>
              <w:t>ve</w:t>
            </w:r>
            <w:r>
              <w:rPr>
                <w:rFonts w:eastAsia="Calibri"/>
              </w:rPr>
              <w:t xml:space="preserve"> </w:t>
            </w:r>
            <w:r w:rsidRPr="00FA42AF">
              <w:rPr>
                <w:rFonts w:eastAsia="Calibri"/>
              </w:rPr>
              <w:t>vystudovaném oboru (ne pouze za účelem výdělku). V této souvislosti podpořit ročně 1 000 uchazečů o zaměstnání do 25 let.</w:t>
            </w:r>
          </w:p>
          <w:p w:rsidR="002378A4" w:rsidRPr="00FA42AF" w:rsidRDefault="002378A4" w:rsidP="002378A4">
            <w:pPr>
              <w:rPr>
                <w:rFonts w:eastAsia="Calibri"/>
              </w:rPr>
            </w:pPr>
          </w:p>
        </w:tc>
        <w:tc>
          <w:tcPr>
            <w:tcW w:w="993" w:type="dxa"/>
          </w:tcPr>
          <w:p w:rsidR="002378A4" w:rsidRDefault="002378A4" w:rsidP="00280EA8">
            <w:r>
              <w:t>MPSV</w:t>
            </w:r>
          </w:p>
          <w:p w:rsidR="002378A4" w:rsidRDefault="002378A4" w:rsidP="00280EA8">
            <w:r>
              <w:t>ÚP ČR</w:t>
            </w:r>
          </w:p>
        </w:tc>
        <w:tc>
          <w:tcPr>
            <w:tcW w:w="1213" w:type="dxa"/>
          </w:tcPr>
          <w:p w:rsidR="002378A4" w:rsidRPr="002378A4" w:rsidRDefault="002378A4" w:rsidP="00644621">
            <w:r w:rsidRPr="002378A4">
              <w:t>Splněno</w:t>
            </w:r>
          </w:p>
        </w:tc>
        <w:tc>
          <w:tcPr>
            <w:tcW w:w="7449" w:type="dxa"/>
            <w:gridSpan w:val="3"/>
          </w:tcPr>
          <w:p w:rsidR="002378A4" w:rsidRPr="002378A4" w:rsidRDefault="002378A4" w:rsidP="002378A4">
            <w:r>
              <w:t xml:space="preserve">Poradenství týkající se pracovních příležitostí v zahraničí pro uchazeče do 25 let bylo poskytováno poradci EURES na krajských pobočkách ÚP ČR, na veletrzích a přednáškách, na vzdělávacích institucích v rámci  úspěšného projektu z </w:t>
            </w:r>
            <w:proofErr w:type="gramStart"/>
            <w:r>
              <w:t>OP</w:t>
            </w:r>
            <w:proofErr w:type="gramEnd"/>
            <w:r>
              <w:t xml:space="preserve"> LZZ Evropské služby zaměstnanosti ČR (EURES Č</w:t>
            </w:r>
            <w:r w:rsidR="00314B8E">
              <w:t>R). Na tento projekt navazuje v </w:t>
            </w:r>
            <w:r>
              <w:t>současném programovém období pr</w:t>
            </w:r>
            <w:r w:rsidR="00314B8E">
              <w:t xml:space="preserve">ojekt EURES II, realizován od února </w:t>
            </w:r>
            <w:r>
              <w:t>2016.</w:t>
            </w:r>
          </w:p>
        </w:tc>
      </w:tr>
      <w:tr w:rsidR="002378A4" w:rsidTr="008754EF">
        <w:tc>
          <w:tcPr>
            <w:tcW w:w="4565" w:type="dxa"/>
          </w:tcPr>
          <w:p w:rsidR="002378A4" w:rsidRPr="00FA42AF" w:rsidRDefault="002378A4" w:rsidP="00314B8E">
            <w:pPr>
              <w:numPr>
                <w:ilvl w:val="0"/>
                <w:numId w:val="9"/>
              </w:numPr>
              <w:spacing w:after="200"/>
              <w:ind w:left="426"/>
              <w:contextualSpacing/>
              <w:jc w:val="left"/>
              <w:rPr>
                <w:rFonts w:eastAsia="Calibri"/>
                <w:b/>
              </w:rPr>
            </w:pPr>
            <w:r w:rsidRPr="00FA42AF">
              <w:rPr>
                <w:rFonts w:eastAsia="Calibri"/>
              </w:rPr>
              <w:t>Posílení motivace pracovat, zvýšení minimální mzdy.</w:t>
            </w:r>
          </w:p>
        </w:tc>
        <w:tc>
          <w:tcPr>
            <w:tcW w:w="993" w:type="dxa"/>
          </w:tcPr>
          <w:p w:rsidR="002378A4" w:rsidRDefault="002378A4" w:rsidP="00280EA8">
            <w:r>
              <w:t>MPSV</w:t>
            </w:r>
          </w:p>
          <w:p w:rsidR="002378A4" w:rsidRDefault="002378A4" w:rsidP="00280EA8">
            <w:r>
              <w:t>HK</w:t>
            </w:r>
          </w:p>
          <w:p w:rsidR="002378A4" w:rsidRDefault="002378A4" w:rsidP="00280EA8">
            <w:r>
              <w:t>SP ČR</w:t>
            </w:r>
          </w:p>
          <w:p w:rsidR="002378A4" w:rsidRDefault="002378A4" w:rsidP="00280EA8">
            <w:r>
              <w:t>KZPS</w:t>
            </w:r>
          </w:p>
        </w:tc>
        <w:tc>
          <w:tcPr>
            <w:tcW w:w="1213" w:type="dxa"/>
          </w:tcPr>
          <w:p w:rsidR="002378A4" w:rsidRPr="002378A4" w:rsidRDefault="002378A4" w:rsidP="00644621">
            <w:pPr>
              <w:rPr>
                <w:b/>
              </w:rPr>
            </w:pPr>
            <w:proofErr w:type="spellStart"/>
            <w:r>
              <w:rPr>
                <w:b/>
              </w:rPr>
              <w:t>Průběž</w:t>
            </w:r>
            <w:proofErr w:type="spellEnd"/>
            <w:r>
              <w:rPr>
                <w:b/>
              </w:rPr>
              <w:t>. plněno</w:t>
            </w:r>
          </w:p>
        </w:tc>
        <w:tc>
          <w:tcPr>
            <w:tcW w:w="7449" w:type="dxa"/>
            <w:gridSpan w:val="3"/>
          </w:tcPr>
          <w:p w:rsidR="001F4C42" w:rsidRDefault="001F4C42" w:rsidP="001F4C42">
            <w:r>
              <w:t>Návrh novely nařízení č. 567/2006 Sb. byl zařazen na jednání schůze vlády dne 21. září 2016, která jeho projednávání odložila; podle vyjádření předsedy vlády by se vláda měla návrhem zabývat na jednání schůze dne 5. října 2016. Návrh obsahuje:</w:t>
            </w:r>
          </w:p>
          <w:p w:rsidR="001F4C42" w:rsidRDefault="001F4C42" w:rsidP="001F4C42"/>
          <w:p w:rsidR="001F4C42" w:rsidRDefault="001F4C42" w:rsidP="00314B8E">
            <w:pPr>
              <w:pStyle w:val="Odstavecseseznamem"/>
              <w:numPr>
                <w:ilvl w:val="0"/>
                <w:numId w:val="4"/>
              </w:numPr>
              <w:spacing w:before="120"/>
              <w:ind w:left="714" w:hanging="357"/>
              <w:contextualSpacing w:val="0"/>
            </w:pPr>
            <w:r>
              <w:t>Zvýšení základní měsíční sazby minimální mzdy z 9 900 Kč na 11 000 Kč za současného zvýšení hodinové sazby minimální mzdy 58,70 Kč na 66 Kč. Minimální mzda tak dle předpokladů bude v roce 2017 činit 38,2 % průměrné mzdy. Míra navýšení úrovně minimální mzdy představuje kompromis mezi stanovisky zástupců sociálních partnerů vyjádřenými na 130. Plenární schůzi RHSD ČR.</w:t>
            </w:r>
          </w:p>
          <w:p w:rsidR="001F4C42" w:rsidRDefault="001F4C42" w:rsidP="00314B8E">
            <w:pPr>
              <w:pStyle w:val="Odstavecseseznamem"/>
              <w:numPr>
                <w:ilvl w:val="0"/>
                <w:numId w:val="4"/>
              </w:numPr>
              <w:spacing w:before="120"/>
              <w:ind w:left="714" w:hanging="357"/>
              <w:contextualSpacing w:val="0"/>
            </w:pPr>
            <w:r>
              <w:t>Valorizaci nejnižších úrovní zaručené mzdy</w:t>
            </w:r>
            <w:r w:rsidR="00314B8E">
              <w:t>.</w:t>
            </w:r>
            <w:r>
              <w:t xml:space="preserve"> </w:t>
            </w:r>
          </w:p>
          <w:p w:rsidR="001F4C42" w:rsidRDefault="001F4C42" w:rsidP="00314B8E">
            <w:pPr>
              <w:pStyle w:val="Odstavecseseznamem"/>
              <w:numPr>
                <w:ilvl w:val="0"/>
                <w:numId w:val="4"/>
              </w:numPr>
              <w:spacing w:before="120"/>
              <w:ind w:left="714" w:hanging="357"/>
              <w:contextualSpacing w:val="0"/>
            </w:pPr>
            <w:r>
              <w:t>Zrušení nižší sazby minimální mzdy a nejnižších úrovní zaručené mzdy u poživatelů invalidních důchodů.</w:t>
            </w:r>
          </w:p>
          <w:p w:rsidR="001F4C42" w:rsidRDefault="001F4C42" w:rsidP="00314B8E">
            <w:pPr>
              <w:ind w:left="360"/>
            </w:pPr>
          </w:p>
          <w:p w:rsidR="002378A4" w:rsidRDefault="001F4C42" w:rsidP="001F4C42">
            <w:r>
              <w:t>Navrhovaná účinnost změn je od 1. 1. 2017</w:t>
            </w:r>
          </w:p>
          <w:p w:rsidR="001F4C42" w:rsidRDefault="001F4C42" w:rsidP="001F4C42"/>
          <w:p w:rsidR="001F4C42" w:rsidRPr="001F4C42" w:rsidRDefault="001F4C42" w:rsidP="001F4C42">
            <w:pPr>
              <w:rPr>
                <w:b/>
              </w:rPr>
            </w:pPr>
            <w:r>
              <w:rPr>
                <w:b/>
              </w:rPr>
              <w:t>Opatření převedeno na opatření č. 1.3a k řešení nesouladu nabídky a poptávky na trhu práce.</w:t>
            </w:r>
          </w:p>
        </w:tc>
      </w:tr>
      <w:tr w:rsidR="001F4C42" w:rsidTr="008754EF">
        <w:tc>
          <w:tcPr>
            <w:tcW w:w="4565" w:type="dxa"/>
          </w:tcPr>
          <w:p w:rsidR="001F4C42" w:rsidRPr="001F4C42" w:rsidRDefault="001F4C42" w:rsidP="00314B8E">
            <w:pPr>
              <w:pStyle w:val="Odstavecseseznamem"/>
              <w:numPr>
                <w:ilvl w:val="0"/>
                <w:numId w:val="9"/>
              </w:numPr>
              <w:ind w:left="426"/>
              <w:rPr>
                <w:rFonts w:eastAsia="Calibri"/>
                <w:b/>
              </w:rPr>
            </w:pPr>
            <w:r w:rsidRPr="001F4C42">
              <w:rPr>
                <w:rFonts w:eastAsia="Calibri"/>
              </w:rPr>
              <w:t>Připravit právní</w:t>
            </w:r>
            <w:r>
              <w:rPr>
                <w:rFonts w:eastAsia="Calibri"/>
              </w:rPr>
              <w:t xml:space="preserve"> úpravu </w:t>
            </w:r>
            <w:r w:rsidRPr="001F4C42">
              <w:rPr>
                <w:rFonts w:eastAsia="Calibri"/>
              </w:rPr>
              <w:t xml:space="preserve">příspěvku </w:t>
            </w:r>
            <w:r>
              <w:rPr>
                <w:rFonts w:eastAsia="Calibri"/>
              </w:rPr>
              <w:t>v době částečné nezaměstnanosti</w:t>
            </w:r>
            <w:r w:rsidRPr="001F4C42">
              <w:rPr>
                <w:rFonts w:eastAsia="Calibri"/>
              </w:rPr>
              <w:t xml:space="preserve"> (</w:t>
            </w:r>
            <w:proofErr w:type="spellStart"/>
            <w:r w:rsidRPr="001F4C42">
              <w:rPr>
                <w:rFonts w:eastAsia="Calibri"/>
              </w:rPr>
              <w:t>kurzarbeit</w:t>
            </w:r>
            <w:proofErr w:type="spellEnd"/>
            <w:r w:rsidRPr="001F4C42">
              <w:rPr>
                <w:rFonts w:eastAsia="Calibri"/>
              </w:rPr>
              <w:t>).</w:t>
            </w:r>
          </w:p>
        </w:tc>
        <w:tc>
          <w:tcPr>
            <w:tcW w:w="993" w:type="dxa"/>
          </w:tcPr>
          <w:p w:rsidR="001F4C42" w:rsidRDefault="001F4C42" w:rsidP="00280EA8">
            <w:r>
              <w:t>MPSV</w:t>
            </w:r>
          </w:p>
        </w:tc>
        <w:tc>
          <w:tcPr>
            <w:tcW w:w="1213" w:type="dxa"/>
          </w:tcPr>
          <w:p w:rsidR="001F4C42" w:rsidRPr="001F4C42" w:rsidRDefault="001F4C42" w:rsidP="00644621">
            <w:r w:rsidRPr="001F4C42">
              <w:t>Splněno</w:t>
            </w:r>
          </w:p>
        </w:tc>
        <w:tc>
          <w:tcPr>
            <w:tcW w:w="7449" w:type="dxa"/>
            <w:gridSpan w:val="3"/>
          </w:tcPr>
          <w:p w:rsidR="001F4C42" w:rsidRPr="00FA42AF" w:rsidRDefault="001F4C42" w:rsidP="001F4C42">
            <w:r>
              <w:t>Opatření splněno zákonem č. 203/2014 Sb., který zavedl pod § 115 v zákoně č. 435/2004 Sb., zákoně o zaměstnanosti nový nástroj APZ „příspěvek v době částečné nezaměstnanosti.</w:t>
            </w:r>
          </w:p>
        </w:tc>
      </w:tr>
    </w:tbl>
    <w:p w:rsidR="00FA07F1" w:rsidRDefault="00FA07F1" w:rsidP="00280EA8"/>
    <w:p w:rsidR="00314B8E" w:rsidRDefault="00F54833">
      <w:pPr>
        <w:spacing w:after="200"/>
        <w:jc w:val="left"/>
        <w:sectPr w:rsidR="00314B8E" w:rsidSect="00F838CD">
          <w:pgSz w:w="16838" w:h="11906" w:orient="landscape"/>
          <w:pgMar w:top="1417" w:right="1417" w:bottom="1417" w:left="1417" w:header="708" w:footer="708" w:gutter="0"/>
          <w:cols w:space="708"/>
          <w:docGrid w:linePitch="360"/>
        </w:sectPr>
      </w:pPr>
      <w:r>
        <w:br w:type="page"/>
      </w:r>
    </w:p>
    <w:p w:rsidR="00F54833" w:rsidRDefault="00314B8E">
      <w:pPr>
        <w:spacing w:after="200"/>
        <w:jc w:val="left"/>
        <w:rPr>
          <w:b/>
        </w:rPr>
      </w:pPr>
      <w:r>
        <w:rPr>
          <w:b/>
        </w:rPr>
        <w:t>Seznam příloh</w:t>
      </w:r>
    </w:p>
    <w:p w:rsidR="00314B8E" w:rsidRDefault="00180D35">
      <w:pPr>
        <w:spacing w:after="200"/>
        <w:jc w:val="left"/>
      </w:pPr>
      <w:r>
        <w:t xml:space="preserve">Příloha č. 1: </w:t>
      </w:r>
      <w:r w:rsidRPr="00180D35">
        <w:t>Vývoj struktury uchazečů o zaměstnání</w:t>
      </w:r>
    </w:p>
    <w:p w:rsidR="00180D35" w:rsidRDefault="00180D35">
      <w:pPr>
        <w:spacing w:after="200"/>
        <w:jc w:val="left"/>
      </w:pPr>
      <w:r>
        <w:t xml:space="preserve">Příloha č. 2: </w:t>
      </w:r>
      <w:r w:rsidRPr="00180D35">
        <w:t>Absolventi škol v evidenci ÚP ČR podle kategorií vzdělání a skupin oborů k 30. 9. 2016</w:t>
      </w:r>
    </w:p>
    <w:p w:rsidR="00180D35" w:rsidRPr="00180D35" w:rsidRDefault="00180D35">
      <w:pPr>
        <w:spacing w:after="200"/>
        <w:jc w:val="left"/>
      </w:pPr>
      <w:r>
        <w:t xml:space="preserve">Příloha č. 3: </w:t>
      </w:r>
      <w:r w:rsidRPr="00180D35">
        <w:t>Průběžné vyhodnocení opatření směřujících k odstranění nerovnováhy na trhu práce</w:t>
      </w:r>
    </w:p>
    <w:p w:rsidR="003F77D9" w:rsidRPr="003F77D9" w:rsidRDefault="003F77D9" w:rsidP="00696DB7">
      <w:pPr>
        <w:spacing w:after="200" w:line="240" w:lineRule="auto"/>
        <w:rPr>
          <w:rFonts w:cs="Arial"/>
        </w:rPr>
      </w:pPr>
    </w:p>
    <w:p w:rsidR="00E337FD" w:rsidRPr="000E3262" w:rsidRDefault="00E337FD" w:rsidP="00696DB7">
      <w:pPr>
        <w:spacing w:line="240" w:lineRule="auto"/>
      </w:pPr>
    </w:p>
    <w:p w:rsidR="00E337FD" w:rsidRDefault="00E337FD" w:rsidP="00696DB7">
      <w:pPr>
        <w:spacing w:line="240" w:lineRule="auto"/>
        <w:rPr>
          <w:highlight w:val="yellow"/>
        </w:rPr>
      </w:pPr>
    </w:p>
    <w:p w:rsidR="00E337FD" w:rsidRDefault="00E337FD" w:rsidP="00696DB7">
      <w:pPr>
        <w:spacing w:line="240" w:lineRule="auto"/>
        <w:rPr>
          <w:highlight w:val="yellow"/>
        </w:rPr>
      </w:pPr>
    </w:p>
    <w:p w:rsidR="00E337FD" w:rsidRDefault="00E337FD" w:rsidP="00696DB7">
      <w:pPr>
        <w:spacing w:line="240" w:lineRule="auto"/>
        <w:rPr>
          <w:highlight w:val="yellow"/>
        </w:rPr>
      </w:pPr>
    </w:p>
    <w:p w:rsidR="00E337FD" w:rsidRDefault="00E337FD" w:rsidP="00696DB7">
      <w:pPr>
        <w:spacing w:line="240" w:lineRule="auto"/>
        <w:rPr>
          <w:highlight w:val="yellow"/>
        </w:rPr>
      </w:pPr>
    </w:p>
    <w:p w:rsidR="00E337FD" w:rsidRDefault="00E337FD" w:rsidP="00696DB7">
      <w:pPr>
        <w:spacing w:line="240" w:lineRule="auto"/>
        <w:rPr>
          <w:highlight w:val="yellow"/>
        </w:rPr>
      </w:pPr>
    </w:p>
    <w:p w:rsidR="00E337FD" w:rsidRDefault="00E337FD" w:rsidP="00696DB7">
      <w:pPr>
        <w:spacing w:line="240" w:lineRule="auto"/>
        <w:rPr>
          <w:highlight w:val="yellow"/>
        </w:rPr>
      </w:pPr>
    </w:p>
    <w:p w:rsidR="00E337FD" w:rsidRPr="00E337FD" w:rsidRDefault="00E337FD" w:rsidP="00696DB7">
      <w:pPr>
        <w:spacing w:before="120" w:line="240" w:lineRule="auto"/>
        <w:rPr>
          <w:rFonts w:cs="Arial"/>
          <w:szCs w:val="24"/>
        </w:rPr>
      </w:pPr>
    </w:p>
    <w:sectPr w:rsidR="00E337FD" w:rsidRPr="00E337FD" w:rsidSect="00314B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B50" w:rsidRDefault="006C5B50" w:rsidP="000E3262">
      <w:pPr>
        <w:spacing w:line="240" w:lineRule="auto"/>
      </w:pPr>
      <w:r>
        <w:separator/>
      </w:r>
    </w:p>
  </w:endnote>
  <w:endnote w:type="continuationSeparator" w:id="0">
    <w:p w:rsidR="006C5B50" w:rsidRDefault="006C5B50" w:rsidP="000E32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B50" w:rsidRDefault="006C5B50">
    <w:pPr>
      <w:pStyle w:val="Zpat"/>
      <w:jc w:val="center"/>
    </w:pPr>
  </w:p>
  <w:p w:rsidR="006C5B50" w:rsidRDefault="006C5B5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54A" w:rsidRDefault="005B254A">
    <w:pPr>
      <w:pStyle w:val="Zpat"/>
      <w:jc w:val="center"/>
    </w:pPr>
  </w:p>
  <w:p w:rsidR="006C5B50" w:rsidRDefault="006C5B50" w:rsidP="00644621">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989507"/>
      <w:docPartObj>
        <w:docPartGallery w:val="Page Numbers (Bottom of Page)"/>
        <w:docPartUnique/>
      </w:docPartObj>
    </w:sdtPr>
    <w:sdtEndPr/>
    <w:sdtContent>
      <w:p w:rsidR="006C5B50" w:rsidRDefault="006C5B50">
        <w:pPr>
          <w:pStyle w:val="Zpat"/>
          <w:jc w:val="center"/>
        </w:pPr>
        <w:r>
          <w:fldChar w:fldCharType="begin"/>
        </w:r>
        <w:r>
          <w:instrText>PAGE   \* MERGEFORMAT</w:instrText>
        </w:r>
        <w:r>
          <w:fldChar w:fldCharType="separate"/>
        </w:r>
        <w:r w:rsidR="005B254A">
          <w:rPr>
            <w:noProof/>
          </w:rPr>
          <w:t>36</w:t>
        </w:r>
        <w:r>
          <w:fldChar w:fldCharType="end"/>
        </w:r>
      </w:p>
    </w:sdtContent>
  </w:sdt>
  <w:p w:rsidR="006C5B50" w:rsidRDefault="006C5B50">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B50" w:rsidRDefault="006C5B50">
    <w:pPr>
      <w:pStyle w:val="Zpat"/>
      <w:jc w:val="center"/>
    </w:pPr>
  </w:p>
  <w:p w:rsidR="006C5B50" w:rsidRDefault="006C5B50">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0160932"/>
      <w:docPartObj>
        <w:docPartGallery w:val="Page Numbers (Bottom of Page)"/>
        <w:docPartUnique/>
      </w:docPartObj>
    </w:sdtPr>
    <w:sdtContent>
      <w:p w:rsidR="005B254A" w:rsidRDefault="005B254A">
        <w:pPr>
          <w:pStyle w:val="Zpat"/>
          <w:jc w:val="center"/>
        </w:pPr>
        <w:r>
          <w:fldChar w:fldCharType="begin"/>
        </w:r>
        <w:r>
          <w:instrText>PAGE   \* MERGEFORMAT</w:instrText>
        </w:r>
        <w:r>
          <w:fldChar w:fldCharType="separate"/>
        </w:r>
        <w:r>
          <w:rPr>
            <w:noProof/>
          </w:rPr>
          <w:t>1</w:t>
        </w:r>
        <w:r>
          <w:fldChar w:fldCharType="end"/>
        </w:r>
      </w:p>
    </w:sdtContent>
  </w:sdt>
  <w:p w:rsidR="005B254A" w:rsidRDefault="005B254A" w:rsidP="00644621">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B50" w:rsidRDefault="006C5B50" w:rsidP="000E3262">
      <w:pPr>
        <w:spacing w:line="240" w:lineRule="auto"/>
      </w:pPr>
      <w:r>
        <w:separator/>
      </w:r>
    </w:p>
  </w:footnote>
  <w:footnote w:type="continuationSeparator" w:id="0">
    <w:p w:rsidR="006C5B50" w:rsidRDefault="006C5B50" w:rsidP="000E3262">
      <w:pPr>
        <w:spacing w:line="240" w:lineRule="auto"/>
      </w:pPr>
      <w:r>
        <w:continuationSeparator/>
      </w:r>
    </w:p>
  </w:footnote>
  <w:footnote w:id="1">
    <w:p w:rsidR="006C5B50" w:rsidRDefault="006C5B50">
      <w:pPr>
        <w:pStyle w:val="Textpoznpodarou"/>
      </w:pPr>
      <w:r>
        <w:rPr>
          <w:rStyle w:val="Znakapoznpodarou"/>
        </w:rPr>
        <w:footnoteRef/>
      </w:r>
      <w:r>
        <w:t xml:space="preserve"> ze sloupce „evidence“ započítán pouze podíl osob nezaměstnaných nad 12 měsíců, neboť sl. nezaměstnaných nad 24 měsíců je jeho podmnožinou.</w:t>
      </w:r>
    </w:p>
  </w:footnote>
  <w:footnote w:id="2">
    <w:p w:rsidR="006C5B50" w:rsidRDefault="006C5B50">
      <w:pPr>
        <w:pStyle w:val="Textpoznpodarou"/>
      </w:pPr>
      <w:r>
        <w:rPr>
          <w:rStyle w:val="Znakapoznpodarou"/>
        </w:rPr>
        <w:footnoteRef/>
      </w:r>
      <w:r>
        <w:t xml:space="preserve"> ve 2. čtvrtletí 2016 dosahovala věkové skupině 25 – 64 let míra zaměstnanosti mužů 87,1 %, v případě žen 71,4 %. Markantní je rozdíl v mladším středním věku, ve věkové skupině 30 – 34 let činila míra zaměstnanosti žen 64,7 %, míra zaměstnanosti mužů 93,7 %. </w:t>
      </w:r>
    </w:p>
  </w:footnote>
  <w:footnote w:id="3">
    <w:p w:rsidR="006C5B50" w:rsidRDefault="006C5B50" w:rsidP="00C54482">
      <w:pPr>
        <w:pStyle w:val="Textpoznpodarou"/>
      </w:pPr>
      <w:r>
        <w:rPr>
          <w:rStyle w:val="Znakapoznpodarou"/>
        </w:rPr>
        <w:footnoteRef/>
      </w:r>
      <w:r>
        <w:t xml:space="preserve"> zákon č. 84/2015 Sb., </w:t>
      </w:r>
      <w:r w:rsidRPr="00EA484B">
        <w:t>kterým se mění zákon č. 72/2000 Sb., o investičních pobídkách a o změně některých zákonů (záko</w:t>
      </w:r>
      <w:r>
        <w:t>n o investičních pobídkách), ve </w:t>
      </w:r>
      <w:r w:rsidRPr="00EA484B">
        <w:t>znění pozdějších předpisů, a další související zákony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8AE" w:rsidRDefault="00814DDE" w:rsidP="008358AE">
    <w:pPr>
      <w:pStyle w:val="Zhlav"/>
      <w:jc w:val="right"/>
    </w:pPr>
    <w:r>
      <w:t>III.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8AE" w:rsidRDefault="00B36E00" w:rsidP="008358AE">
    <w:pPr>
      <w:pStyle w:val="Zhlav"/>
      <w:jc w:val="right"/>
    </w:pP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0BD" w:rsidRDefault="006820BD" w:rsidP="008358AE">
    <w:pPr>
      <w:pStyle w:val="Zhlav"/>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DDE" w:rsidRDefault="00814DDE" w:rsidP="008358AE">
    <w:pPr>
      <w:pStyle w:val="Zhlav"/>
      <w:jc w:val="right"/>
    </w:pPr>
    <w: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DDE" w:rsidRDefault="00814DDE" w:rsidP="008358AE">
    <w:pPr>
      <w:pStyle w:val="Zhlav"/>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DDE" w:rsidRDefault="00814DDE" w:rsidP="008358AE">
    <w:pPr>
      <w:pStyle w:val="Zhlav"/>
      <w:jc w:val="right"/>
    </w:pPr>
    <w:r>
      <w:t>III.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54A" w:rsidRPr="005B254A" w:rsidRDefault="005B254A" w:rsidP="005B254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B5BBA"/>
    <w:multiLevelType w:val="multilevel"/>
    <w:tmpl w:val="E6C81AE6"/>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144AD9"/>
    <w:multiLevelType w:val="hybridMultilevel"/>
    <w:tmpl w:val="35C66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02A1F6C"/>
    <w:multiLevelType w:val="hybridMultilevel"/>
    <w:tmpl w:val="350A4A9E"/>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nsid w:val="28BA26D8"/>
    <w:multiLevelType w:val="hybridMultilevel"/>
    <w:tmpl w:val="B48CF4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F2D0033"/>
    <w:multiLevelType w:val="multilevel"/>
    <w:tmpl w:val="E6C81AE6"/>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DEC3E37"/>
    <w:multiLevelType w:val="hybridMultilevel"/>
    <w:tmpl w:val="2976DAC6"/>
    <w:lvl w:ilvl="0" w:tplc="5894A1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29B6F16"/>
    <w:multiLevelType w:val="hybridMultilevel"/>
    <w:tmpl w:val="E01C20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437528EA"/>
    <w:multiLevelType w:val="hybridMultilevel"/>
    <w:tmpl w:val="11C2A4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93759B8"/>
    <w:multiLevelType w:val="hybridMultilevel"/>
    <w:tmpl w:val="5B0AF7A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9">
    <w:nsid w:val="5B0474DE"/>
    <w:multiLevelType w:val="multilevel"/>
    <w:tmpl w:val="E6C81AE6"/>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E7C051D"/>
    <w:multiLevelType w:val="hybridMultilevel"/>
    <w:tmpl w:val="CF0C8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1082FB5"/>
    <w:multiLevelType w:val="hybridMultilevel"/>
    <w:tmpl w:val="3640C224"/>
    <w:lvl w:ilvl="0" w:tplc="023C1808">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F33D4B"/>
    <w:multiLevelType w:val="hybridMultilevel"/>
    <w:tmpl w:val="50C4C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EAF0A94"/>
    <w:multiLevelType w:val="hybridMultilevel"/>
    <w:tmpl w:val="903E2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3"/>
  </w:num>
  <w:num w:numId="4">
    <w:abstractNumId w:val="7"/>
  </w:num>
  <w:num w:numId="5">
    <w:abstractNumId w:val="2"/>
  </w:num>
  <w:num w:numId="6">
    <w:abstractNumId w:val="0"/>
  </w:num>
  <w:num w:numId="7">
    <w:abstractNumId w:val="4"/>
  </w:num>
  <w:num w:numId="8">
    <w:abstractNumId w:val="9"/>
  </w:num>
  <w:num w:numId="9">
    <w:abstractNumId w:val="11"/>
  </w:num>
  <w:num w:numId="10">
    <w:abstractNumId w:val="6"/>
  </w:num>
  <w:num w:numId="11">
    <w:abstractNumId w:val="3"/>
  </w:num>
  <w:num w:numId="12">
    <w:abstractNumId w:val="1"/>
  </w:num>
  <w:num w:numId="13">
    <w:abstractNumId w:val="8"/>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5F4"/>
    <w:rsid w:val="00010B3A"/>
    <w:rsid w:val="000134F1"/>
    <w:rsid w:val="0004152C"/>
    <w:rsid w:val="000445AC"/>
    <w:rsid w:val="00070F11"/>
    <w:rsid w:val="00076AAA"/>
    <w:rsid w:val="000951F9"/>
    <w:rsid w:val="000C228C"/>
    <w:rsid w:val="000C66C8"/>
    <w:rsid w:val="000E0C7B"/>
    <w:rsid w:val="000E2D24"/>
    <w:rsid w:val="000E3262"/>
    <w:rsid w:val="00105D9C"/>
    <w:rsid w:val="00111B9D"/>
    <w:rsid w:val="00146299"/>
    <w:rsid w:val="00147F4B"/>
    <w:rsid w:val="00176BD4"/>
    <w:rsid w:val="00180D35"/>
    <w:rsid w:val="00184566"/>
    <w:rsid w:val="001E2938"/>
    <w:rsid w:val="001F4C42"/>
    <w:rsid w:val="00223146"/>
    <w:rsid w:val="002378A4"/>
    <w:rsid w:val="00255C9E"/>
    <w:rsid w:val="00277A1D"/>
    <w:rsid w:val="00280EA8"/>
    <w:rsid w:val="00291EC0"/>
    <w:rsid w:val="002A5BFC"/>
    <w:rsid w:val="002D1312"/>
    <w:rsid w:val="002D25C3"/>
    <w:rsid w:val="002F443B"/>
    <w:rsid w:val="002F49AA"/>
    <w:rsid w:val="00313D70"/>
    <w:rsid w:val="00314B8E"/>
    <w:rsid w:val="00345300"/>
    <w:rsid w:val="00365217"/>
    <w:rsid w:val="00380B51"/>
    <w:rsid w:val="003922C1"/>
    <w:rsid w:val="003B2D34"/>
    <w:rsid w:val="003B339E"/>
    <w:rsid w:val="003B34DF"/>
    <w:rsid w:val="003C6895"/>
    <w:rsid w:val="003F52F6"/>
    <w:rsid w:val="003F77D9"/>
    <w:rsid w:val="00403591"/>
    <w:rsid w:val="00406164"/>
    <w:rsid w:val="00450660"/>
    <w:rsid w:val="00467615"/>
    <w:rsid w:val="00470928"/>
    <w:rsid w:val="0049008F"/>
    <w:rsid w:val="004C4208"/>
    <w:rsid w:val="004D7850"/>
    <w:rsid w:val="004D7C57"/>
    <w:rsid w:val="005406EA"/>
    <w:rsid w:val="00541DBA"/>
    <w:rsid w:val="005644B4"/>
    <w:rsid w:val="00566EBB"/>
    <w:rsid w:val="00584D70"/>
    <w:rsid w:val="00586FAC"/>
    <w:rsid w:val="005A189A"/>
    <w:rsid w:val="005A56DD"/>
    <w:rsid w:val="005A7D7E"/>
    <w:rsid w:val="005B0DAF"/>
    <w:rsid w:val="005B0E6F"/>
    <w:rsid w:val="005B254A"/>
    <w:rsid w:val="005B51ED"/>
    <w:rsid w:val="005C4D7F"/>
    <w:rsid w:val="005D3192"/>
    <w:rsid w:val="005E0BED"/>
    <w:rsid w:val="00612248"/>
    <w:rsid w:val="00615826"/>
    <w:rsid w:val="006175EA"/>
    <w:rsid w:val="00620597"/>
    <w:rsid w:val="00631C35"/>
    <w:rsid w:val="006325F4"/>
    <w:rsid w:val="00644621"/>
    <w:rsid w:val="00645F2E"/>
    <w:rsid w:val="00650984"/>
    <w:rsid w:val="0065372C"/>
    <w:rsid w:val="006820BD"/>
    <w:rsid w:val="00690E87"/>
    <w:rsid w:val="00696DB7"/>
    <w:rsid w:val="006B0DAB"/>
    <w:rsid w:val="006C5B50"/>
    <w:rsid w:val="006D6F35"/>
    <w:rsid w:val="007142C3"/>
    <w:rsid w:val="0072360E"/>
    <w:rsid w:val="00724111"/>
    <w:rsid w:val="00766062"/>
    <w:rsid w:val="00774580"/>
    <w:rsid w:val="0077732E"/>
    <w:rsid w:val="00783D4C"/>
    <w:rsid w:val="00785D3C"/>
    <w:rsid w:val="007B42A5"/>
    <w:rsid w:val="007D2DF4"/>
    <w:rsid w:val="0080087C"/>
    <w:rsid w:val="00805809"/>
    <w:rsid w:val="00814DDE"/>
    <w:rsid w:val="00827BDD"/>
    <w:rsid w:val="008358AE"/>
    <w:rsid w:val="0084502B"/>
    <w:rsid w:val="008523B5"/>
    <w:rsid w:val="00853994"/>
    <w:rsid w:val="0086035C"/>
    <w:rsid w:val="008754EF"/>
    <w:rsid w:val="008C0148"/>
    <w:rsid w:val="008D0363"/>
    <w:rsid w:val="008D69B1"/>
    <w:rsid w:val="008D7208"/>
    <w:rsid w:val="008E5330"/>
    <w:rsid w:val="008F360A"/>
    <w:rsid w:val="00904DD3"/>
    <w:rsid w:val="009215E9"/>
    <w:rsid w:val="00922F39"/>
    <w:rsid w:val="0093491C"/>
    <w:rsid w:val="00966319"/>
    <w:rsid w:val="009669CF"/>
    <w:rsid w:val="009B715F"/>
    <w:rsid w:val="009C102E"/>
    <w:rsid w:val="009C10D4"/>
    <w:rsid w:val="009C1B68"/>
    <w:rsid w:val="009E0515"/>
    <w:rsid w:val="009E7964"/>
    <w:rsid w:val="00A13614"/>
    <w:rsid w:val="00A17094"/>
    <w:rsid w:val="00A33E5A"/>
    <w:rsid w:val="00A834BC"/>
    <w:rsid w:val="00A87CC5"/>
    <w:rsid w:val="00A90489"/>
    <w:rsid w:val="00AA5E35"/>
    <w:rsid w:val="00AC1D16"/>
    <w:rsid w:val="00AC391C"/>
    <w:rsid w:val="00AE1346"/>
    <w:rsid w:val="00B014F7"/>
    <w:rsid w:val="00B0583B"/>
    <w:rsid w:val="00B36E00"/>
    <w:rsid w:val="00B52427"/>
    <w:rsid w:val="00B80241"/>
    <w:rsid w:val="00BE624C"/>
    <w:rsid w:val="00BF3325"/>
    <w:rsid w:val="00BF73FA"/>
    <w:rsid w:val="00C26633"/>
    <w:rsid w:val="00C26D7F"/>
    <w:rsid w:val="00C360A4"/>
    <w:rsid w:val="00C44BFF"/>
    <w:rsid w:val="00C54482"/>
    <w:rsid w:val="00C61ECC"/>
    <w:rsid w:val="00C902F4"/>
    <w:rsid w:val="00CD4E07"/>
    <w:rsid w:val="00CE551C"/>
    <w:rsid w:val="00CE55AA"/>
    <w:rsid w:val="00D20AC4"/>
    <w:rsid w:val="00D306E6"/>
    <w:rsid w:val="00D35045"/>
    <w:rsid w:val="00D44602"/>
    <w:rsid w:val="00D5638D"/>
    <w:rsid w:val="00D75428"/>
    <w:rsid w:val="00DA2260"/>
    <w:rsid w:val="00DB0A63"/>
    <w:rsid w:val="00DE068C"/>
    <w:rsid w:val="00DF0169"/>
    <w:rsid w:val="00E06C3B"/>
    <w:rsid w:val="00E23850"/>
    <w:rsid w:val="00E276EB"/>
    <w:rsid w:val="00E337FD"/>
    <w:rsid w:val="00E42E8B"/>
    <w:rsid w:val="00E501A9"/>
    <w:rsid w:val="00E60DEE"/>
    <w:rsid w:val="00E861DE"/>
    <w:rsid w:val="00EA484B"/>
    <w:rsid w:val="00EB0630"/>
    <w:rsid w:val="00EC19DB"/>
    <w:rsid w:val="00F03D56"/>
    <w:rsid w:val="00F05554"/>
    <w:rsid w:val="00F16723"/>
    <w:rsid w:val="00F168A1"/>
    <w:rsid w:val="00F54833"/>
    <w:rsid w:val="00F649AE"/>
    <w:rsid w:val="00F838CD"/>
    <w:rsid w:val="00FA07F1"/>
    <w:rsid w:val="00FA764C"/>
    <w:rsid w:val="00FC6987"/>
    <w:rsid w:val="00FE45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D4E07"/>
    <w:pPr>
      <w:spacing w:after="0"/>
      <w:jc w:val="both"/>
    </w:pPr>
    <w:rPr>
      <w:rFonts w:ascii="Arial" w:hAnsi="Arial"/>
      <w:sz w:val="24"/>
    </w:rPr>
  </w:style>
  <w:style w:type="paragraph" w:styleId="Nadpis1">
    <w:name w:val="heading 1"/>
    <w:basedOn w:val="Normln"/>
    <w:next w:val="Normln"/>
    <w:link w:val="Nadpis1Char"/>
    <w:uiPriority w:val="9"/>
    <w:qFormat/>
    <w:rsid w:val="00BE624C"/>
    <w:pPr>
      <w:keepNext/>
      <w:keepLines/>
      <w:spacing w:before="480"/>
      <w:jc w:val="center"/>
      <w:outlineLvl w:val="0"/>
    </w:pPr>
    <w:rPr>
      <w:rFonts w:eastAsiaTheme="majorEastAsia" w:cstheme="majorBidi"/>
      <w:b/>
      <w:bCs/>
      <w:sz w:val="28"/>
      <w:szCs w:val="28"/>
      <w:u w:val="single"/>
    </w:rPr>
  </w:style>
  <w:style w:type="paragraph" w:styleId="Nadpis2">
    <w:name w:val="heading 2"/>
    <w:basedOn w:val="Normln"/>
    <w:next w:val="Normln"/>
    <w:link w:val="Nadpis2Char"/>
    <w:uiPriority w:val="9"/>
    <w:unhideWhenUsed/>
    <w:qFormat/>
    <w:rsid w:val="00BE624C"/>
    <w:pPr>
      <w:keepNext/>
      <w:keepLines/>
      <w:spacing w:before="200"/>
      <w:outlineLvl w:val="1"/>
    </w:pPr>
    <w:rPr>
      <w:rFonts w:eastAsiaTheme="majorEastAsia" w:cstheme="majorBidi"/>
      <w:b/>
      <w:bCs/>
      <w:szCs w:val="26"/>
      <w:u w:val="single"/>
    </w:rPr>
  </w:style>
  <w:style w:type="paragraph" w:styleId="Nadpis3">
    <w:name w:val="heading 3"/>
    <w:basedOn w:val="Normln"/>
    <w:next w:val="Normln"/>
    <w:link w:val="Nadpis3Char"/>
    <w:uiPriority w:val="9"/>
    <w:unhideWhenUsed/>
    <w:qFormat/>
    <w:rsid w:val="007142C3"/>
    <w:pPr>
      <w:keepNext/>
      <w:keepLines/>
      <w:spacing w:before="200"/>
      <w:outlineLvl w:val="2"/>
    </w:pPr>
    <w:rPr>
      <w:rFonts w:eastAsiaTheme="majorEastAsi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iPriority w:val="99"/>
    <w:unhideWhenUsed/>
    <w:rsid w:val="006325F4"/>
    <w:pPr>
      <w:spacing w:line="240" w:lineRule="auto"/>
      <w:ind w:left="283" w:hanging="283"/>
      <w:jc w:val="left"/>
    </w:pPr>
    <w:rPr>
      <w:rFonts w:ascii="Times New Roman" w:hAnsi="Times New Roman" w:cs="Times New Roman"/>
      <w:szCs w:val="24"/>
      <w:lang w:eastAsia="cs-CZ"/>
    </w:rPr>
  </w:style>
  <w:style w:type="table" w:styleId="Mkatabulky">
    <w:name w:val="Table Grid"/>
    <w:basedOn w:val="Normlntabulka"/>
    <w:uiPriority w:val="59"/>
    <w:rsid w:val="00C3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13D70"/>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3D70"/>
    <w:rPr>
      <w:rFonts w:ascii="Tahoma" w:hAnsi="Tahoma" w:cs="Tahoma"/>
      <w:sz w:val="16"/>
      <w:szCs w:val="16"/>
    </w:rPr>
  </w:style>
  <w:style w:type="paragraph" w:styleId="Odstavecseseznamem">
    <w:name w:val="List Paragraph"/>
    <w:basedOn w:val="Normln"/>
    <w:uiPriority w:val="34"/>
    <w:qFormat/>
    <w:rsid w:val="00E337FD"/>
    <w:pPr>
      <w:ind w:left="720"/>
      <w:contextualSpacing/>
    </w:pPr>
  </w:style>
  <w:style w:type="paragraph" w:styleId="Textpoznpodarou">
    <w:name w:val="footnote text"/>
    <w:basedOn w:val="Normln"/>
    <w:link w:val="TextpoznpodarouChar"/>
    <w:uiPriority w:val="99"/>
    <w:semiHidden/>
    <w:unhideWhenUsed/>
    <w:rsid w:val="000E3262"/>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0E3262"/>
    <w:rPr>
      <w:rFonts w:ascii="Arial" w:hAnsi="Arial"/>
      <w:sz w:val="20"/>
      <w:szCs w:val="20"/>
    </w:rPr>
  </w:style>
  <w:style w:type="character" w:styleId="Znakapoznpodarou">
    <w:name w:val="footnote reference"/>
    <w:basedOn w:val="Standardnpsmoodstavce"/>
    <w:uiPriority w:val="99"/>
    <w:semiHidden/>
    <w:unhideWhenUsed/>
    <w:rsid w:val="000E3262"/>
    <w:rPr>
      <w:vertAlign w:val="superscript"/>
    </w:rPr>
  </w:style>
  <w:style w:type="paragraph" w:styleId="Zhlav">
    <w:name w:val="header"/>
    <w:basedOn w:val="Normln"/>
    <w:link w:val="ZhlavChar"/>
    <w:uiPriority w:val="99"/>
    <w:unhideWhenUsed/>
    <w:rsid w:val="005D3192"/>
    <w:pPr>
      <w:tabs>
        <w:tab w:val="center" w:pos="4536"/>
        <w:tab w:val="right" w:pos="9072"/>
      </w:tabs>
      <w:spacing w:line="240" w:lineRule="auto"/>
    </w:pPr>
  </w:style>
  <w:style w:type="character" w:customStyle="1" w:styleId="ZhlavChar">
    <w:name w:val="Záhlaví Char"/>
    <w:basedOn w:val="Standardnpsmoodstavce"/>
    <w:link w:val="Zhlav"/>
    <w:uiPriority w:val="99"/>
    <w:rsid w:val="005D3192"/>
    <w:rPr>
      <w:rFonts w:ascii="Arial" w:hAnsi="Arial"/>
      <w:sz w:val="24"/>
    </w:rPr>
  </w:style>
  <w:style w:type="paragraph" w:styleId="Zpat">
    <w:name w:val="footer"/>
    <w:basedOn w:val="Normln"/>
    <w:link w:val="ZpatChar"/>
    <w:uiPriority w:val="99"/>
    <w:unhideWhenUsed/>
    <w:rsid w:val="005D3192"/>
    <w:pPr>
      <w:tabs>
        <w:tab w:val="center" w:pos="4536"/>
        <w:tab w:val="right" w:pos="9072"/>
      </w:tabs>
      <w:spacing w:line="240" w:lineRule="auto"/>
    </w:pPr>
  </w:style>
  <w:style w:type="character" w:customStyle="1" w:styleId="ZpatChar">
    <w:name w:val="Zápatí Char"/>
    <w:basedOn w:val="Standardnpsmoodstavce"/>
    <w:link w:val="Zpat"/>
    <w:uiPriority w:val="99"/>
    <w:rsid w:val="005D3192"/>
    <w:rPr>
      <w:rFonts w:ascii="Arial" w:hAnsi="Arial"/>
      <w:sz w:val="24"/>
    </w:rPr>
  </w:style>
  <w:style w:type="paragraph" w:styleId="Titulek">
    <w:name w:val="caption"/>
    <w:basedOn w:val="Normln"/>
    <w:next w:val="Normln"/>
    <w:uiPriority w:val="35"/>
    <w:unhideWhenUsed/>
    <w:qFormat/>
    <w:rsid w:val="005D3192"/>
    <w:pPr>
      <w:spacing w:after="200" w:line="240" w:lineRule="auto"/>
    </w:pPr>
    <w:rPr>
      <w:b/>
      <w:bCs/>
      <w:color w:val="4F81BD" w:themeColor="accent1"/>
      <w:sz w:val="18"/>
      <w:szCs w:val="18"/>
    </w:rPr>
  </w:style>
  <w:style w:type="character" w:customStyle="1" w:styleId="Nadpis1Char">
    <w:name w:val="Nadpis 1 Char"/>
    <w:basedOn w:val="Standardnpsmoodstavce"/>
    <w:link w:val="Nadpis1"/>
    <w:uiPriority w:val="9"/>
    <w:rsid w:val="00BE624C"/>
    <w:rPr>
      <w:rFonts w:ascii="Arial" w:eastAsiaTheme="majorEastAsia" w:hAnsi="Arial" w:cstheme="majorBidi"/>
      <w:b/>
      <w:bCs/>
      <w:sz w:val="28"/>
      <w:szCs w:val="28"/>
      <w:u w:val="single"/>
    </w:rPr>
  </w:style>
  <w:style w:type="character" w:customStyle="1" w:styleId="Nadpis2Char">
    <w:name w:val="Nadpis 2 Char"/>
    <w:basedOn w:val="Standardnpsmoodstavce"/>
    <w:link w:val="Nadpis2"/>
    <w:uiPriority w:val="9"/>
    <w:rsid w:val="00BE624C"/>
    <w:rPr>
      <w:rFonts w:ascii="Arial" w:eastAsiaTheme="majorEastAsia" w:hAnsi="Arial" w:cstheme="majorBidi"/>
      <w:b/>
      <w:bCs/>
      <w:sz w:val="24"/>
      <w:szCs w:val="26"/>
      <w:u w:val="single"/>
    </w:rPr>
  </w:style>
  <w:style w:type="character" w:customStyle="1" w:styleId="Nadpis3Char">
    <w:name w:val="Nadpis 3 Char"/>
    <w:basedOn w:val="Standardnpsmoodstavce"/>
    <w:link w:val="Nadpis3"/>
    <w:uiPriority w:val="9"/>
    <w:rsid w:val="007142C3"/>
    <w:rPr>
      <w:rFonts w:ascii="Arial" w:eastAsiaTheme="majorEastAsia" w:hAnsi="Arial" w:cstheme="majorBidi"/>
      <w:b/>
      <w:bCs/>
      <w:sz w:val="24"/>
    </w:rPr>
  </w:style>
  <w:style w:type="paragraph" w:styleId="Nadpisobsahu">
    <w:name w:val="TOC Heading"/>
    <w:basedOn w:val="Nadpis1"/>
    <w:next w:val="Normln"/>
    <w:uiPriority w:val="39"/>
    <w:semiHidden/>
    <w:unhideWhenUsed/>
    <w:qFormat/>
    <w:rsid w:val="00C26633"/>
    <w:pPr>
      <w:jc w:val="left"/>
      <w:outlineLvl w:val="9"/>
    </w:pPr>
    <w:rPr>
      <w:rFonts w:asciiTheme="majorHAnsi" w:hAnsiTheme="majorHAnsi"/>
      <w:color w:val="365F91" w:themeColor="accent1" w:themeShade="BF"/>
      <w:u w:val="none"/>
      <w:lang w:eastAsia="cs-CZ"/>
    </w:rPr>
  </w:style>
  <w:style w:type="paragraph" w:styleId="Obsah1">
    <w:name w:val="toc 1"/>
    <w:basedOn w:val="Normln"/>
    <w:next w:val="Normln"/>
    <w:autoRedefine/>
    <w:uiPriority w:val="39"/>
    <w:unhideWhenUsed/>
    <w:rsid w:val="00C26633"/>
    <w:pPr>
      <w:spacing w:after="100"/>
    </w:pPr>
  </w:style>
  <w:style w:type="paragraph" w:styleId="Obsah2">
    <w:name w:val="toc 2"/>
    <w:basedOn w:val="Normln"/>
    <w:next w:val="Normln"/>
    <w:autoRedefine/>
    <w:uiPriority w:val="39"/>
    <w:unhideWhenUsed/>
    <w:rsid w:val="00C26633"/>
    <w:pPr>
      <w:spacing w:after="100"/>
      <w:ind w:left="240"/>
    </w:pPr>
  </w:style>
  <w:style w:type="paragraph" w:styleId="Obsah3">
    <w:name w:val="toc 3"/>
    <w:basedOn w:val="Normln"/>
    <w:next w:val="Normln"/>
    <w:autoRedefine/>
    <w:uiPriority w:val="39"/>
    <w:unhideWhenUsed/>
    <w:rsid w:val="00C26633"/>
    <w:pPr>
      <w:spacing w:after="100"/>
      <w:ind w:left="480"/>
    </w:pPr>
  </w:style>
  <w:style w:type="character" w:styleId="Hypertextovodkaz">
    <w:name w:val="Hyperlink"/>
    <w:basedOn w:val="Standardnpsmoodstavce"/>
    <w:uiPriority w:val="99"/>
    <w:unhideWhenUsed/>
    <w:rsid w:val="00C26633"/>
    <w:rPr>
      <w:color w:val="0000FF" w:themeColor="hyperlink"/>
      <w:u w:val="single"/>
    </w:rPr>
  </w:style>
  <w:style w:type="paragraph" w:styleId="Seznamobrzk">
    <w:name w:val="table of figures"/>
    <w:basedOn w:val="Normln"/>
    <w:next w:val="Normln"/>
    <w:uiPriority w:val="99"/>
    <w:unhideWhenUsed/>
    <w:rsid w:val="0086035C"/>
  </w:style>
  <w:style w:type="paragraph" w:styleId="Normlnweb">
    <w:name w:val="Normal (Web)"/>
    <w:basedOn w:val="Normln"/>
    <w:uiPriority w:val="99"/>
    <w:semiHidden/>
    <w:unhideWhenUsed/>
    <w:rsid w:val="00255C9E"/>
    <w:pPr>
      <w:spacing w:before="100" w:beforeAutospacing="1" w:after="100" w:afterAutospacing="1" w:line="240" w:lineRule="auto"/>
      <w:jc w:val="left"/>
    </w:pPr>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E276EB"/>
    <w:rPr>
      <w:sz w:val="16"/>
      <w:szCs w:val="16"/>
    </w:rPr>
  </w:style>
  <w:style w:type="paragraph" w:styleId="Textkomente">
    <w:name w:val="annotation text"/>
    <w:basedOn w:val="Normln"/>
    <w:link w:val="TextkomenteChar"/>
    <w:uiPriority w:val="99"/>
    <w:semiHidden/>
    <w:unhideWhenUsed/>
    <w:rsid w:val="00E276EB"/>
    <w:pPr>
      <w:spacing w:line="240" w:lineRule="auto"/>
    </w:pPr>
    <w:rPr>
      <w:sz w:val="20"/>
      <w:szCs w:val="20"/>
    </w:rPr>
  </w:style>
  <w:style w:type="character" w:customStyle="1" w:styleId="TextkomenteChar">
    <w:name w:val="Text komentáře Char"/>
    <w:basedOn w:val="Standardnpsmoodstavce"/>
    <w:link w:val="Textkomente"/>
    <w:uiPriority w:val="99"/>
    <w:semiHidden/>
    <w:rsid w:val="00E276EB"/>
    <w:rPr>
      <w:rFonts w:ascii="Arial" w:hAnsi="Arial"/>
      <w:sz w:val="20"/>
      <w:szCs w:val="20"/>
    </w:rPr>
  </w:style>
  <w:style w:type="paragraph" w:styleId="Pedmtkomente">
    <w:name w:val="annotation subject"/>
    <w:basedOn w:val="Textkomente"/>
    <w:next w:val="Textkomente"/>
    <w:link w:val="PedmtkomenteChar"/>
    <w:uiPriority w:val="99"/>
    <w:semiHidden/>
    <w:unhideWhenUsed/>
    <w:rsid w:val="00E276EB"/>
    <w:rPr>
      <w:b/>
      <w:bCs/>
    </w:rPr>
  </w:style>
  <w:style w:type="character" w:customStyle="1" w:styleId="PedmtkomenteChar">
    <w:name w:val="Předmět komentáře Char"/>
    <w:basedOn w:val="TextkomenteChar"/>
    <w:link w:val="Pedmtkomente"/>
    <w:uiPriority w:val="99"/>
    <w:semiHidden/>
    <w:rsid w:val="00E276EB"/>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D4E07"/>
    <w:pPr>
      <w:spacing w:after="0"/>
      <w:jc w:val="both"/>
    </w:pPr>
    <w:rPr>
      <w:rFonts w:ascii="Arial" w:hAnsi="Arial"/>
      <w:sz w:val="24"/>
    </w:rPr>
  </w:style>
  <w:style w:type="paragraph" w:styleId="Nadpis1">
    <w:name w:val="heading 1"/>
    <w:basedOn w:val="Normln"/>
    <w:next w:val="Normln"/>
    <w:link w:val="Nadpis1Char"/>
    <w:uiPriority w:val="9"/>
    <w:qFormat/>
    <w:rsid w:val="00BE624C"/>
    <w:pPr>
      <w:keepNext/>
      <w:keepLines/>
      <w:spacing w:before="480"/>
      <w:jc w:val="center"/>
      <w:outlineLvl w:val="0"/>
    </w:pPr>
    <w:rPr>
      <w:rFonts w:eastAsiaTheme="majorEastAsia" w:cstheme="majorBidi"/>
      <w:b/>
      <w:bCs/>
      <w:sz w:val="28"/>
      <w:szCs w:val="28"/>
      <w:u w:val="single"/>
    </w:rPr>
  </w:style>
  <w:style w:type="paragraph" w:styleId="Nadpis2">
    <w:name w:val="heading 2"/>
    <w:basedOn w:val="Normln"/>
    <w:next w:val="Normln"/>
    <w:link w:val="Nadpis2Char"/>
    <w:uiPriority w:val="9"/>
    <w:unhideWhenUsed/>
    <w:qFormat/>
    <w:rsid w:val="00BE624C"/>
    <w:pPr>
      <w:keepNext/>
      <w:keepLines/>
      <w:spacing w:before="200"/>
      <w:outlineLvl w:val="1"/>
    </w:pPr>
    <w:rPr>
      <w:rFonts w:eastAsiaTheme="majorEastAsia" w:cstheme="majorBidi"/>
      <w:b/>
      <w:bCs/>
      <w:szCs w:val="26"/>
      <w:u w:val="single"/>
    </w:rPr>
  </w:style>
  <w:style w:type="paragraph" w:styleId="Nadpis3">
    <w:name w:val="heading 3"/>
    <w:basedOn w:val="Normln"/>
    <w:next w:val="Normln"/>
    <w:link w:val="Nadpis3Char"/>
    <w:uiPriority w:val="9"/>
    <w:unhideWhenUsed/>
    <w:qFormat/>
    <w:rsid w:val="007142C3"/>
    <w:pPr>
      <w:keepNext/>
      <w:keepLines/>
      <w:spacing w:before="200"/>
      <w:outlineLvl w:val="2"/>
    </w:pPr>
    <w:rPr>
      <w:rFonts w:eastAsiaTheme="majorEastAsi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iPriority w:val="99"/>
    <w:unhideWhenUsed/>
    <w:rsid w:val="006325F4"/>
    <w:pPr>
      <w:spacing w:line="240" w:lineRule="auto"/>
      <w:ind w:left="283" w:hanging="283"/>
      <w:jc w:val="left"/>
    </w:pPr>
    <w:rPr>
      <w:rFonts w:ascii="Times New Roman" w:hAnsi="Times New Roman" w:cs="Times New Roman"/>
      <w:szCs w:val="24"/>
      <w:lang w:eastAsia="cs-CZ"/>
    </w:rPr>
  </w:style>
  <w:style w:type="table" w:styleId="Mkatabulky">
    <w:name w:val="Table Grid"/>
    <w:basedOn w:val="Normlntabulka"/>
    <w:uiPriority w:val="59"/>
    <w:rsid w:val="00C3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13D70"/>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3D70"/>
    <w:rPr>
      <w:rFonts w:ascii="Tahoma" w:hAnsi="Tahoma" w:cs="Tahoma"/>
      <w:sz w:val="16"/>
      <w:szCs w:val="16"/>
    </w:rPr>
  </w:style>
  <w:style w:type="paragraph" w:styleId="Odstavecseseznamem">
    <w:name w:val="List Paragraph"/>
    <w:basedOn w:val="Normln"/>
    <w:uiPriority w:val="34"/>
    <w:qFormat/>
    <w:rsid w:val="00E337FD"/>
    <w:pPr>
      <w:ind w:left="720"/>
      <w:contextualSpacing/>
    </w:pPr>
  </w:style>
  <w:style w:type="paragraph" w:styleId="Textpoznpodarou">
    <w:name w:val="footnote text"/>
    <w:basedOn w:val="Normln"/>
    <w:link w:val="TextpoznpodarouChar"/>
    <w:uiPriority w:val="99"/>
    <w:semiHidden/>
    <w:unhideWhenUsed/>
    <w:rsid w:val="000E3262"/>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0E3262"/>
    <w:rPr>
      <w:rFonts w:ascii="Arial" w:hAnsi="Arial"/>
      <w:sz w:val="20"/>
      <w:szCs w:val="20"/>
    </w:rPr>
  </w:style>
  <w:style w:type="character" w:styleId="Znakapoznpodarou">
    <w:name w:val="footnote reference"/>
    <w:basedOn w:val="Standardnpsmoodstavce"/>
    <w:uiPriority w:val="99"/>
    <w:semiHidden/>
    <w:unhideWhenUsed/>
    <w:rsid w:val="000E3262"/>
    <w:rPr>
      <w:vertAlign w:val="superscript"/>
    </w:rPr>
  </w:style>
  <w:style w:type="paragraph" w:styleId="Zhlav">
    <w:name w:val="header"/>
    <w:basedOn w:val="Normln"/>
    <w:link w:val="ZhlavChar"/>
    <w:uiPriority w:val="99"/>
    <w:unhideWhenUsed/>
    <w:rsid w:val="005D3192"/>
    <w:pPr>
      <w:tabs>
        <w:tab w:val="center" w:pos="4536"/>
        <w:tab w:val="right" w:pos="9072"/>
      </w:tabs>
      <w:spacing w:line="240" w:lineRule="auto"/>
    </w:pPr>
  </w:style>
  <w:style w:type="character" w:customStyle="1" w:styleId="ZhlavChar">
    <w:name w:val="Záhlaví Char"/>
    <w:basedOn w:val="Standardnpsmoodstavce"/>
    <w:link w:val="Zhlav"/>
    <w:uiPriority w:val="99"/>
    <w:rsid w:val="005D3192"/>
    <w:rPr>
      <w:rFonts w:ascii="Arial" w:hAnsi="Arial"/>
      <w:sz w:val="24"/>
    </w:rPr>
  </w:style>
  <w:style w:type="paragraph" w:styleId="Zpat">
    <w:name w:val="footer"/>
    <w:basedOn w:val="Normln"/>
    <w:link w:val="ZpatChar"/>
    <w:uiPriority w:val="99"/>
    <w:unhideWhenUsed/>
    <w:rsid w:val="005D3192"/>
    <w:pPr>
      <w:tabs>
        <w:tab w:val="center" w:pos="4536"/>
        <w:tab w:val="right" w:pos="9072"/>
      </w:tabs>
      <w:spacing w:line="240" w:lineRule="auto"/>
    </w:pPr>
  </w:style>
  <w:style w:type="character" w:customStyle="1" w:styleId="ZpatChar">
    <w:name w:val="Zápatí Char"/>
    <w:basedOn w:val="Standardnpsmoodstavce"/>
    <w:link w:val="Zpat"/>
    <w:uiPriority w:val="99"/>
    <w:rsid w:val="005D3192"/>
    <w:rPr>
      <w:rFonts w:ascii="Arial" w:hAnsi="Arial"/>
      <w:sz w:val="24"/>
    </w:rPr>
  </w:style>
  <w:style w:type="paragraph" w:styleId="Titulek">
    <w:name w:val="caption"/>
    <w:basedOn w:val="Normln"/>
    <w:next w:val="Normln"/>
    <w:uiPriority w:val="35"/>
    <w:unhideWhenUsed/>
    <w:qFormat/>
    <w:rsid w:val="005D3192"/>
    <w:pPr>
      <w:spacing w:after="200" w:line="240" w:lineRule="auto"/>
    </w:pPr>
    <w:rPr>
      <w:b/>
      <w:bCs/>
      <w:color w:val="4F81BD" w:themeColor="accent1"/>
      <w:sz w:val="18"/>
      <w:szCs w:val="18"/>
    </w:rPr>
  </w:style>
  <w:style w:type="character" w:customStyle="1" w:styleId="Nadpis1Char">
    <w:name w:val="Nadpis 1 Char"/>
    <w:basedOn w:val="Standardnpsmoodstavce"/>
    <w:link w:val="Nadpis1"/>
    <w:uiPriority w:val="9"/>
    <w:rsid w:val="00BE624C"/>
    <w:rPr>
      <w:rFonts w:ascii="Arial" w:eastAsiaTheme="majorEastAsia" w:hAnsi="Arial" w:cstheme="majorBidi"/>
      <w:b/>
      <w:bCs/>
      <w:sz w:val="28"/>
      <w:szCs w:val="28"/>
      <w:u w:val="single"/>
    </w:rPr>
  </w:style>
  <w:style w:type="character" w:customStyle="1" w:styleId="Nadpis2Char">
    <w:name w:val="Nadpis 2 Char"/>
    <w:basedOn w:val="Standardnpsmoodstavce"/>
    <w:link w:val="Nadpis2"/>
    <w:uiPriority w:val="9"/>
    <w:rsid w:val="00BE624C"/>
    <w:rPr>
      <w:rFonts w:ascii="Arial" w:eastAsiaTheme="majorEastAsia" w:hAnsi="Arial" w:cstheme="majorBidi"/>
      <w:b/>
      <w:bCs/>
      <w:sz w:val="24"/>
      <w:szCs w:val="26"/>
      <w:u w:val="single"/>
    </w:rPr>
  </w:style>
  <w:style w:type="character" w:customStyle="1" w:styleId="Nadpis3Char">
    <w:name w:val="Nadpis 3 Char"/>
    <w:basedOn w:val="Standardnpsmoodstavce"/>
    <w:link w:val="Nadpis3"/>
    <w:uiPriority w:val="9"/>
    <w:rsid w:val="007142C3"/>
    <w:rPr>
      <w:rFonts w:ascii="Arial" w:eastAsiaTheme="majorEastAsia" w:hAnsi="Arial" w:cstheme="majorBidi"/>
      <w:b/>
      <w:bCs/>
      <w:sz w:val="24"/>
    </w:rPr>
  </w:style>
  <w:style w:type="paragraph" w:styleId="Nadpisobsahu">
    <w:name w:val="TOC Heading"/>
    <w:basedOn w:val="Nadpis1"/>
    <w:next w:val="Normln"/>
    <w:uiPriority w:val="39"/>
    <w:semiHidden/>
    <w:unhideWhenUsed/>
    <w:qFormat/>
    <w:rsid w:val="00C26633"/>
    <w:pPr>
      <w:jc w:val="left"/>
      <w:outlineLvl w:val="9"/>
    </w:pPr>
    <w:rPr>
      <w:rFonts w:asciiTheme="majorHAnsi" w:hAnsiTheme="majorHAnsi"/>
      <w:color w:val="365F91" w:themeColor="accent1" w:themeShade="BF"/>
      <w:u w:val="none"/>
      <w:lang w:eastAsia="cs-CZ"/>
    </w:rPr>
  </w:style>
  <w:style w:type="paragraph" w:styleId="Obsah1">
    <w:name w:val="toc 1"/>
    <w:basedOn w:val="Normln"/>
    <w:next w:val="Normln"/>
    <w:autoRedefine/>
    <w:uiPriority w:val="39"/>
    <w:unhideWhenUsed/>
    <w:rsid w:val="00C26633"/>
    <w:pPr>
      <w:spacing w:after="100"/>
    </w:pPr>
  </w:style>
  <w:style w:type="paragraph" w:styleId="Obsah2">
    <w:name w:val="toc 2"/>
    <w:basedOn w:val="Normln"/>
    <w:next w:val="Normln"/>
    <w:autoRedefine/>
    <w:uiPriority w:val="39"/>
    <w:unhideWhenUsed/>
    <w:rsid w:val="00C26633"/>
    <w:pPr>
      <w:spacing w:after="100"/>
      <w:ind w:left="240"/>
    </w:pPr>
  </w:style>
  <w:style w:type="paragraph" w:styleId="Obsah3">
    <w:name w:val="toc 3"/>
    <w:basedOn w:val="Normln"/>
    <w:next w:val="Normln"/>
    <w:autoRedefine/>
    <w:uiPriority w:val="39"/>
    <w:unhideWhenUsed/>
    <w:rsid w:val="00C26633"/>
    <w:pPr>
      <w:spacing w:after="100"/>
      <w:ind w:left="480"/>
    </w:pPr>
  </w:style>
  <w:style w:type="character" w:styleId="Hypertextovodkaz">
    <w:name w:val="Hyperlink"/>
    <w:basedOn w:val="Standardnpsmoodstavce"/>
    <w:uiPriority w:val="99"/>
    <w:unhideWhenUsed/>
    <w:rsid w:val="00C26633"/>
    <w:rPr>
      <w:color w:val="0000FF" w:themeColor="hyperlink"/>
      <w:u w:val="single"/>
    </w:rPr>
  </w:style>
  <w:style w:type="paragraph" w:styleId="Seznamobrzk">
    <w:name w:val="table of figures"/>
    <w:basedOn w:val="Normln"/>
    <w:next w:val="Normln"/>
    <w:uiPriority w:val="99"/>
    <w:unhideWhenUsed/>
    <w:rsid w:val="0086035C"/>
  </w:style>
  <w:style w:type="paragraph" w:styleId="Normlnweb">
    <w:name w:val="Normal (Web)"/>
    <w:basedOn w:val="Normln"/>
    <w:uiPriority w:val="99"/>
    <w:semiHidden/>
    <w:unhideWhenUsed/>
    <w:rsid w:val="00255C9E"/>
    <w:pPr>
      <w:spacing w:before="100" w:beforeAutospacing="1" w:after="100" w:afterAutospacing="1" w:line="240" w:lineRule="auto"/>
      <w:jc w:val="left"/>
    </w:pPr>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E276EB"/>
    <w:rPr>
      <w:sz w:val="16"/>
      <w:szCs w:val="16"/>
    </w:rPr>
  </w:style>
  <w:style w:type="paragraph" w:styleId="Textkomente">
    <w:name w:val="annotation text"/>
    <w:basedOn w:val="Normln"/>
    <w:link w:val="TextkomenteChar"/>
    <w:uiPriority w:val="99"/>
    <w:semiHidden/>
    <w:unhideWhenUsed/>
    <w:rsid w:val="00E276EB"/>
    <w:pPr>
      <w:spacing w:line="240" w:lineRule="auto"/>
    </w:pPr>
    <w:rPr>
      <w:sz w:val="20"/>
      <w:szCs w:val="20"/>
    </w:rPr>
  </w:style>
  <w:style w:type="character" w:customStyle="1" w:styleId="TextkomenteChar">
    <w:name w:val="Text komentáře Char"/>
    <w:basedOn w:val="Standardnpsmoodstavce"/>
    <w:link w:val="Textkomente"/>
    <w:uiPriority w:val="99"/>
    <w:semiHidden/>
    <w:rsid w:val="00E276EB"/>
    <w:rPr>
      <w:rFonts w:ascii="Arial" w:hAnsi="Arial"/>
      <w:sz w:val="20"/>
      <w:szCs w:val="20"/>
    </w:rPr>
  </w:style>
  <w:style w:type="paragraph" w:styleId="Pedmtkomente">
    <w:name w:val="annotation subject"/>
    <w:basedOn w:val="Textkomente"/>
    <w:next w:val="Textkomente"/>
    <w:link w:val="PedmtkomenteChar"/>
    <w:uiPriority w:val="99"/>
    <w:semiHidden/>
    <w:unhideWhenUsed/>
    <w:rsid w:val="00E276EB"/>
    <w:rPr>
      <w:b/>
      <w:bCs/>
    </w:rPr>
  </w:style>
  <w:style w:type="character" w:customStyle="1" w:styleId="PedmtkomenteChar">
    <w:name w:val="Předmět komentáře Char"/>
    <w:basedOn w:val="TextkomenteChar"/>
    <w:link w:val="Pedmtkomente"/>
    <w:uiPriority w:val="99"/>
    <w:semiHidden/>
    <w:rsid w:val="00E276EB"/>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005237">
      <w:bodyDiv w:val="1"/>
      <w:marLeft w:val="0"/>
      <w:marRight w:val="0"/>
      <w:marTop w:val="0"/>
      <w:marBottom w:val="0"/>
      <w:divBdr>
        <w:top w:val="none" w:sz="0" w:space="0" w:color="auto"/>
        <w:left w:val="none" w:sz="0" w:space="0" w:color="auto"/>
        <w:bottom w:val="none" w:sz="0" w:space="0" w:color="auto"/>
        <w:right w:val="none" w:sz="0" w:space="0" w:color="auto"/>
      </w:divBdr>
    </w:div>
    <w:div w:id="805200495">
      <w:bodyDiv w:val="1"/>
      <w:marLeft w:val="0"/>
      <w:marRight w:val="0"/>
      <w:marTop w:val="0"/>
      <w:marBottom w:val="0"/>
      <w:divBdr>
        <w:top w:val="none" w:sz="0" w:space="0" w:color="auto"/>
        <w:left w:val="none" w:sz="0" w:space="0" w:color="auto"/>
        <w:bottom w:val="none" w:sz="0" w:space="0" w:color="auto"/>
        <w:right w:val="none" w:sz="0" w:space="0" w:color="auto"/>
      </w:divBdr>
    </w:div>
    <w:div w:id="898440625">
      <w:bodyDiv w:val="1"/>
      <w:marLeft w:val="0"/>
      <w:marRight w:val="0"/>
      <w:marTop w:val="0"/>
      <w:marBottom w:val="0"/>
      <w:divBdr>
        <w:top w:val="none" w:sz="0" w:space="0" w:color="auto"/>
        <w:left w:val="none" w:sz="0" w:space="0" w:color="auto"/>
        <w:bottom w:val="none" w:sz="0" w:space="0" w:color="auto"/>
        <w:right w:val="none" w:sz="0" w:space="0" w:color="auto"/>
      </w:divBdr>
    </w:div>
    <w:div w:id="97533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file:///V:\o411\Dudek%20Pavel\Anal&#253;za%20nab&#237;dky%20a%20popt&#225;vky%20na%20trhu%20pr&#225;ce%202016\&#345;&#237;jen\NA%20pv\3_III_ANTP%20po%20VP&#344;.docx" TargetMode="External"/><Relationship Id="rId26" Type="http://schemas.openxmlformats.org/officeDocument/2006/relationships/chart" Target="charts/chart8.xml"/><Relationship Id="rId39"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3.xml"/><Relationship Id="rId34" Type="http://schemas.openxmlformats.org/officeDocument/2006/relationships/chart" Target="charts/chart16.xml"/><Relationship Id="rId42"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file:///V:\o411\Dudek%20Pavel\Anal&#253;za%20nab&#237;dky%20a%20popt&#225;vky%20na%20trhu%20pr&#225;ce%202016\&#345;&#237;jen\NA%20pv\3_III_ANTP%20po%20VP&#344;.docx" TargetMode="External"/><Relationship Id="rId25" Type="http://schemas.openxmlformats.org/officeDocument/2006/relationships/chart" Target="charts/chart7.xml"/><Relationship Id="rId33" Type="http://schemas.openxmlformats.org/officeDocument/2006/relationships/chart" Target="charts/chart15.xml"/><Relationship Id="rId38" Type="http://schemas.openxmlformats.org/officeDocument/2006/relationships/header" Target="header4.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V:\o411\Dudek%20Pavel\Anal&#253;za%20nab&#237;dky%20a%20popt&#225;vky%20na%20trhu%20pr&#225;ce%202016\&#345;&#237;jen\NA%20pv\3_III_ANTP%20po%20VP&#344;.docx" TargetMode="External"/><Relationship Id="rId20" Type="http://schemas.openxmlformats.org/officeDocument/2006/relationships/chart" Target="charts/chart2.xml"/><Relationship Id="rId29" Type="http://schemas.openxmlformats.org/officeDocument/2006/relationships/chart" Target="charts/chart11.xm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6.xml"/><Relationship Id="rId32" Type="http://schemas.openxmlformats.org/officeDocument/2006/relationships/chart" Target="charts/chart14.xml"/><Relationship Id="rId37" Type="http://schemas.openxmlformats.org/officeDocument/2006/relationships/footer" Target="footer3.xml"/><Relationship Id="rId40" Type="http://schemas.openxmlformats.org/officeDocument/2006/relationships/header" Target="header5.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V:\o411\Dudek%20Pavel\Anal&#253;za%20nab&#237;dky%20a%20popt&#225;vky%20na%20trhu%20pr&#225;ce%202016\&#345;&#237;jen\NA%20pv\3_III_ANTP%20po%20VP&#344;.docx" TargetMode="External"/><Relationship Id="rId23" Type="http://schemas.openxmlformats.org/officeDocument/2006/relationships/chart" Target="charts/chart5.xml"/><Relationship Id="rId28" Type="http://schemas.openxmlformats.org/officeDocument/2006/relationships/chart" Target="charts/chart10.xml"/><Relationship Id="rId36" Type="http://schemas.openxmlformats.org/officeDocument/2006/relationships/header" Target="header3.xml"/><Relationship Id="rId10" Type="http://schemas.openxmlformats.org/officeDocument/2006/relationships/header" Target="header1.xml"/><Relationship Id="rId19" Type="http://schemas.openxmlformats.org/officeDocument/2006/relationships/chart" Target="charts/chart1.xml"/><Relationship Id="rId31" Type="http://schemas.openxmlformats.org/officeDocument/2006/relationships/chart" Target="charts/chart13.xml"/><Relationship Id="rId44"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V:\o411\Dudek%20Pavel\Anal&#253;za%20nab&#237;dky%20a%20popt&#225;vky%20na%20trhu%20pr&#225;ce%202016\&#345;&#237;jen\NA%20pv\3_III_ANTP%20po%20VP&#344;.docx" TargetMode="External"/><Relationship Id="rId22" Type="http://schemas.openxmlformats.org/officeDocument/2006/relationships/chart" Target="charts/chart4.xml"/><Relationship Id="rId27" Type="http://schemas.openxmlformats.org/officeDocument/2006/relationships/chart" Target="charts/chart9.xml"/><Relationship Id="rId30" Type="http://schemas.openxmlformats.org/officeDocument/2006/relationships/chart" Target="charts/chart12.xml"/><Relationship Id="rId35" Type="http://schemas.openxmlformats.org/officeDocument/2006/relationships/chart" Target="charts/chart17.xml"/><Relationship Id="rId43" Type="http://schemas.openxmlformats.org/officeDocument/2006/relationships/header" Target="header7.xml"/></Relationships>
</file>

<file path=word/charts/_rels/chart1.xml.rels><?xml version="1.0" encoding="UTF-8" standalone="yes"?>
<Relationships xmlns="http://schemas.openxmlformats.org/package/2006/relationships"><Relationship Id="rId1" Type="http://schemas.openxmlformats.org/officeDocument/2006/relationships/oleObject" Target="file:///\\s-mpa-cls3-spo1.mpsvnet.mpsv.cz\spoldisk\SD_o410\o411\Dudek%20Pavel\Anal&#253;za%20nab&#237;dky%20a%20popt&#225;vky%20na%20trhu%20pr&#225;ce%202016\&#345;&#237;jen\data\data.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s-mpa-cls3-spo1.mpsvnet.mpsv.cz\spoldisk\SD_o410\o411\Dudek%20Pavel\v&#253;voj%20dlouhodob&#233;%20nezam&#283;stnanosti.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s-mpa-cls3-spo1.mpsvnet.mpsv.cz\spoldisk\SD_o410\o411\Dudek%20Pavel\v&#253;voj%20dlouhodob&#233;%20nezam&#283;stnanosti.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s-mpa-cls3-spo1.mpsvnet.mpsv.cz\spoldisk\SD_o410\o411\Dudek%20Pavel\v&#253;voj%20dlouhodob&#233;%20nezam&#283;stnanosti.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s-mpa-cls3-spo1.mpsvnet.mpsv.cz\spoldisk\SD_o410\o411\Dudek%20Pavel\v&#253;voj%20dlouhodob&#233;%20nezam&#283;stnanosti.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dudekp\AppData\Local\Microsoft\Windows\Temporary%20Internet%20Files\Content.Outlook\O1BCQM5W\Struktura%20LTU.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dudekp\AppData\Local\Microsoft\Windows\Temporary%20Internet%20Files\Content.Outlook\O1BCQM5W\Struktura%20LTU.xlsx" TargetMode="External"/></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18.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file:///\\s-mpa-cls3-spo1.mpsvnet.mpsv.cz\spoldisk\SD_o410\o411\Dudek%20Pavel\Anal&#253;za%20nab&#237;dky%20a%20popt&#225;vky%20na%20trhu%20pr&#225;ce%202016\&#345;&#237;jen\data\dat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mpa-cls3-spo1.mpsvnet.mpsv.cz\spoldisk\SD_o410\o411\Dudek%20Pavel\Anal&#253;za%20nab&#237;dky%20a%20popt&#225;vky%20na%20trhu%20pr&#225;ce%202016\&#345;&#237;jen\data\dat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mpa-cls3-spo1.mpsvnet.mpsv.cz\spoldisk\SD_o410\o411\Dudek%20Pavel\Anal&#253;za%20nab&#237;dky%20a%20popt&#225;vky%20na%20trhu%20pr&#225;ce%202016\&#345;&#237;jen\data\data.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6.xml.rels><?xml version="1.0" encoding="UTF-8" standalone="yes"?>
<Relationships xmlns="http://schemas.openxmlformats.org/package/2006/relationships"><Relationship Id="rId1" Type="http://schemas.openxmlformats.org/officeDocument/2006/relationships/oleObject" Target="file:///\\s-mpa-cls3-spo1.mpsvnet.mpsv.cz\spoldisk\SD_o410\o411\Dudek%20Pavel\Anal&#253;za%20nab&#237;dky%20a%20popt&#225;vky%20na%20trhu%20pr&#225;ce%202016\&#345;&#237;jen\data\dat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s-mpa-cls3-spo1.mpsvnet.mpsv.cz\spoldisk\SD_o410\o411\Dudek%20Pavel\Anal&#253;za%20nab&#237;dky%20a%20popt&#225;vky%20na%20trhu%20pr&#225;ce%202016\&#345;&#237;jen\data\dat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s-mpa-cls3-spo1.mpsvnet.mpsv.cz\spoldisk\SD_o410\o411\Dudek%20Pavel\Anal&#253;za%20nab&#237;dky%20a%20popt&#225;vky%20na%20trhu%20pr&#225;ce%202016\&#345;&#237;jen\data\data.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s-mpa-cls3-spoldisk\spoldisk\SD_o410\o411\Dudek%20Pavel\Anal&#253;za%20nab&#237;dky%20a%20popt&#225;vky%202015\&#250;nor%202016\aktualizace%20&#250;nor\Se&#353;it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0885115264206434E-2"/>
          <c:y val="0.19264585748698382"/>
          <c:w val="0.89521060620434489"/>
          <c:h val="0.70532292435289734"/>
        </c:manualLayout>
      </c:layout>
      <c:barChart>
        <c:barDir val="col"/>
        <c:grouping val="stacked"/>
        <c:varyColors val="0"/>
        <c:ser>
          <c:idx val="0"/>
          <c:order val="0"/>
          <c:tx>
            <c:strRef>
              <c:f>List2!$D$1</c:f>
              <c:strCache>
                <c:ptCount val="1"/>
                <c:pt idx="0">
                  <c:v>0-3</c:v>
                </c:pt>
              </c:strCache>
            </c:strRef>
          </c:tx>
          <c:invertIfNegative val="0"/>
          <c:cat>
            <c:strRef>
              <c:f>(List2!$B$3,List2!$B$13,List2!$B$21,List2!$B$28,List2!$B$34,List2!$B$40,List2!$B$45,List2!$B$52,List2!$B$57)</c:f>
              <c:strCache>
                <c:ptCount val="9"/>
                <c:pt idx="0">
                  <c:v>Zaměstnanci v ozbrojených silách</c:v>
                </c:pt>
                <c:pt idx="1">
                  <c:v>Specialisté</c:v>
                </c:pt>
                <c:pt idx="2">
                  <c:v>Techničtí a odborní pracovníci</c:v>
                </c:pt>
                <c:pt idx="3">
                  <c:v>Úředníci</c:v>
                </c:pt>
                <c:pt idx="4">
                  <c:v>Pracovníci ve službách a prodeji</c:v>
                </c:pt>
                <c:pt idx="5">
                  <c:v>Kvalifikovaní pracovníci v zem., les., ryb.</c:v>
                </c:pt>
                <c:pt idx="6">
                  <c:v>Řemeslníci a opraváři</c:v>
                </c:pt>
                <c:pt idx="7">
                  <c:v>Obsluha strojů a zařízení, montéři</c:v>
                </c:pt>
                <c:pt idx="8">
                  <c:v>Pomocní a nekvalifikovaní pracovníci</c:v>
                </c:pt>
              </c:strCache>
            </c:strRef>
          </c:cat>
          <c:val>
            <c:numRef>
              <c:f>(List2!$D$3,List2!$D$13,List2!$D$21,List2!$D$28,List2!$D$34,List2!$D$40,List2!$D$45,List2!$D$52,List2!$D$57)</c:f>
              <c:numCache>
                <c:formatCode>#,##0</c:formatCode>
                <c:ptCount val="9"/>
                <c:pt idx="0" formatCode="General">
                  <c:v>74</c:v>
                </c:pt>
                <c:pt idx="1">
                  <c:v>3506</c:v>
                </c:pt>
                <c:pt idx="2">
                  <c:v>5559</c:v>
                </c:pt>
                <c:pt idx="3">
                  <c:v>2873</c:v>
                </c:pt>
                <c:pt idx="4">
                  <c:v>10774</c:v>
                </c:pt>
                <c:pt idx="5" formatCode="General">
                  <c:v>419</c:v>
                </c:pt>
                <c:pt idx="6">
                  <c:v>11815</c:v>
                </c:pt>
                <c:pt idx="7">
                  <c:v>12784</c:v>
                </c:pt>
                <c:pt idx="8">
                  <c:v>12802</c:v>
                </c:pt>
              </c:numCache>
            </c:numRef>
          </c:val>
        </c:ser>
        <c:ser>
          <c:idx val="1"/>
          <c:order val="1"/>
          <c:tx>
            <c:strRef>
              <c:f>List2!$F$1</c:f>
              <c:strCache>
                <c:ptCount val="1"/>
                <c:pt idx="0">
                  <c:v>3-6</c:v>
                </c:pt>
              </c:strCache>
            </c:strRef>
          </c:tx>
          <c:spPr>
            <a:solidFill>
              <a:schemeClr val="tx2">
                <a:lumMod val="40000"/>
                <a:lumOff val="60000"/>
              </a:schemeClr>
            </a:solidFill>
          </c:spPr>
          <c:invertIfNegative val="0"/>
          <c:cat>
            <c:strRef>
              <c:f>(List2!$B$3,List2!$B$13,List2!$B$21,List2!$B$28,List2!$B$34,List2!$B$40,List2!$B$45,List2!$B$52,List2!$B$57)</c:f>
              <c:strCache>
                <c:ptCount val="9"/>
                <c:pt idx="0">
                  <c:v>Zaměstnanci v ozbrojených silách</c:v>
                </c:pt>
                <c:pt idx="1">
                  <c:v>Specialisté</c:v>
                </c:pt>
                <c:pt idx="2">
                  <c:v>Techničtí a odborní pracovníci</c:v>
                </c:pt>
                <c:pt idx="3">
                  <c:v>Úředníci</c:v>
                </c:pt>
                <c:pt idx="4">
                  <c:v>Pracovníci ve službách a prodeji</c:v>
                </c:pt>
                <c:pt idx="5">
                  <c:v>Kvalifikovaní pracovníci v zem., les., ryb.</c:v>
                </c:pt>
                <c:pt idx="6">
                  <c:v>Řemeslníci a opraváři</c:v>
                </c:pt>
                <c:pt idx="7">
                  <c:v>Obsluha strojů a zařízení, montéři</c:v>
                </c:pt>
                <c:pt idx="8">
                  <c:v>Pomocní a nekvalifikovaní pracovníci</c:v>
                </c:pt>
              </c:strCache>
            </c:strRef>
          </c:cat>
          <c:val>
            <c:numRef>
              <c:f>(List2!$F$3,List2!$F$13,List2!$F$21,List2!$F$28,List2!$F$34,List2!$F$40,List2!$F$45,List2!$F$52,List2!$F$57)</c:f>
              <c:numCache>
                <c:formatCode>#,##0</c:formatCode>
                <c:ptCount val="9"/>
                <c:pt idx="0" formatCode="General">
                  <c:v>0</c:v>
                </c:pt>
                <c:pt idx="1">
                  <c:v>2316</c:v>
                </c:pt>
                <c:pt idx="2">
                  <c:v>2424</c:v>
                </c:pt>
                <c:pt idx="3">
                  <c:v>1090</c:v>
                </c:pt>
                <c:pt idx="4">
                  <c:v>4938</c:v>
                </c:pt>
                <c:pt idx="5" formatCode="General">
                  <c:v>138</c:v>
                </c:pt>
                <c:pt idx="6">
                  <c:v>6513</c:v>
                </c:pt>
                <c:pt idx="7">
                  <c:v>7427</c:v>
                </c:pt>
                <c:pt idx="8">
                  <c:v>5388</c:v>
                </c:pt>
              </c:numCache>
            </c:numRef>
          </c:val>
        </c:ser>
        <c:ser>
          <c:idx val="2"/>
          <c:order val="2"/>
          <c:tx>
            <c:strRef>
              <c:f>List2!$H$1</c:f>
              <c:strCache>
                <c:ptCount val="1"/>
                <c:pt idx="0">
                  <c:v>6-12</c:v>
                </c:pt>
              </c:strCache>
            </c:strRef>
          </c:tx>
          <c:spPr>
            <a:solidFill>
              <a:schemeClr val="accent2">
                <a:lumMod val="40000"/>
                <a:lumOff val="60000"/>
              </a:schemeClr>
            </a:solidFill>
          </c:spPr>
          <c:invertIfNegative val="0"/>
          <c:cat>
            <c:strRef>
              <c:f>(List2!$B$3,List2!$B$13,List2!$B$21,List2!$B$28,List2!$B$34,List2!$B$40,List2!$B$45,List2!$B$52,List2!$B$57)</c:f>
              <c:strCache>
                <c:ptCount val="9"/>
                <c:pt idx="0">
                  <c:v>Zaměstnanci v ozbrojených silách</c:v>
                </c:pt>
                <c:pt idx="1">
                  <c:v>Specialisté</c:v>
                </c:pt>
                <c:pt idx="2">
                  <c:v>Techničtí a odborní pracovníci</c:v>
                </c:pt>
                <c:pt idx="3">
                  <c:v>Úředníci</c:v>
                </c:pt>
                <c:pt idx="4">
                  <c:v>Pracovníci ve službách a prodeji</c:v>
                </c:pt>
                <c:pt idx="5">
                  <c:v>Kvalifikovaní pracovníci v zem., les., ryb.</c:v>
                </c:pt>
                <c:pt idx="6">
                  <c:v>Řemeslníci a opraváři</c:v>
                </c:pt>
                <c:pt idx="7">
                  <c:v>Obsluha strojů a zařízení, montéři</c:v>
                </c:pt>
                <c:pt idx="8">
                  <c:v>Pomocní a nekvalifikovaní pracovníci</c:v>
                </c:pt>
              </c:strCache>
            </c:strRef>
          </c:cat>
          <c:val>
            <c:numRef>
              <c:f>(List2!$H$3,List2!$H$13,List2!$H$21,List2!$H$28,List2!$H$34,List2!$H$40,List2!$H$45,List2!$H$52,List2!$H$57)</c:f>
              <c:numCache>
                <c:formatCode>#,##0</c:formatCode>
                <c:ptCount val="9"/>
                <c:pt idx="0" formatCode="General">
                  <c:v>348</c:v>
                </c:pt>
                <c:pt idx="1">
                  <c:v>2365</c:v>
                </c:pt>
                <c:pt idx="2">
                  <c:v>1971</c:v>
                </c:pt>
                <c:pt idx="3" formatCode="General">
                  <c:v>784</c:v>
                </c:pt>
                <c:pt idx="4">
                  <c:v>3437</c:v>
                </c:pt>
                <c:pt idx="5" formatCode="General">
                  <c:v>163</c:v>
                </c:pt>
                <c:pt idx="6">
                  <c:v>5511</c:v>
                </c:pt>
                <c:pt idx="7">
                  <c:v>5559</c:v>
                </c:pt>
                <c:pt idx="8">
                  <c:v>3643</c:v>
                </c:pt>
              </c:numCache>
            </c:numRef>
          </c:val>
        </c:ser>
        <c:ser>
          <c:idx val="3"/>
          <c:order val="3"/>
          <c:tx>
            <c:strRef>
              <c:f>List2!$J$1</c:f>
              <c:strCache>
                <c:ptCount val="1"/>
                <c:pt idx="0">
                  <c:v>nad 12</c:v>
                </c:pt>
              </c:strCache>
            </c:strRef>
          </c:tx>
          <c:spPr>
            <a:solidFill>
              <a:schemeClr val="accent2">
                <a:lumMod val="60000"/>
                <a:lumOff val="40000"/>
              </a:schemeClr>
            </a:solidFill>
          </c:spPr>
          <c:invertIfNegative val="0"/>
          <c:cat>
            <c:strRef>
              <c:f>(List2!$B$3,List2!$B$13,List2!$B$21,List2!$B$28,List2!$B$34,List2!$B$40,List2!$B$45,List2!$B$52,List2!$B$57)</c:f>
              <c:strCache>
                <c:ptCount val="9"/>
                <c:pt idx="0">
                  <c:v>Zaměstnanci v ozbrojených silách</c:v>
                </c:pt>
                <c:pt idx="1">
                  <c:v>Specialisté</c:v>
                </c:pt>
                <c:pt idx="2">
                  <c:v>Techničtí a odborní pracovníci</c:v>
                </c:pt>
                <c:pt idx="3">
                  <c:v>Úředníci</c:v>
                </c:pt>
                <c:pt idx="4">
                  <c:v>Pracovníci ve službách a prodeji</c:v>
                </c:pt>
                <c:pt idx="5">
                  <c:v>Kvalifikovaní pracovníci v zem., les., ryb.</c:v>
                </c:pt>
                <c:pt idx="6">
                  <c:v>Řemeslníci a opraváři</c:v>
                </c:pt>
                <c:pt idx="7">
                  <c:v>Obsluha strojů a zařízení, montéři</c:v>
                </c:pt>
                <c:pt idx="8">
                  <c:v>Pomocní a nekvalifikovaní pracovníci</c:v>
                </c:pt>
              </c:strCache>
            </c:strRef>
          </c:cat>
          <c:val>
            <c:numRef>
              <c:f>(List2!$J$3,List2!$J$13,List2!$J$21,List2!$J$28,List2!$J$34,List2!$J$40,List2!$J$45,List2!$J$52,List2!$J$57)</c:f>
              <c:numCache>
                <c:formatCode>#,##0</c:formatCode>
                <c:ptCount val="9"/>
                <c:pt idx="0" formatCode="General">
                  <c:v>18</c:v>
                </c:pt>
                <c:pt idx="1">
                  <c:v>2017</c:v>
                </c:pt>
                <c:pt idx="2">
                  <c:v>1827</c:v>
                </c:pt>
                <c:pt idx="3">
                  <c:v>1034</c:v>
                </c:pt>
                <c:pt idx="4">
                  <c:v>3126</c:v>
                </c:pt>
                <c:pt idx="5" formatCode="General">
                  <c:v>132</c:v>
                </c:pt>
                <c:pt idx="6">
                  <c:v>5711</c:v>
                </c:pt>
                <c:pt idx="7">
                  <c:v>5638</c:v>
                </c:pt>
                <c:pt idx="8">
                  <c:v>5496</c:v>
                </c:pt>
              </c:numCache>
            </c:numRef>
          </c:val>
        </c:ser>
        <c:dLbls>
          <c:showLegendKey val="0"/>
          <c:showVal val="0"/>
          <c:showCatName val="0"/>
          <c:showSerName val="0"/>
          <c:showPercent val="0"/>
          <c:showBubbleSize val="0"/>
        </c:dLbls>
        <c:gapWidth val="150"/>
        <c:overlap val="100"/>
        <c:axId val="164509952"/>
        <c:axId val="164515840"/>
      </c:barChart>
      <c:catAx>
        <c:axId val="164509952"/>
        <c:scaling>
          <c:orientation val="minMax"/>
        </c:scaling>
        <c:delete val="0"/>
        <c:axPos val="b"/>
        <c:majorTickMark val="out"/>
        <c:minorTickMark val="none"/>
        <c:tickLblPos val="nextTo"/>
        <c:txPr>
          <a:bodyPr rot="0" vert="horz"/>
          <a:lstStyle/>
          <a:p>
            <a:pPr>
              <a:defRPr sz="800"/>
            </a:pPr>
            <a:endParaRPr lang="cs-CZ"/>
          </a:p>
        </c:txPr>
        <c:crossAx val="164515840"/>
        <c:crosses val="autoZero"/>
        <c:auto val="1"/>
        <c:lblAlgn val="ctr"/>
        <c:lblOffset val="100"/>
        <c:noMultiLvlLbl val="0"/>
      </c:catAx>
      <c:valAx>
        <c:axId val="164515840"/>
        <c:scaling>
          <c:orientation val="minMax"/>
        </c:scaling>
        <c:delete val="0"/>
        <c:axPos val="l"/>
        <c:majorGridlines/>
        <c:numFmt formatCode="General" sourceLinked="1"/>
        <c:majorTickMark val="out"/>
        <c:minorTickMark val="none"/>
        <c:tickLblPos val="nextTo"/>
        <c:txPr>
          <a:bodyPr/>
          <a:lstStyle/>
          <a:p>
            <a:pPr>
              <a:defRPr sz="800"/>
            </a:pPr>
            <a:endParaRPr lang="cs-CZ"/>
          </a:p>
        </c:txPr>
        <c:crossAx val="164509952"/>
        <c:crosses val="autoZero"/>
        <c:crossBetween val="between"/>
        <c:dispUnits>
          <c:builtInUnit val="thousands"/>
          <c:dispUnitsLbl>
            <c:layout>
              <c:manualLayout>
                <c:xMode val="edge"/>
                <c:yMode val="edge"/>
                <c:x val="1.2048192771084338E-2"/>
                <c:y val="0.12048514519825214"/>
              </c:manualLayout>
            </c:layout>
            <c:txPr>
              <a:bodyPr rot="0" vert="horz"/>
              <a:lstStyle/>
              <a:p>
                <a:pPr>
                  <a:defRPr sz="800"/>
                </a:pPr>
                <a:endParaRPr lang="cs-CZ"/>
              </a:p>
            </c:txPr>
          </c:dispUnitsLbl>
        </c:dispUnits>
      </c:valAx>
    </c:plotArea>
    <c:legend>
      <c:legendPos val="t"/>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areaChart>
        <c:grouping val="stacked"/>
        <c:varyColors val="0"/>
        <c:ser>
          <c:idx val="0"/>
          <c:order val="0"/>
          <c:tx>
            <c:strRef>
              <c:f>List1!$B$2</c:f>
              <c:strCache>
                <c:ptCount val="1"/>
                <c:pt idx="0">
                  <c:v>nad 24M</c:v>
                </c:pt>
              </c:strCache>
            </c:strRef>
          </c:tx>
          <c:cat>
            <c:strRef>
              <c:f>List1!$A$3:$A$37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List1!$B$3:$B$37</c:f>
              <c:numCache>
                <c:formatCode>General</c:formatCode>
                <c:ptCount val="35"/>
                <c:pt idx="0">
                  <c:v>85315</c:v>
                </c:pt>
                <c:pt idx="1">
                  <c:v>76595</c:v>
                </c:pt>
                <c:pt idx="2">
                  <c:v>71332</c:v>
                </c:pt>
                <c:pt idx="3">
                  <c:v>67823</c:v>
                </c:pt>
                <c:pt idx="4">
                  <c:v>62470</c:v>
                </c:pt>
                <c:pt idx="5">
                  <c:v>65567</c:v>
                </c:pt>
                <c:pt idx="6">
                  <c:v>62014</c:v>
                </c:pt>
                <c:pt idx="7">
                  <c:v>62431</c:v>
                </c:pt>
                <c:pt idx="8">
                  <c:v>64966</c:v>
                </c:pt>
                <c:pt idx="9">
                  <c:v>67203</c:v>
                </c:pt>
                <c:pt idx="10">
                  <c:v>72510</c:v>
                </c:pt>
                <c:pt idx="11">
                  <c:v>79321</c:v>
                </c:pt>
                <c:pt idx="12">
                  <c:v>89450</c:v>
                </c:pt>
                <c:pt idx="13">
                  <c:v>94779</c:v>
                </c:pt>
                <c:pt idx="14">
                  <c:v>98637</c:v>
                </c:pt>
                <c:pt idx="15">
                  <c:v>101783</c:v>
                </c:pt>
                <c:pt idx="16">
                  <c:v>105482</c:v>
                </c:pt>
                <c:pt idx="17">
                  <c:v>103972</c:v>
                </c:pt>
                <c:pt idx="18">
                  <c:v>105256</c:v>
                </c:pt>
                <c:pt idx="19">
                  <c:v>110164</c:v>
                </c:pt>
                <c:pt idx="20">
                  <c:v>114674</c:v>
                </c:pt>
                <c:pt idx="21">
                  <c:v>117075</c:v>
                </c:pt>
                <c:pt idx="22">
                  <c:v>123691</c:v>
                </c:pt>
                <c:pt idx="23">
                  <c:v>130806</c:v>
                </c:pt>
                <c:pt idx="24">
                  <c:v>139225</c:v>
                </c:pt>
                <c:pt idx="25">
                  <c:v>140360</c:v>
                </c:pt>
                <c:pt idx="26">
                  <c:v>143398</c:v>
                </c:pt>
                <c:pt idx="27">
                  <c:v>146477</c:v>
                </c:pt>
                <c:pt idx="28">
                  <c:v>148386</c:v>
                </c:pt>
                <c:pt idx="29">
                  <c:v>139852</c:v>
                </c:pt>
                <c:pt idx="30">
                  <c:v>134865</c:v>
                </c:pt>
                <c:pt idx="31">
                  <c:v>129323</c:v>
                </c:pt>
                <c:pt idx="32">
                  <c:v>125268</c:v>
                </c:pt>
                <c:pt idx="33">
                  <c:v>114122</c:v>
                </c:pt>
                <c:pt idx="34">
                  <c:v>106843</c:v>
                </c:pt>
              </c:numCache>
            </c:numRef>
          </c:val>
        </c:ser>
        <c:ser>
          <c:idx val="1"/>
          <c:order val="1"/>
          <c:tx>
            <c:strRef>
              <c:f>List1!$C$2</c:f>
              <c:strCache>
                <c:ptCount val="1"/>
                <c:pt idx="0">
                  <c:v>12-24M</c:v>
                </c:pt>
              </c:strCache>
            </c:strRef>
          </c:tx>
          <c:spPr>
            <a:ln w="25400">
              <a:noFill/>
            </a:ln>
          </c:spPr>
          <c:cat>
            <c:strRef>
              <c:f>List1!$A$3:$A$37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List1!$C$3:$C$37</c:f>
              <c:numCache>
                <c:formatCode>General</c:formatCode>
                <c:ptCount val="35"/>
                <c:pt idx="0">
                  <c:v>42055</c:v>
                </c:pt>
                <c:pt idx="1">
                  <c:v>36410</c:v>
                </c:pt>
                <c:pt idx="2">
                  <c:v>34308</c:v>
                </c:pt>
                <c:pt idx="3">
                  <c:v>33701</c:v>
                </c:pt>
                <c:pt idx="4">
                  <c:v>38827</c:v>
                </c:pt>
                <c:pt idx="5">
                  <c:v>35844</c:v>
                </c:pt>
                <c:pt idx="6">
                  <c:v>48191</c:v>
                </c:pt>
                <c:pt idx="7">
                  <c:v>61442</c:v>
                </c:pt>
                <c:pt idx="8">
                  <c:v>85241</c:v>
                </c:pt>
                <c:pt idx="9">
                  <c:v>93581</c:v>
                </c:pt>
                <c:pt idx="10">
                  <c:v>99847</c:v>
                </c:pt>
                <c:pt idx="11">
                  <c:v>99160</c:v>
                </c:pt>
                <c:pt idx="12">
                  <c:v>93836</c:v>
                </c:pt>
                <c:pt idx="13">
                  <c:v>83704</c:v>
                </c:pt>
                <c:pt idx="14">
                  <c:v>79049</c:v>
                </c:pt>
                <c:pt idx="15">
                  <c:v>82347</c:v>
                </c:pt>
                <c:pt idx="16">
                  <c:v>80169</c:v>
                </c:pt>
                <c:pt idx="17">
                  <c:v>76995</c:v>
                </c:pt>
                <c:pt idx="18">
                  <c:v>80831</c:v>
                </c:pt>
                <c:pt idx="19">
                  <c:v>82070</c:v>
                </c:pt>
                <c:pt idx="20">
                  <c:v>92539</c:v>
                </c:pt>
                <c:pt idx="21">
                  <c:v>93558</c:v>
                </c:pt>
                <c:pt idx="22">
                  <c:v>101106</c:v>
                </c:pt>
                <c:pt idx="23">
                  <c:v>106175</c:v>
                </c:pt>
                <c:pt idx="24">
                  <c:v>112344</c:v>
                </c:pt>
                <c:pt idx="25">
                  <c:v>103052</c:v>
                </c:pt>
                <c:pt idx="26">
                  <c:v>98219</c:v>
                </c:pt>
                <c:pt idx="27">
                  <c:v>90688</c:v>
                </c:pt>
                <c:pt idx="28">
                  <c:v>82555</c:v>
                </c:pt>
                <c:pt idx="29">
                  <c:v>70538</c:v>
                </c:pt>
                <c:pt idx="30">
                  <c:v>64090</c:v>
                </c:pt>
                <c:pt idx="31">
                  <c:v>58232</c:v>
                </c:pt>
                <c:pt idx="32">
                  <c:v>55734</c:v>
                </c:pt>
                <c:pt idx="33">
                  <c:v>49266</c:v>
                </c:pt>
                <c:pt idx="34">
                  <c:v>47430</c:v>
                </c:pt>
              </c:numCache>
            </c:numRef>
          </c:val>
        </c:ser>
        <c:ser>
          <c:idx val="2"/>
          <c:order val="2"/>
          <c:tx>
            <c:strRef>
              <c:f>List1!$D$2</c:f>
              <c:strCache>
                <c:ptCount val="1"/>
                <c:pt idx="0">
                  <c:v>do 12M</c:v>
                </c:pt>
              </c:strCache>
            </c:strRef>
          </c:tx>
          <c:spPr>
            <a:ln w="25400">
              <a:noFill/>
            </a:ln>
          </c:spPr>
          <c:cat>
            <c:strRef>
              <c:f>List1!$A$3:$A$37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List1!$D$3:$D$37</c:f>
              <c:numCache>
                <c:formatCode>General</c:formatCode>
                <c:ptCount val="35"/>
                <c:pt idx="0">
                  <c:v>208927</c:v>
                </c:pt>
                <c:pt idx="1">
                  <c:v>184875</c:v>
                </c:pt>
                <c:pt idx="2">
                  <c:v>208918</c:v>
                </c:pt>
                <c:pt idx="3">
                  <c:v>250726</c:v>
                </c:pt>
                <c:pt idx="4">
                  <c:v>362258</c:v>
                </c:pt>
                <c:pt idx="5">
                  <c:v>347501</c:v>
                </c:pt>
                <c:pt idx="6">
                  <c:v>390607</c:v>
                </c:pt>
                <c:pt idx="7">
                  <c:v>415263</c:v>
                </c:pt>
                <c:pt idx="8">
                  <c:v>422617</c:v>
                </c:pt>
                <c:pt idx="9">
                  <c:v>339716</c:v>
                </c:pt>
                <c:pt idx="10">
                  <c:v>328124</c:v>
                </c:pt>
                <c:pt idx="11">
                  <c:v>383070</c:v>
                </c:pt>
                <c:pt idx="12">
                  <c:v>364476</c:v>
                </c:pt>
                <c:pt idx="13">
                  <c:v>300292</c:v>
                </c:pt>
                <c:pt idx="14">
                  <c:v>297428</c:v>
                </c:pt>
                <c:pt idx="15">
                  <c:v>324321</c:v>
                </c:pt>
                <c:pt idx="16">
                  <c:v>339529</c:v>
                </c:pt>
                <c:pt idx="17">
                  <c:v>293619</c:v>
                </c:pt>
                <c:pt idx="18">
                  <c:v>307098</c:v>
                </c:pt>
                <c:pt idx="19">
                  <c:v>353077</c:v>
                </c:pt>
                <c:pt idx="20">
                  <c:v>380555</c:v>
                </c:pt>
                <c:pt idx="21">
                  <c:v>329840</c:v>
                </c:pt>
                <c:pt idx="22">
                  <c:v>332261</c:v>
                </c:pt>
                <c:pt idx="23">
                  <c:v>359852</c:v>
                </c:pt>
                <c:pt idx="24">
                  <c:v>356746</c:v>
                </c:pt>
                <c:pt idx="25">
                  <c:v>293767</c:v>
                </c:pt>
                <c:pt idx="26">
                  <c:v>287481</c:v>
                </c:pt>
                <c:pt idx="27">
                  <c:v>304749</c:v>
                </c:pt>
                <c:pt idx="28">
                  <c:v>294374</c:v>
                </c:pt>
                <c:pt idx="29">
                  <c:v>241005</c:v>
                </c:pt>
                <c:pt idx="30">
                  <c:v>242937</c:v>
                </c:pt>
                <c:pt idx="31">
                  <c:v>265563</c:v>
                </c:pt>
                <c:pt idx="32">
                  <c:v>262107</c:v>
                </c:pt>
                <c:pt idx="33">
                  <c:v>220940</c:v>
                </c:pt>
                <c:pt idx="34">
                  <c:v>223985</c:v>
                </c:pt>
              </c:numCache>
            </c:numRef>
          </c:val>
        </c:ser>
        <c:dLbls>
          <c:showLegendKey val="0"/>
          <c:showVal val="0"/>
          <c:showCatName val="0"/>
          <c:showSerName val="0"/>
          <c:showPercent val="0"/>
          <c:showBubbleSize val="0"/>
        </c:dLbls>
        <c:axId val="172444288"/>
        <c:axId val="172446080"/>
      </c:areaChart>
      <c:catAx>
        <c:axId val="172444288"/>
        <c:scaling>
          <c:orientation val="minMax"/>
        </c:scaling>
        <c:delete val="0"/>
        <c:axPos val="b"/>
        <c:majorTickMark val="out"/>
        <c:minorTickMark val="none"/>
        <c:tickLblPos val="nextTo"/>
        <c:crossAx val="172446080"/>
        <c:crosses val="autoZero"/>
        <c:auto val="1"/>
        <c:lblAlgn val="ctr"/>
        <c:lblOffset val="100"/>
        <c:noMultiLvlLbl val="0"/>
      </c:catAx>
      <c:valAx>
        <c:axId val="172446080"/>
        <c:scaling>
          <c:orientation val="minMax"/>
          <c:max val="650000"/>
          <c:min val="0"/>
        </c:scaling>
        <c:delete val="0"/>
        <c:axPos val="l"/>
        <c:majorGridlines/>
        <c:numFmt formatCode="General" sourceLinked="1"/>
        <c:majorTickMark val="out"/>
        <c:minorTickMark val="none"/>
        <c:tickLblPos val="nextTo"/>
        <c:crossAx val="172444288"/>
        <c:crosses val="autoZero"/>
        <c:crossBetween val="midCat"/>
      </c:valAx>
    </c:plotArea>
    <c:legend>
      <c:legendPos val="r"/>
      <c:layout/>
      <c:overlay val="0"/>
    </c:legend>
    <c:plotVisOnly val="1"/>
    <c:dispBlanksAs val="zero"/>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List1!$B$2</c:f>
              <c:strCache>
                <c:ptCount val="1"/>
                <c:pt idx="0">
                  <c:v>nad 24M</c:v>
                </c:pt>
              </c:strCache>
            </c:strRef>
          </c:tx>
          <c:marker>
            <c:symbol val="none"/>
          </c:marker>
          <c:cat>
            <c:strRef>
              <c:f>List1!$A$3:$A$37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List1!$B$3:$B$37</c:f>
              <c:numCache>
                <c:formatCode>General</c:formatCode>
                <c:ptCount val="35"/>
                <c:pt idx="0">
                  <c:v>85315</c:v>
                </c:pt>
                <c:pt idx="1">
                  <c:v>76595</c:v>
                </c:pt>
                <c:pt idx="2">
                  <c:v>71332</c:v>
                </c:pt>
                <c:pt idx="3">
                  <c:v>67823</c:v>
                </c:pt>
                <c:pt idx="4">
                  <c:v>62470</c:v>
                </c:pt>
                <c:pt idx="5">
                  <c:v>65567</c:v>
                </c:pt>
                <c:pt idx="6">
                  <c:v>62014</c:v>
                </c:pt>
                <c:pt idx="7">
                  <c:v>62431</c:v>
                </c:pt>
                <c:pt idx="8">
                  <c:v>64966</c:v>
                </c:pt>
                <c:pt idx="9">
                  <c:v>67203</c:v>
                </c:pt>
                <c:pt idx="10">
                  <c:v>72510</c:v>
                </c:pt>
                <c:pt idx="11">
                  <c:v>79321</c:v>
                </c:pt>
                <c:pt idx="12">
                  <c:v>89450</c:v>
                </c:pt>
                <c:pt idx="13">
                  <c:v>94779</c:v>
                </c:pt>
                <c:pt idx="14">
                  <c:v>98637</c:v>
                </c:pt>
                <c:pt idx="15">
                  <c:v>101783</c:v>
                </c:pt>
                <c:pt idx="16">
                  <c:v>105482</c:v>
                </c:pt>
                <c:pt idx="17">
                  <c:v>103972</c:v>
                </c:pt>
                <c:pt idx="18">
                  <c:v>105256</c:v>
                </c:pt>
                <c:pt idx="19">
                  <c:v>110164</c:v>
                </c:pt>
                <c:pt idx="20">
                  <c:v>114674</c:v>
                </c:pt>
                <c:pt idx="21">
                  <c:v>117075</c:v>
                </c:pt>
                <c:pt idx="22">
                  <c:v>123691</c:v>
                </c:pt>
                <c:pt idx="23">
                  <c:v>130806</c:v>
                </c:pt>
                <c:pt idx="24">
                  <c:v>139225</c:v>
                </c:pt>
                <c:pt idx="25">
                  <c:v>140360</c:v>
                </c:pt>
                <c:pt idx="26">
                  <c:v>143398</c:v>
                </c:pt>
                <c:pt idx="27">
                  <c:v>146477</c:v>
                </c:pt>
                <c:pt idx="28">
                  <c:v>148386</c:v>
                </c:pt>
                <c:pt idx="29">
                  <c:v>139852</c:v>
                </c:pt>
                <c:pt idx="30">
                  <c:v>134865</c:v>
                </c:pt>
                <c:pt idx="31">
                  <c:v>129323</c:v>
                </c:pt>
                <c:pt idx="32">
                  <c:v>125268</c:v>
                </c:pt>
                <c:pt idx="33">
                  <c:v>114122</c:v>
                </c:pt>
                <c:pt idx="34">
                  <c:v>106843</c:v>
                </c:pt>
              </c:numCache>
            </c:numRef>
          </c:val>
          <c:smooth val="0"/>
        </c:ser>
        <c:ser>
          <c:idx val="1"/>
          <c:order val="1"/>
          <c:tx>
            <c:strRef>
              <c:f>List1!$C$2</c:f>
              <c:strCache>
                <c:ptCount val="1"/>
                <c:pt idx="0">
                  <c:v>12-24M</c:v>
                </c:pt>
              </c:strCache>
            </c:strRef>
          </c:tx>
          <c:marker>
            <c:symbol val="none"/>
          </c:marker>
          <c:cat>
            <c:strRef>
              <c:f>List1!$A$3:$A$37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List1!$C$3:$C$37</c:f>
              <c:numCache>
                <c:formatCode>General</c:formatCode>
                <c:ptCount val="35"/>
                <c:pt idx="0">
                  <c:v>42055</c:v>
                </c:pt>
                <c:pt idx="1">
                  <c:v>36410</c:v>
                </c:pt>
                <c:pt idx="2">
                  <c:v>34308</c:v>
                </c:pt>
                <c:pt idx="3">
                  <c:v>33701</c:v>
                </c:pt>
                <c:pt idx="4">
                  <c:v>38827</c:v>
                </c:pt>
                <c:pt idx="5">
                  <c:v>35844</c:v>
                </c:pt>
                <c:pt idx="6">
                  <c:v>48191</c:v>
                </c:pt>
                <c:pt idx="7">
                  <c:v>61442</c:v>
                </c:pt>
                <c:pt idx="8">
                  <c:v>85241</c:v>
                </c:pt>
                <c:pt idx="9">
                  <c:v>93581</c:v>
                </c:pt>
                <c:pt idx="10">
                  <c:v>99847</c:v>
                </c:pt>
                <c:pt idx="11">
                  <c:v>99160</c:v>
                </c:pt>
                <c:pt idx="12">
                  <c:v>93836</c:v>
                </c:pt>
                <c:pt idx="13">
                  <c:v>83704</c:v>
                </c:pt>
                <c:pt idx="14">
                  <c:v>79049</c:v>
                </c:pt>
                <c:pt idx="15">
                  <c:v>82347</c:v>
                </c:pt>
                <c:pt idx="16">
                  <c:v>80169</c:v>
                </c:pt>
                <c:pt idx="17">
                  <c:v>76995</c:v>
                </c:pt>
                <c:pt idx="18">
                  <c:v>80831</c:v>
                </c:pt>
                <c:pt idx="19">
                  <c:v>82070</c:v>
                </c:pt>
                <c:pt idx="20">
                  <c:v>92539</c:v>
                </c:pt>
                <c:pt idx="21">
                  <c:v>93558</c:v>
                </c:pt>
                <c:pt idx="22">
                  <c:v>101106</c:v>
                </c:pt>
                <c:pt idx="23">
                  <c:v>106175</c:v>
                </c:pt>
                <c:pt idx="24">
                  <c:v>112344</c:v>
                </c:pt>
                <c:pt idx="25">
                  <c:v>103052</c:v>
                </c:pt>
                <c:pt idx="26">
                  <c:v>98219</c:v>
                </c:pt>
                <c:pt idx="27">
                  <c:v>90688</c:v>
                </c:pt>
                <c:pt idx="28">
                  <c:v>82555</c:v>
                </c:pt>
                <c:pt idx="29">
                  <c:v>70538</c:v>
                </c:pt>
                <c:pt idx="30">
                  <c:v>64090</c:v>
                </c:pt>
                <c:pt idx="31">
                  <c:v>58232</c:v>
                </c:pt>
                <c:pt idx="32">
                  <c:v>55734</c:v>
                </c:pt>
                <c:pt idx="33">
                  <c:v>49266</c:v>
                </c:pt>
                <c:pt idx="34">
                  <c:v>47430</c:v>
                </c:pt>
              </c:numCache>
            </c:numRef>
          </c:val>
          <c:smooth val="0"/>
        </c:ser>
        <c:ser>
          <c:idx val="2"/>
          <c:order val="2"/>
          <c:tx>
            <c:strRef>
              <c:f>List1!$D$2</c:f>
              <c:strCache>
                <c:ptCount val="1"/>
                <c:pt idx="0">
                  <c:v>do 12M</c:v>
                </c:pt>
              </c:strCache>
            </c:strRef>
          </c:tx>
          <c:marker>
            <c:symbol val="none"/>
          </c:marker>
          <c:cat>
            <c:strRef>
              <c:f>List1!$A$3:$A$37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List1!$D$3:$D$37</c:f>
              <c:numCache>
                <c:formatCode>General</c:formatCode>
                <c:ptCount val="35"/>
                <c:pt idx="0">
                  <c:v>208927</c:v>
                </c:pt>
                <c:pt idx="1">
                  <c:v>184875</c:v>
                </c:pt>
                <c:pt idx="2">
                  <c:v>208918</c:v>
                </c:pt>
                <c:pt idx="3">
                  <c:v>250726</c:v>
                </c:pt>
                <c:pt idx="4">
                  <c:v>362258</c:v>
                </c:pt>
                <c:pt idx="5">
                  <c:v>347501</c:v>
                </c:pt>
                <c:pt idx="6">
                  <c:v>390607</c:v>
                </c:pt>
                <c:pt idx="7">
                  <c:v>415263</c:v>
                </c:pt>
                <c:pt idx="8">
                  <c:v>422617</c:v>
                </c:pt>
                <c:pt idx="9">
                  <c:v>339716</c:v>
                </c:pt>
                <c:pt idx="10">
                  <c:v>328124</c:v>
                </c:pt>
                <c:pt idx="11">
                  <c:v>383070</c:v>
                </c:pt>
                <c:pt idx="12">
                  <c:v>364476</c:v>
                </c:pt>
                <c:pt idx="13">
                  <c:v>300292</c:v>
                </c:pt>
                <c:pt idx="14">
                  <c:v>297428</c:v>
                </c:pt>
                <c:pt idx="15">
                  <c:v>324321</c:v>
                </c:pt>
                <c:pt idx="16">
                  <c:v>339529</c:v>
                </c:pt>
                <c:pt idx="17">
                  <c:v>293619</c:v>
                </c:pt>
                <c:pt idx="18">
                  <c:v>307098</c:v>
                </c:pt>
                <c:pt idx="19">
                  <c:v>353077</c:v>
                </c:pt>
                <c:pt idx="20">
                  <c:v>380555</c:v>
                </c:pt>
                <c:pt idx="21">
                  <c:v>329840</c:v>
                </c:pt>
                <c:pt idx="22">
                  <c:v>332261</c:v>
                </c:pt>
                <c:pt idx="23">
                  <c:v>359852</c:v>
                </c:pt>
                <c:pt idx="24">
                  <c:v>356746</c:v>
                </c:pt>
                <c:pt idx="25">
                  <c:v>293767</c:v>
                </c:pt>
                <c:pt idx="26">
                  <c:v>287481</c:v>
                </c:pt>
                <c:pt idx="27">
                  <c:v>304749</c:v>
                </c:pt>
                <c:pt idx="28">
                  <c:v>294374</c:v>
                </c:pt>
                <c:pt idx="29">
                  <c:v>241005</c:v>
                </c:pt>
                <c:pt idx="30">
                  <c:v>242937</c:v>
                </c:pt>
                <c:pt idx="31">
                  <c:v>265563</c:v>
                </c:pt>
                <c:pt idx="32">
                  <c:v>262107</c:v>
                </c:pt>
                <c:pt idx="33">
                  <c:v>220940</c:v>
                </c:pt>
                <c:pt idx="34">
                  <c:v>223985</c:v>
                </c:pt>
              </c:numCache>
            </c:numRef>
          </c:val>
          <c:smooth val="0"/>
        </c:ser>
        <c:dLbls>
          <c:showLegendKey val="0"/>
          <c:showVal val="0"/>
          <c:showCatName val="0"/>
          <c:showSerName val="0"/>
          <c:showPercent val="0"/>
          <c:showBubbleSize val="0"/>
        </c:dLbls>
        <c:marker val="1"/>
        <c:smooth val="0"/>
        <c:axId val="172472576"/>
        <c:axId val="172474368"/>
      </c:lineChart>
      <c:catAx>
        <c:axId val="172472576"/>
        <c:scaling>
          <c:orientation val="minMax"/>
        </c:scaling>
        <c:delete val="0"/>
        <c:axPos val="b"/>
        <c:majorTickMark val="out"/>
        <c:minorTickMark val="none"/>
        <c:tickLblPos val="nextTo"/>
        <c:crossAx val="172474368"/>
        <c:crosses val="autoZero"/>
        <c:auto val="1"/>
        <c:lblAlgn val="ctr"/>
        <c:lblOffset val="100"/>
        <c:noMultiLvlLbl val="0"/>
      </c:catAx>
      <c:valAx>
        <c:axId val="172474368"/>
        <c:scaling>
          <c:orientation val="minMax"/>
        </c:scaling>
        <c:delete val="0"/>
        <c:axPos val="l"/>
        <c:majorGridlines/>
        <c:numFmt formatCode="General" sourceLinked="1"/>
        <c:majorTickMark val="out"/>
        <c:minorTickMark val="none"/>
        <c:tickLblPos val="nextTo"/>
        <c:crossAx val="17247257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List1!$I$2</c:f>
              <c:strCache>
                <c:ptCount val="1"/>
                <c:pt idx="0">
                  <c:v>nad 24M</c:v>
                </c:pt>
              </c:strCache>
            </c:strRef>
          </c:tx>
          <c:invertIfNegative val="0"/>
          <c:cat>
            <c:strRef>
              <c:f>List1!$H$3:$H$37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List1!$I$3:$I$37</c:f>
              <c:numCache>
                <c:formatCode>0.00</c:formatCode>
                <c:ptCount val="35"/>
                <c:pt idx="1">
                  <c:v>-10.220945906347067</c:v>
                </c:pt>
                <c:pt idx="2">
                  <c:v>-6.8712056922775631</c:v>
                </c:pt>
                <c:pt idx="3">
                  <c:v>-4.9192508271182636</c:v>
                </c:pt>
                <c:pt idx="4">
                  <c:v>-7.8926028043584031</c:v>
                </c:pt>
                <c:pt idx="5">
                  <c:v>4.9575796382263482</c:v>
                </c:pt>
                <c:pt idx="6">
                  <c:v>-5.4188844998246068</c:v>
                </c:pt>
                <c:pt idx="7">
                  <c:v>0.67242880639855518</c:v>
                </c:pt>
                <c:pt idx="8">
                  <c:v>4.0604827729813717</c:v>
                </c:pt>
                <c:pt idx="9">
                  <c:v>3.4433395930178863</c:v>
                </c:pt>
                <c:pt idx="10">
                  <c:v>7.8969688853176203</c:v>
                </c:pt>
                <c:pt idx="11">
                  <c:v>9.3931871466004679</c:v>
                </c:pt>
                <c:pt idx="12">
                  <c:v>12.769632253753734</c:v>
                </c:pt>
                <c:pt idx="13">
                  <c:v>5.9575181665735046</c:v>
                </c:pt>
                <c:pt idx="14">
                  <c:v>4.0705219510651096</c:v>
                </c:pt>
                <c:pt idx="15">
                  <c:v>3.1894725103156016</c:v>
                </c:pt>
                <c:pt idx="16">
                  <c:v>3.6342021752159002</c:v>
                </c:pt>
                <c:pt idx="17">
                  <c:v>-1.4315238618911283</c:v>
                </c:pt>
                <c:pt idx="18">
                  <c:v>1.2349478705805408</c:v>
                </c:pt>
                <c:pt idx="19">
                  <c:v>4.6629170783613292</c:v>
                </c:pt>
                <c:pt idx="20">
                  <c:v>4.0938963726807298</c:v>
                </c:pt>
                <c:pt idx="21">
                  <c:v>2.0937614454889513</c:v>
                </c:pt>
                <c:pt idx="22">
                  <c:v>5.6510783685671582</c:v>
                </c:pt>
                <c:pt idx="23">
                  <c:v>5.752237430370843</c:v>
                </c:pt>
                <c:pt idx="24">
                  <c:v>6.4362491017231624</c:v>
                </c:pt>
                <c:pt idx="25">
                  <c:v>0.81522715029628301</c:v>
                </c:pt>
                <c:pt idx="26">
                  <c:v>2.1644343117697349</c:v>
                </c:pt>
                <c:pt idx="27">
                  <c:v>2.1471708113083863</c:v>
                </c:pt>
                <c:pt idx="28">
                  <c:v>1.3032762822832253</c:v>
                </c:pt>
                <c:pt idx="29">
                  <c:v>-5.7512164220344237</c:v>
                </c:pt>
                <c:pt idx="30">
                  <c:v>-3.5659125361096016</c:v>
                </c:pt>
                <c:pt idx="31">
                  <c:v>-4.1092944796648494</c:v>
                </c:pt>
                <c:pt idx="32">
                  <c:v>-3.1355597998809182</c:v>
                </c:pt>
                <c:pt idx="33">
                  <c:v>-8.8977232812849252</c:v>
                </c:pt>
                <c:pt idx="34">
                  <c:v>-6.3782618601146144</c:v>
                </c:pt>
              </c:numCache>
            </c:numRef>
          </c:val>
        </c:ser>
        <c:ser>
          <c:idx val="3"/>
          <c:order val="1"/>
          <c:tx>
            <c:strRef>
              <c:f>List1!$L$2</c:f>
              <c:strCache>
                <c:ptCount val="1"/>
                <c:pt idx="0">
                  <c:v>nad 12M</c:v>
                </c:pt>
              </c:strCache>
            </c:strRef>
          </c:tx>
          <c:invertIfNegative val="0"/>
          <c:cat>
            <c:strRef>
              <c:f>List1!$H$3:$H$37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List1!$L$3:$L$37</c:f>
              <c:numCache>
                <c:formatCode>0.00</c:formatCode>
                <c:ptCount val="35"/>
                <c:pt idx="1">
                  <c:v>-11.278165973149093</c:v>
                </c:pt>
                <c:pt idx="2">
                  <c:v>-6.5174107340383172</c:v>
                </c:pt>
                <c:pt idx="3">
                  <c:v>-3.8962514199166978</c:v>
                </c:pt>
                <c:pt idx="4">
                  <c:v>-0.22359245104605807</c:v>
                </c:pt>
                <c:pt idx="5">
                  <c:v>0.11254035163923906</c:v>
                </c:pt>
                <c:pt idx="6">
                  <c:v>8.6716431156383429</c:v>
                </c:pt>
                <c:pt idx="7">
                  <c:v>12.402341091602015</c:v>
                </c:pt>
                <c:pt idx="8">
                  <c:v>21.258869971664527</c:v>
                </c:pt>
                <c:pt idx="9">
                  <c:v>7.0416159033866599</c:v>
                </c:pt>
                <c:pt idx="10">
                  <c:v>7.1978555080107478</c:v>
                </c:pt>
                <c:pt idx="11">
                  <c:v>3.5530903879737985</c:v>
                </c:pt>
                <c:pt idx="12">
                  <c:v>2.692163311500944</c:v>
                </c:pt>
                <c:pt idx="13">
                  <c:v>-2.6204947459162184</c:v>
                </c:pt>
                <c:pt idx="14">
                  <c:v>-0.44654112716617272</c:v>
                </c:pt>
                <c:pt idx="15">
                  <c:v>3.6266222437333275</c:v>
                </c:pt>
                <c:pt idx="16">
                  <c:v>0.82604681475044806</c:v>
                </c:pt>
                <c:pt idx="17">
                  <c:v>-2.5230136115614781</c:v>
                </c:pt>
                <c:pt idx="18">
                  <c:v>2.829245110987086</c:v>
                </c:pt>
                <c:pt idx="19">
                  <c:v>3.3032936207257899</c:v>
                </c:pt>
                <c:pt idx="20">
                  <c:v>7.7920659196604145</c:v>
                </c:pt>
                <c:pt idx="21">
                  <c:v>1.6504755975735113</c:v>
                </c:pt>
                <c:pt idx="22">
                  <c:v>6.7244923634947993</c:v>
                </c:pt>
                <c:pt idx="23">
                  <c:v>5.4200011565990653</c:v>
                </c:pt>
                <c:pt idx="24">
                  <c:v>6.1557677619724789</c:v>
                </c:pt>
                <c:pt idx="25">
                  <c:v>-3.2424503814062939</c:v>
                </c:pt>
                <c:pt idx="26">
                  <c:v>-0.73743282993443215</c:v>
                </c:pt>
                <c:pt idx="27">
                  <c:v>-1.8425855796570605</c:v>
                </c:pt>
                <c:pt idx="28">
                  <c:v>-2.6243332700862267</c:v>
                </c:pt>
                <c:pt idx="29">
                  <c:v>-8.8988096526818552</c:v>
                </c:pt>
                <c:pt idx="30">
                  <c:v>-5.4351442559056986</c:v>
                </c:pt>
                <c:pt idx="31">
                  <c:v>-5.7299389309140256</c:v>
                </c:pt>
                <c:pt idx="32">
                  <c:v>-3.4939084535203007</c:v>
                </c:pt>
                <c:pt idx="33">
                  <c:v>-9.7313841836001806</c:v>
                </c:pt>
                <c:pt idx="34">
                  <c:v>-5.5787450730775818</c:v>
                </c:pt>
              </c:numCache>
            </c:numRef>
          </c:val>
        </c:ser>
        <c:dLbls>
          <c:showLegendKey val="0"/>
          <c:showVal val="0"/>
          <c:showCatName val="0"/>
          <c:showSerName val="0"/>
          <c:showPercent val="0"/>
          <c:showBubbleSize val="0"/>
        </c:dLbls>
        <c:gapWidth val="150"/>
        <c:axId val="176558848"/>
        <c:axId val="176560384"/>
      </c:barChart>
      <c:catAx>
        <c:axId val="176558848"/>
        <c:scaling>
          <c:orientation val="minMax"/>
        </c:scaling>
        <c:delete val="0"/>
        <c:axPos val="b"/>
        <c:majorTickMark val="out"/>
        <c:minorTickMark val="none"/>
        <c:tickLblPos val="low"/>
        <c:crossAx val="176560384"/>
        <c:crossesAt val="0"/>
        <c:auto val="1"/>
        <c:lblAlgn val="ctr"/>
        <c:lblOffset val="100"/>
        <c:tickLblSkip val="1"/>
        <c:noMultiLvlLbl val="0"/>
      </c:catAx>
      <c:valAx>
        <c:axId val="176560384"/>
        <c:scaling>
          <c:orientation val="minMax"/>
          <c:max val="25"/>
        </c:scaling>
        <c:delete val="0"/>
        <c:axPos val="l"/>
        <c:majorGridlines/>
        <c:numFmt formatCode="0.00" sourceLinked="1"/>
        <c:majorTickMark val="out"/>
        <c:minorTickMark val="none"/>
        <c:tickLblPos val="low"/>
        <c:crossAx val="176558848"/>
        <c:crosses val="autoZero"/>
        <c:crossBetween val="between"/>
      </c:valAx>
    </c:plotArea>
    <c:legend>
      <c:legendPos val="t"/>
      <c:layout/>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2"/>
          <c:order val="0"/>
          <c:tx>
            <c:strRef>
              <c:f>List1!$K$2</c:f>
              <c:strCache>
                <c:ptCount val="1"/>
                <c:pt idx="0">
                  <c:v>do 12M</c:v>
                </c:pt>
              </c:strCache>
            </c:strRef>
          </c:tx>
          <c:invertIfNegative val="0"/>
          <c:cat>
            <c:strRef>
              <c:f>List1!$H$3:$H$37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List1!$K$3:$K$37</c:f>
              <c:numCache>
                <c:formatCode>0.00</c:formatCode>
                <c:ptCount val="35"/>
                <c:pt idx="1">
                  <c:v>-11.512154963216817</c:v>
                </c:pt>
                <c:pt idx="2">
                  <c:v>13.005003380662609</c:v>
                </c:pt>
                <c:pt idx="3">
                  <c:v>20.011679223427375</c:v>
                </c:pt>
                <c:pt idx="4">
                  <c:v>44.483619568772284</c:v>
                </c:pt>
                <c:pt idx="5">
                  <c:v>-4.0736160416057068</c:v>
                </c:pt>
                <c:pt idx="6">
                  <c:v>12.404568619946417</c:v>
                </c:pt>
                <c:pt idx="7">
                  <c:v>6.3122268674140498</c:v>
                </c:pt>
                <c:pt idx="8">
                  <c:v>1.7709258951556002</c:v>
                </c:pt>
                <c:pt idx="9">
                  <c:v>-19.616106309022118</c:v>
                </c:pt>
                <c:pt idx="10">
                  <c:v>-3.4122620070882741</c:v>
                </c:pt>
                <c:pt idx="11">
                  <c:v>16.745498652948278</c:v>
                </c:pt>
                <c:pt idx="12">
                  <c:v>-4.8539431435507874</c:v>
                </c:pt>
                <c:pt idx="13">
                  <c:v>-17.60993865165333</c:v>
                </c:pt>
                <c:pt idx="14">
                  <c:v>-0.95373836132830714</c:v>
                </c:pt>
                <c:pt idx="15">
                  <c:v>9.0418521457293863</c:v>
                </c:pt>
                <c:pt idx="16">
                  <c:v>4.6891813974426571</c:v>
                </c:pt>
                <c:pt idx="17">
                  <c:v>-13.5216726700812</c:v>
                </c:pt>
                <c:pt idx="18">
                  <c:v>4.5906429761016829</c:v>
                </c:pt>
                <c:pt idx="19">
                  <c:v>14.972093598786055</c:v>
                </c:pt>
                <c:pt idx="20">
                  <c:v>7.7824383916256226</c:v>
                </c:pt>
                <c:pt idx="21">
                  <c:v>-13.32658879793985</c:v>
                </c:pt>
                <c:pt idx="22">
                  <c:v>0.73399223866116903</c:v>
                </c:pt>
                <c:pt idx="23">
                  <c:v>8.3040140130800779</c:v>
                </c:pt>
                <c:pt idx="24">
                  <c:v>-0.86313262118871092</c:v>
                </c:pt>
                <c:pt idx="25">
                  <c:v>-17.653736832368129</c:v>
                </c:pt>
                <c:pt idx="26">
                  <c:v>-2.1397910589004212</c:v>
                </c:pt>
                <c:pt idx="27">
                  <c:v>6.0066578313001555</c:v>
                </c:pt>
                <c:pt idx="28">
                  <c:v>-3.4044410317999407</c:v>
                </c:pt>
                <c:pt idx="29">
                  <c:v>-18.129658189921667</c:v>
                </c:pt>
                <c:pt idx="30">
                  <c:v>0.801643119437356</c:v>
                </c:pt>
                <c:pt idx="31">
                  <c:v>9.3135257288926763</c:v>
                </c:pt>
                <c:pt idx="32">
                  <c:v>-1.3013861117700884</c:v>
                </c:pt>
                <c:pt idx="33">
                  <c:v>-15.706181063458816</c:v>
                </c:pt>
                <c:pt idx="34">
                  <c:v>1.3782022268489182</c:v>
                </c:pt>
              </c:numCache>
            </c:numRef>
          </c:val>
        </c:ser>
        <c:ser>
          <c:idx val="4"/>
          <c:order val="1"/>
          <c:tx>
            <c:strRef>
              <c:f>List1!$M$2</c:f>
              <c:strCache>
                <c:ptCount val="1"/>
                <c:pt idx="0">
                  <c:v>celkem</c:v>
                </c:pt>
              </c:strCache>
            </c:strRef>
          </c:tx>
          <c:invertIfNegative val="0"/>
          <c:cat>
            <c:strRef>
              <c:f>List1!$H$3:$H$37</c:f>
              <c:strCache>
                <c:ptCount val="35"/>
                <c:pt idx="0">
                  <c:v>3/08</c:v>
                </c:pt>
                <c:pt idx="1">
                  <c:v>6/08</c:v>
                </c:pt>
                <c:pt idx="2">
                  <c:v>9/08</c:v>
                </c:pt>
                <c:pt idx="3">
                  <c:v>12/08</c:v>
                </c:pt>
                <c:pt idx="4">
                  <c:v>3/09</c:v>
                </c:pt>
                <c:pt idx="5">
                  <c:v>6/09</c:v>
                </c:pt>
                <c:pt idx="6">
                  <c:v>9/09</c:v>
                </c:pt>
                <c:pt idx="7">
                  <c:v>12/09</c:v>
                </c:pt>
                <c:pt idx="8">
                  <c:v>3/10</c:v>
                </c:pt>
                <c:pt idx="9">
                  <c:v>6/10</c:v>
                </c:pt>
                <c:pt idx="10">
                  <c:v>9/10</c:v>
                </c:pt>
                <c:pt idx="11">
                  <c:v>12/10</c:v>
                </c:pt>
                <c:pt idx="12">
                  <c:v>3/11</c:v>
                </c:pt>
                <c:pt idx="13">
                  <c:v>6/11</c:v>
                </c:pt>
                <c:pt idx="14">
                  <c:v>9/11</c:v>
                </c:pt>
                <c:pt idx="15">
                  <c:v>12/11</c:v>
                </c:pt>
                <c:pt idx="16">
                  <c:v>3/12</c:v>
                </c:pt>
                <c:pt idx="17">
                  <c:v>6/12</c:v>
                </c:pt>
                <c:pt idx="18">
                  <c:v>9/12</c:v>
                </c:pt>
                <c:pt idx="19">
                  <c:v>12/12</c:v>
                </c:pt>
                <c:pt idx="20">
                  <c:v>3/13</c:v>
                </c:pt>
                <c:pt idx="21">
                  <c:v>6/13</c:v>
                </c:pt>
                <c:pt idx="22">
                  <c:v>9/13</c:v>
                </c:pt>
                <c:pt idx="23">
                  <c:v>12/13</c:v>
                </c:pt>
                <c:pt idx="24">
                  <c:v>3/14</c:v>
                </c:pt>
                <c:pt idx="25">
                  <c:v>6/14</c:v>
                </c:pt>
                <c:pt idx="26">
                  <c:v>9/14</c:v>
                </c:pt>
                <c:pt idx="27">
                  <c:v>12/14</c:v>
                </c:pt>
                <c:pt idx="28">
                  <c:v>3/15</c:v>
                </c:pt>
                <c:pt idx="29">
                  <c:v>6/15</c:v>
                </c:pt>
                <c:pt idx="30">
                  <c:v>9/15</c:v>
                </c:pt>
                <c:pt idx="31">
                  <c:v>12/15</c:v>
                </c:pt>
                <c:pt idx="32">
                  <c:v>3/16</c:v>
                </c:pt>
                <c:pt idx="33">
                  <c:v>6/16</c:v>
                </c:pt>
                <c:pt idx="34">
                  <c:v>9/16</c:v>
                </c:pt>
              </c:strCache>
            </c:strRef>
          </c:cat>
          <c:val>
            <c:numRef>
              <c:f>List1!$M$3:$M$37</c:f>
              <c:numCache>
                <c:formatCode>0.00</c:formatCode>
                <c:ptCount val="35"/>
                <c:pt idx="1">
                  <c:v>-11.423533364853093</c:v>
                </c:pt>
                <c:pt idx="2">
                  <c:v>5.5988988854572304</c:v>
                </c:pt>
                <c:pt idx="3">
                  <c:v>11.982527864495578</c:v>
                </c:pt>
                <c:pt idx="4">
                  <c:v>31.598296664300921</c:v>
                </c:pt>
                <c:pt idx="5">
                  <c:v>-3.1588484645834907</c:v>
                </c:pt>
                <c:pt idx="6">
                  <c:v>11.561285953594469</c:v>
                </c:pt>
                <c:pt idx="7">
                  <c:v>7.652372546983699</c:v>
                </c:pt>
                <c:pt idx="8">
                  <c:v>6.2485161443494777</c:v>
                </c:pt>
                <c:pt idx="9">
                  <c:v>-12.625867631244502</c:v>
                </c:pt>
                <c:pt idx="10">
                  <c:v>-3.7962037962037962E-3</c:v>
                </c:pt>
                <c:pt idx="11">
                  <c:v>12.20226142450962</c:v>
                </c:pt>
                <c:pt idx="12">
                  <c:v>-2.4555205137200362</c:v>
                </c:pt>
                <c:pt idx="13">
                  <c:v>-12.594338417049741</c:v>
                </c:pt>
                <c:pt idx="14">
                  <c:v>-0.76465980888726437</c:v>
                </c:pt>
                <c:pt idx="15">
                  <c:v>7.0166317978422015</c:v>
                </c:pt>
                <c:pt idx="16">
                  <c:v>3.2901892217735829</c:v>
                </c:pt>
                <c:pt idx="17">
                  <c:v>-9.6336494154385157</c:v>
                </c:pt>
                <c:pt idx="18">
                  <c:v>3.9189946606094579</c:v>
                </c:pt>
                <c:pt idx="19">
                  <c:v>10.569259000172348</c:v>
                </c:pt>
                <c:pt idx="20">
                  <c:v>7.7858323048682312</c:v>
                </c:pt>
                <c:pt idx="21">
                  <c:v>-8.0465421731023117</c:v>
                </c:pt>
                <c:pt idx="22">
                  <c:v>3.0686084226224071</c:v>
                </c:pt>
                <c:pt idx="23">
                  <c:v>7.1401900699747607</c:v>
                </c:pt>
                <c:pt idx="24">
                  <c:v>1.9238212364262701</c:v>
                </c:pt>
                <c:pt idx="25">
                  <c:v>-11.693941461249517</c:v>
                </c:pt>
                <c:pt idx="26">
                  <c:v>-1.5043402664661127</c:v>
                </c:pt>
                <c:pt idx="27">
                  <c:v>2.4222355782860645</c:v>
                </c:pt>
                <c:pt idx="28">
                  <c:v>-3.0630321416313286</c:v>
                </c:pt>
                <c:pt idx="29">
                  <c:v>-14.071557065760544</c:v>
                </c:pt>
                <c:pt idx="30">
                  <c:v>-2.1052514981335637</c:v>
                </c:pt>
                <c:pt idx="31">
                  <c:v>2.5404397454581664</c:v>
                </c:pt>
                <c:pt idx="32">
                  <c:v>-2.2089168825780479</c:v>
                </c:pt>
                <c:pt idx="33">
                  <c:v>-13.265584765825112</c:v>
                </c:pt>
                <c:pt idx="34">
                  <c:v>-1.5793801128202993</c:v>
                </c:pt>
              </c:numCache>
            </c:numRef>
          </c:val>
        </c:ser>
        <c:dLbls>
          <c:showLegendKey val="0"/>
          <c:showVal val="0"/>
          <c:showCatName val="0"/>
          <c:showSerName val="0"/>
          <c:showPercent val="0"/>
          <c:showBubbleSize val="0"/>
        </c:dLbls>
        <c:gapWidth val="150"/>
        <c:axId val="176577152"/>
        <c:axId val="176587136"/>
      </c:barChart>
      <c:catAx>
        <c:axId val="176577152"/>
        <c:scaling>
          <c:orientation val="minMax"/>
        </c:scaling>
        <c:delete val="0"/>
        <c:axPos val="b"/>
        <c:majorTickMark val="out"/>
        <c:minorTickMark val="none"/>
        <c:tickLblPos val="low"/>
        <c:crossAx val="176587136"/>
        <c:crossesAt val="0"/>
        <c:auto val="1"/>
        <c:lblAlgn val="ctr"/>
        <c:lblOffset val="100"/>
        <c:tickLblSkip val="1"/>
        <c:noMultiLvlLbl val="0"/>
      </c:catAx>
      <c:valAx>
        <c:axId val="176587136"/>
        <c:scaling>
          <c:orientation val="minMax"/>
          <c:max val="50"/>
          <c:min val="-30"/>
        </c:scaling>
        <c:delete val="0"/>
        <c:axPos val="l"/>
        <c:majorGridlines/>
        <c:numFmt formatCode="0.00" sourceLinked="1"/>
        <c:majorTickMark val="out"/>
        <c:minorTickMark val="none"/>
        <c:tickLblPos val="nextTo"/>
        <c:crossAx val="176577152"/>
        <c:crosses val="autoZero"/>
        <c:crossBetween val="between"/>
        <c:majorUnit val="10"/>
      </c:valAx>
    </c:plotArea>
    <c:legend>
      <c:legendPos val="t"/>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ČR!$Q$23</c:f>
              <c:strCache>
                <c:ptCount val="1"/>
                <c:pt idx="0">
                  <c:v>exekuce</c:v>
                </c:pt>
              </c:strCache>
            </c:strRef>
          </c:tx>
          <c:invertIfNegative val="0"/>
          <c:cat>
            <c:strRef>
              <c:f>ČR!$N$24:$N$38</c:f>
              <c:strCache>
                <c:ptCount val="15"/>
                <c:pt idx="0">
                  <c:v>ČR</c:v>
                </c:pt>
                <c:pt idx="1">
                  <c:v>Praha</c:v>
                </c:pt>
                <c:pt idx="2">
                  <c:v>SČK</c:v>
                </c:pt>
                <c:pt idx="3">
                  <c:v>JČK</c:v>
                </c:pt>
                <c:pt idx="4">
                  <c:v>PLK</c:v>
                </c:pt>
                <c:pt idx="5">
                  <c:v>KVK</c:v>
                </c:pt>
                <c:pt idx="6">
                  <c:v>ULK</c:v>
                </c:pt>
                <c:pt idx="7">
                  <c:v>LBK</c:v>
                </c:pt>
                <c:pt idx="8">
                  <c:v>KHK</c:v>
                </c:pt>
                <c:pt idx="9">
                  <c:v>PAK</c:v>
                </c:pt>
                <c:pt idx="10">
                  <c:v>Vysočina</c:v>
                </c:pt>
                <c:pt idx="11">
                  <c:v>JMK</c:v>
                </c:pt>
                <c:pt idx="12">
                  <c:v>OLK</c:v>
                </c:pt>
                <c:pt idx="13">
                  <c:v>MSK</c:v>
                </c:pt>
                <c:pt idx="14">
                  <c:v>ZLK</c:v>
                </c:pt>
              </c:strCache>
            </c:strRef>
          </c:cat>
          <c:val>
            <c:numRef>
              <c:f>ČR!$Q$24:$Q$38</c:f>
              <c:numCache>
                <c:formatCode>0.0%</c:formatCode>
                <c:ptCount val="15"/>
                <c:pt idx="0">
                  <c:v>0.21864487149318204</c:v>
                </c:pt>
                <c:pt idx="1">
                  <c:v>0.19339999999999999</c:v>
                </c:pt>
                <c:pt idx="2">
                  <c:v>0.16037366083093807</c:v>
                </c:pt>
                <c:pt idx="3">
                  <c:v>0.22600000000000003</c:v>
                </c:pt>
                <c:pt idx="4">
                  <c:v>0.13811000000000001</c:v>
                </c:pt>
                <c:pt idx="5">
                  <c:v>0.38700000000000001</c:v>
                </c:pt>
                <c:pt idx="6">
                  <c:v>0.314</c:v>
                </c:pt>
                <c:pt idx="7">
                  <c:v>0.26800000000000002</c:v>
                </c:pt>
                <c:pt idx="8">
                  <c:v>0.29856687898089179</c:v>
                </c:pt>
                <c:pt idx="9">
                  <c:v>0.27206218564243256</c:v>
                </c:pt>
                <c:pt idx="10">
                  <c:v>0.21299999999999999</c:v>
                </c:pt>
                <c:pt idx="11">
                  <c:v>0.21386695091816463</c:v>
                </c:pt>
                <c:pt idx="12">
                  <c:v>0.25</c:v>
                </c:pt>
                <c:pt idx="13">
                  <c:v>0.157</c:v>
                </c:pt>
                <c:pt idx="14">
                  <c:v>0.13736805066854327</c:v>
                </c:pt>
              </c:numCache>
            </c:numRef>
          </c:val>
        </c:ser>
        <c:ser>
          <c:idx val="2"/>
          <c:order val="1"/>
          <c:tx>
            <c:strRef>
              <c:f>ČR!$S$23</c:f>
              <c:strCache>
                <c:ptCount val="1"/>
                <c:pt idx="0">
                  <c:v>max. ZŠ</c:v>
                </c:pt>
              </c:strCache>
            </c:strRef>
          </c:tx>
          <c:invertIfNegative val="0"/>
          <c:cat>
            <c:strRef>
              <c:f>ČR!$N$24:$N$38</c:f>
              <c:strCache>
                <c:ptCount val="15"/>
                <c:pt idx="0">
                  <c:v>ČR</c:v>
                </c:pt>
                <c:pt idx="1">
                  <c:v>Praha</c:v>
                </c:pt>
                <c:pt idx="2">
                  <c:v>SČK</c:v>
                </c:pt>
                <c:pt idx="3">
                  <c:v>JČK</c:v>
                </c:pt>
                <c:pt idx="4">
                  <c:v>PLK</c:v>
                </c:pt>
                <c:pt idx="5">
                  <c:v>KVK</c:v>
                </c:pt>
                <c:pt idx="6">
                  <c:v>ULK</c:v>
                </c:pt>
                <c:pt idx="7">
                  <c:v>LBK</c:v>
                </c:pt>
                <c:pt idx="8">
                  <c:v>KHK</c:v>
                </c:pt>
                <c:pt idx="9">
                  <c:v>PAK</c:v>
                </c:pt>
                <c:pt idx="10">
                  <c:v>Vysočina</c:v>
                </c:pt>
                <c:pt idx="11">
                  <c:v>JMK</c:v>
                </c:pt>
                <c:pt idx="12">
                  <c:v>OLK</c:v>
                </c:pt>
                <c:pt idx="13">
                  <c:v>MSK</c:v>
                </c:pt>
                <c:pt idx="14">
                  <c:v>ZLK</c:v>
                </c:pt>
              </c:strCache>
            </c:strRef>
          </c:cat>
          <c:val>
            <c:numRef>
              <c:f>ČR!$S$24:$S$38</c:f>
              <c:numCache>
                <c:formatCode>0.0%</c:formatCode>
                <c:ptCount val="15"/>
                <c:pt idx="0">
                  <c:v>0.36729436334818061</c:v>
                </c:pt>
                <c:pt idx="1">
                  <c:v>0.24243148502230721</c:v>
                </c:pt>
                <c:pt idx="2">
                  <c:v>0.36072641755944607</c:v>
                </c:pt>
                <c:pt idx="3">
                  <c:v>0.34499999999999997</c:v>
                </c:pt>
                <c:pt idx="4">
                  <c:v>0.38008999999999998</c:v>
                </c:pt>
                <c:pt idx="5">
                  <c:v>0.55400000000000005</c:v>
                </c:pt>
                <c:pt idx="6">
                  <c:v>0.52300000000000002</c:v>
                </c:pt>
                <c:pt idx="7">
                  <c:v>0.38200000000000001</c:v>
                </c:pt>
                <c:pt idx="8">
                  <c:v>0.37420382165605093</c:v>
                </c:pt>
                <c:pt idx="9">
                  <c:v>0.36785550983081849</c:v>
                </c:pt>
                <c:pt idx="10">
                  <c:v>0.23399999999999999</c:v>
                </c:pt>
                <c:pt idx="11">
                  <c:v>0.30578031881389595</c:v>
                </c:pt>
                <c:pt idx="12">
                  <c:v>0.35</c:v>
                </c:pt>
                <c:pt idx="13">
                  <c:v>0.38100000000000006</c:v>
                </c:pt>
                <c:pt idx="14">
                  <c:v>0.24039408866995074</c:v>
                </c:pt>
              </c:numCache>
            </c:numRef>
          </c:val>
        </c:ser>
        <c:ser>
          <c:idx val="3"/>
          <c:order val="2"/>
          <c:tx>
            <c:strRef>
              <c:f>ČR!$T$23</c:f>
              <c:strCache>
                <c:ptCount val="1"/>
                <c:pt idx="0">
                  <c:v>do 25 let</c:v>
                </c:pt>
              </c:strCache>
            </c:strRef>
          </c:tx>
          <c:invertIfNegative val="0"/>
          <c:cat>
            <c:strRef>
              <c:f>ČR!$N$24:$N$38</c:f>
              <c:strCache>
                <c:ptCount val="15"/>
                <c:pt idx="0">
                  <c:v>ČR</c:v>
                </c:pt>
                <c:pt idx="1">
                  <c:v>Praha</c:v>
                </c:pt>
                <c:pt idx="2">
                  <c:v>SČK</c:v>
                </c:pt>
                <c:pt idx="3">
                  <c:v>JČK</c:v>
                </c:pt>
                <c:pt idx="4">
                  <c:v>PLK</c:v>
                </c:pt>
                <c:pt idx="5">
                  <c:v>KVK</c:v>
                </c:pt>
                <c:pt idx="6">
                  <c:v>ULK</c:v>
                </c:pt>
                <c:pt idx="7">
                  <c:v>LBK</c:v>
                </c:pt>
                <c:pt idx="8">
                  <c:v>KHK</c:v>
                </c:pt>
                <c:pt idx="9">
                  <c:v>PAK</c:v>
                </c:pt>
                <c:pt idx="10">
                  <c:v>Vysočina</c:v>
                </c:pt>
                <c:pt idx="11">
                  <c:v>JMK</c:v>
                </c:pt>
                <c:pt idx="12">
                  <c:v>OLK</c:v>
                </c:pt>
                <c:pt idx="13">
                  <c:v>MSK</c:v>
                </c:pt>
                <c:pt idx="14">
                  <c:v>ZLK</c:v>
                </c:pt>
              </c:strCache>
            </c:strRef>
          </c:cat>
          <c:val>
            <c:numRef>
              <c:f>ČR!$T$24:$T$38</c:f>
              <c:numCache>
                <c:formatCode>0.0%</c:formatCode>
                <c:ptCount val="15"/>
                <c:pt idx="0">
                  <c:v>4.7055172557573181E-2</c:v>
                </c:pt>
                <c:pt idx="1">
                  <c:v>4.4216061185468454E-2</c:v>
                </c:pt>
                <c:pt idx="2">
                  <c:v>4.9843219231774233E-2</c:v>
                </c:pt>
                <c:pt idx="3">
                  <c:v>3.7999999999999999E-2</c:v>
                </c:pt>
                <c:pt idx="4">
                  <c:v>3.7499999999999999E-2</c:v>
                </c:pt>
                <c:pt idx="5">
                  <c:v>5.000000000000001E-2</c:v>
                </c:pt>
                <c:pt idx="6">
                  <c:v>0.05</c:v>
                </c:pt>
                <c:pt idx="7">
                  <c:v>5.0999999999999997E-2</c:v>
                </c:pt>
                <c:pt idx="8">
                  <c:v>5.3742038216560511E-2</c:v>
                </c:pt>
                <c:pt idx="9">
                  <c:v>4.9382716049382713E-2</c:v>
                </c:pt>
                <c:pt idx="10">
                  <c:v>3.7999999999999992E-2</c:v>
                </c:pt>
                <c:pt idx="11">
                  <c:v>5.3151799990309605E-2</c:v>
                </c:pt>
                <c:pt idx="12">
                  <c:v>0.05</c:v>
                </c:pt>
                <c:pt idx="13">
                  <c:v>4.5000000000000005E-2</c:v>
                </c:pt>
                <c:pt idx="14">
                  <c:v>3.5186488388458829E-2</c:v>
                </c:pt>
              </c:numCache>
            </c:numRef>
          </c:val>
        </c:ser>
        <c:ser>
          <c:idx val="4"/>
          <c:order val="3"/>
          <c:tx>
            <c:strRef>
              <c:f>ČR!$U$23</c:f>
              <c:strCache>
                <c:ptCount val="1"/>
                <c:pt idx="0">
                  <c:v>nad 55 let</c:v>
                </c:pt>
              </c:strCache>
            </c:strRef>
          </c:tx>
          <c:invertIfNegative val="0"/>
          <c:cat>
            <c:strRef>
              <c:f>ČR!$N$24:$N$38</c:f>
              <c:strCache>
                <c:ptCount val="15"/>
                <c:pt idx="0">
                  <c:v>ČR</c:v>
                </c:pt>
                <c:pt idx="1">
                  <c:v>Praha</c:v>
                </c:pt>
                <c:pt idx="2">
                  <c:v>SČK</c:v>
                </c:pt>
                <c:pt idx="3">
                  <c:v>JČK</c:v>
                </c:pt>
                <c:pt idx="4">
                  <c:v>PLK</c:v>
                </c:pt>
                <c:pt idx="5">
                  <c:v>KVK</c:v>
                </c:pt>
                <c:pt idx="6">
                  <c:v>ULK</c:v>
                </c:pt>
                <c:pt idx="7">
                  <c:v>LBK</c:v>
                </c:pt>
                <c:pt idx="8">
                  <c:v>KHK</c:v>
                </c:pt>
                <c:pt idx="9">
                  <c:v>PAK</c:v>
                </c:pt>
                <c:pt idx="10">
                  <c:v>Vysočina</c:v>
                </c:pt>
                <c:pt idx="11">
                  <c:v>JMK</c:v>
                </c:pt>
                <c:pt idx="12">
                  <c:v>OLK</c:v>
                </c:pt>
                <c:pt idx="13">
                  <c:v>MSK</c:v>
                </c:pt>
                <c:pt idx="14">
                  <c:v>ZLK</c:v>
                </c:pt>
              </c:strCache>
            </c:strRef>
          </c:cat>
          <c:val>
            <c:numRef>
              <c:f>ČR!$U$24:$U$38</c:f>
              <c:numCache>
                <c:formatCode>0.0%</c:formatCode>
                <c:ptCount val="15"/>
                <c:pt idx="0">
                  <c:v>0.29390629177712885</c:v>
                </c:pt>
                <c:pt idx="1">
                  <c:v>0.28226577437858508</c:v>
                </c:pt>
                <c:pt idx="2">
                  <c:v>0.29723020642801151</c:v>
                </c:pt>
                <c:pt idx="3">
                  <c:v>0.32600000000000001</c:v>
                </c:pt>
                <c:pt idx="4">
                  <c:v>0.33951999999999999</c:v>
                </c:pt>
                <c:pt idx="5">
                  <c:v>0.29899999999999999</c:v>
                </c:pt>
                <c:pt idx="6">
                  <c:v>0.247</c:v>
                </c:pt>
                <c:pt idx="7">
                  <c:v>0.28499999999999998</c:v>
                </c:pt>
                <c:pt idx="8">
                  <c:v>0.30055732484076431</c:v>
                </c:pt>
                <c:pt idx="9">
                  <c:v>0.35208047553726568</c:v>
                </c:pt>
                <c:pt idx="10">
                  <c:v>0.31499999999999995</c:v>
                </c:pt>
                <c:pt idx="11">
                  <c:v>0.27273608217452394</c:v>
                </c:pt>
                <c:pt idx="12">
                  <c:v>0.32</c:v>
                </c:pt>
                <c:pt idx="13">
                  <c:v>0.29899999999999999</c:v>
                </c:pt>
                <c:pt idx="14">
                  <c:v>0.3362420830401126</c:v>
                </c:pt>
              </c:numCache>
            </c:numRef>
          </c:val>
        </c:ser>
        <c:ser>
          <c:idx val="5"/>
          <c:order val="4"/>
          <c:tx>
            <c:strRef>
              <c:f>ČR!$V$23</c:f>
              <c:strCache>
                <c:ptCount val="1"/>
                <c:pt idx="0">
                  <c:v>OZP</c:v>
                </c:pt>
              </c:strCache>
            </c:strRef>
          </c:tx>
          <c:invertIfNegative val="0"/>
          <c:cat>
            <c:strRef>
              <c:f>ČR!$N$24:$N$38</c:f>
              <c:strCache>
                <c:ptCount val="15"/>
                <c:pt idx="0">
                  <c:v>ČR</c:v>
                </c:pt>
                <c:pt idx="1">
                  <c:v>Praha</c:v>
                </c:pt>
                <c:pt idx="2">
                  <c:v>SČK</c:v>
                </c:pt>
                <c:pt idx="3">
                  <c:v>JČK</c:v>
                </c:pt>
                <c:pt idx="4">
                  <c:v>PLK</c:v>
                </c:pt>
                <c:pt idx="5">
                  <c:v>KVK</c:v>
                </c:pt>
                <c:pt idx="6">
                  <c:v>ULK</c:v>
                </c:pt>
                <c:pt idx="7">
                  <c:v>LBK</c:v>
                </c:pt>
                <c:pt idx="8">
                  <c:v>KHK</c:v>
                </c:pt>
                <c:pt idx="9">
                  <c:v>PAK</c:v>
                </c:pt>
                <c:pt idx="10">
                  <c:v>Vysočina</c:v>
                </c:pt>
                <c:pt idx="11">
                  <c:v>JMK</c:v>
                </c:pt>
                <c:pt idx="12">
                  <c:v>OLK</c:v>
                </c:pt>
                <c:pt idx="13">
                  <c:v>MSK</c:v>
                </c:pt>
                <c:pt idx="14">
                  <c:v>ZLK</c:v>
                </c:pt>
              </c:strCache>
            </c:strRef>
          </c:cat>
          <c:val>
            <c:numRef>
              <c:f>ČR!$V$24:$V$38</c:f>
              <c:numCache>
                <c:formatCode>0.0%</c:formatCode>
                <c:ptCount val="15"/>
                <c:pt idx="0">
                  <c:v>0.21716673295506442</c:v>
                </c:pt>
                <c:pt idx="1">
                  <c:v>0.13806564690885914</c:v>
                </c:pt>
                <c:pt idx="2">
                  <c:v>0.23059837993206167</c:v>
                </c:pt>
                <c:pt idx="3">
                  <c:v>0.32400000000000001</c:v>
                </c:pt>
                <c:pt idx="4">
                  <c:v>0.33212999999999998</c:v>
                </c:pt>
                <c:pt idx="5">
                  <c:v>0.16800000000000001</c:v>
                </c:pt>
                <c:pt idx="6">
                  <c:v>0.17599999999999999</c:v>
                </c:pt>
                <c:pt idx="7">
                  <c:v>0.222</c:v>
                </c:pt>
                <c:pt idx="8">
                  <c:v>0.25378184713375795</c:v>
                </c:pt>
                <c:pt idx="9">
                  <c:v>0.33104709647919522</c:v>
                </c:pt>
                <c:pt idx="10">
                  <c:v>0.309</c:v>
                </c:pt>
                <c:pt idx="11">
                  <c:v>0.21561122147390863</c:v>
                </c:pt>
                <c:pt idx="12">
                  <c:v>0.20999999999999996</c:v>
                </c:pt>
                <c:pt idx="13">
                  <c:v>0.18899999999999997</c:v>
                </c:pt>
                <c:pt idx="14">
                  <c:v>0.27262491203377898</c:v>
                </c:pt>
              </c:numCache>
            </c:numRef>
          </c:val>
        </c:ser>
        <c:dLbls>
          <c:showLegendKey val="0"/>
          <c:showVal val="0"/>
          <c:showCatName val="0"/>
          <c:showSerName val="0"/>
          <c:showPercent val="0"/>
          <c:showBubbleSize val="0"/>
        </c:dLbls>
        <c:gapWidth val="150"/>
        <c:overlap val="100"/>
        <c:axId val="189870464"/>
        <c:axId val="189872000"/>
      </c:barChart>
      <c:catAx>
        <c:axId val="189870464"/>
        <c:scaling>
          <c:orientation val="minMax"/>
        </c:scaling>
        <c:delete val="0"/>
        <c:axPos val="b"/>
        <c:majorTickMark val="out"/>
        <c:minorTickMark val="none"/>
        <c:tickLblPos val="nextTo"/>
        <c:crossAx val="189872000"/>
        <c:crosses val="autoZero"/>
        <c:auto val="1"/>
        <c:lblAlgn val="ctr"/>
        <c:lblOffset val="100"/>
        <c:noMultiLvlLbl val="0"/>
      </c:catAx>
      <c:valAx>
        <c:axId val="189872000"/>
        <c:scaling>
          <c:orientation val="minMax"/>
        </c:scaling>
        <c:delete val="0"/>
        <c:axPos val="l"/>
        <c:majorGridlines/>
        <c:numFmt formatCode="0.0%" sourceLinked="1"/>
        <c:majorTickMark val="out"/>
        <c:minorTickMark val="none"/>
        <c:tickLblPos val="nextTo"/>
        <c:crossAx val="189870464"/>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350"/>
      <c:rAngAx val="0"/>
      <c:perspective val="10"/>
    </c:view3D>
    <c:floor>
      <c:thickness val="0"/>
    </c:floor>
    <c:sideWall>
      <c:thickness val="0"/>
    </c:sideWall>
    <c:backWall>
      <c:thickness val="0"/>
    </c:backWall>
    <c:plotArea>
      <c:layout>
        <c:manualLayout>
          <c:layoutTarget val="inner"/>
          <c:xMode val="edge"/>
          <c:yMode val="edge"/>
          <c:x val="5.9608047829145527E-2"/>
          <c:y val="6.8340340952526571E-2"/>
          <c:w val="0.83399874189280054"/>
          <c:h val="0.78841740440216168"/>
        </c:manualLayout>
      </c:layout>
      <c:bar3DChart>
        <c:barDir val="col"/>
        <c:grouping val="standard"/>
        <c:varyColors val="0"/>
        <c:ser>
          <c:idx val="5"/>
          <c:order val="0"/>
          <c:tx>
            <c:strRef>
              <c:f>ČR!$T$3</c:f>
              <c:strCache>
                <c:ptCount val="1"/>
                <c:pt idx="0">
                  <c:v>do 25 let</c:v>
                </c:pt>
              </c:strCache>
            </c:strRef>
          </c:tx>
          <c:invertIfNegative val="0"/>
          <c:cat>
            <c:strRef>
              <c:f>ČR!$N$5:$N$18</c:f>
              <c:strCache>
                <c:ptCount val="14"/>
                <c:pt idx="0">
                  <c:v>Praha</c:v>
                </c:pt>
                <c:pt idx="1">
                  <c:v>SČK</c:v>
                </c:pt>
                <c:pt idx="2">
                  <c:v>JČK</c:v>
                </c:pt>
                <c:pt idx="3">
                  <c:v>PLK</c:v>
                </c:pt>
                <c:pt idx="4">
                  <c:v>KVK</c:v>
                </c:pt>
                <c:pt idx="5">
                  <c:v>ULK</c:v>
                </c:pt>
                <c:pt idx="6">
                  <c:v>LBK</c:v>
                </c:pt>
                <c:pt idx="7">
                  <c:v>KHK</c:v>
                </c:pt>
                <c:pt idx="8">
                  <c:v>PAK</c:v>
                </c:pt>
                <c:pt idx="9">
                  <c:v>Vysočina</c:v>
                </c:pt>
                <c:pt idx="10">
                  <c:v>JMK</c:v>
                </c:pt>
                <c:pt idx="11">
                  <c:v>OLK</c:v>
                </c:pt>
                <c:pt idx="12">
                  <c:v>MSK</c:v>
                </c:pt>
                <c:pt idx="13">
                  <c:v>ZLK</c:v>
                </c:pt>
              </c:strCache>
            </c:strRef>
          </c:cat>
          <c:val>
            <c:numRef>
              <c:f>ČR!$T$5:$T$18</c:f>
              <c:numCache>
                <c:formatCode>#,##0</c:formatCode>
                <c:ptCount val="14"/>
                <c:pt idx="0">
                  <c:v>555</c:v>
                </c:pt>
                <c:pt idx="1">
                  <c:v>763</c:v>
                </c:pt>
                <c:pt idx="2">
                  <c:v>204.21199999999999</c:v>
                </c:pt>
                <c:pt idx="3">
                  <c:v>207.97499999999999</c:v>
                </c:pt>
                <c:pt idx="4">
                  <c:v>270.65000000000003</c:v>
                </c:pt>
                <c:pt idx="5">
                  <c:v>1094.4000000000001</c:v>
                </c:pt>
                <c:pt idx="6">
                  <c:v>321.14699999999999</c:v>
                </c:pt>
                <c:pt idx="7">
                  <c:v>270</c:v>
                </c:pt>
                <c:pt idx="8">
                  <c:v>216</c:v>
                </c:pt>
                <c:pt idx="9">
                  <c:v>259.72999999999996</c:v>
                </c:pt>
                <c:pt idx="10">
                  <c:v>1098.4350985997382</c:v>
                </c:pt>
                <c:pt idx="11">
                  <c:v>516.5</c:v>
                </c:pt>
                <c:pt idx="12">
                  <c:v>1414.3500000000001</c:v>
                </c:pt>
                <c:pt idx="13">
                  <c:v>249.99999999999997</c:v>
                </c:pt>
              </c:numCache>
            </c:numRef>
          </c:val>
        </c:ser>
        <c:ser>
          <c:idx val="2"/>
          <c:order val="1"/>
          <c:tx>
            <c:strRef>
              <c:f>ČR!$Q$3</c:f>
              <c:strCache>
                <c:ptCount val="1"/>
                <c:pt idx="0">
                  <c:v>exekuce</c:v>
                </c:pt>
              </c:strCache>
            </c:strRef>
          </c:tx>
          <c:invertIfNegative val="0"/>
          <c:cat>
            <c:strRef>
              <c:f>ČR!$N$5:$N$18</c:f>
              <c:strCache>
                <c:ptCount val="14"/>
                <c:pt idx="0">
                  <c:v>Praha</c:v>
                </c:pt>
                <c:pt idx="1">
                  <c:v>SČK</c:v>
                </c:pt>
                <c:pt idx="2">
                  <c:v>JČK</c:v>
                </c:pt>
                <c:pt idx="3">
                  <c:v>PLK</c:v>
                </c:pt>
                <c:pt idx="4">
                  <c:v>KVK</c:v>
                </c:pt>
                <c:pt idx="5">
                  <c:v>ULK</c:v>
                </c:pt>
                <c:pt idx="6">
                  <c:v>LBK</c:v>
                </c:pt>
                <c:pt idx="7">
                  <c:v>KHK</c:v>
                </c:pt>
                <c:pt idx="8">
                  <c:v>PAK</c:v>
                </c:pt>
                <c:pt idx="9">
                  <c:v>Vysočina</c:v>
                </c:pt>
                <c:pt idx="10">
                  <c:v>JMK</c:v>
                </c:pt>
                <c:pt idx="11">
                  <c:v>OLK</c:v>
                </c:pt>
                <c:pt idx="12">
                  <c:v>MSK</c:v>
                </c:pt>
                <c:pt idx="13">
                  <c:v>ZLK</c:v>
                </c:pt>
              </c:strCache>
            </c:strRef>
          </c:cat>
          <c:val>
            <c:numRef>
              <c:f>ČR!$Q$5:$Q$18</c:f>
              <c:numCache>
                <c:formatCode>#,##0</c:formatCode>
                <c:ptCount val="14"/>
                <c:pt idx="0">
                  <c:v>2427.5567999999998</c:v>
                </c:pt>
                <c:pt idx="1">
                  <c:v>2455</c:v>
                </c:pt>
                <c:pt idx="2">
                  <c:v>1214.5240000000001</c:v>
                </c:pt>
                <c:pt idx="3">
                  <c:v>765.95806000000005</c:v>
                </c:pt>
                <c:pt idx="4">
                  <c:v>2094.8310000000001</c:v>
                </c:pt>
                <c:pt idx="5">
                  <c:v>6872.8320000000003</c:v>
                </c:pt>
                <c:pt idx="6">
                  <c:v>1687.596</c:v>
                </c:pt>
                <c:pt idx="7">
                  <c:v>1500.0000000000002</c:v>
                </c:pt>
                <c:pt idx="8">
                  <c:v>1190</c:v>
                </c:pt>
                <c:pt idx="9">
                  <c:v>1455.855</c:v>
                </c:pt>
                <c:pt idx="10">
                  <c:v>4419.7744076747904</c:v>
                </c:pt>
                <c:pt idx="11">
                  <c:v>2582.5</c:v>
                </c:pt>
                <c:pt idx="12">
                  <c:v>4934.51</c:v>
                </c:pt>
                <c:pt idx="13">
                  <c:v>975.99999999999989</c:v>
                </c:pt>
              </c:numCache>
            </c:numRef>
          </c:val>
        </c:ser>
        <c:ser>
          <c:idx val="7"/>
          <c:order val="2"/>
          <c:tx>
            <c:strRef>
              <c:f>ČR!$V$3</c:f>
              <c:strCache>
                <c:ptCount val="1"/>
                <c:pt idx="0">
                  <c:v>OZP</c:v>
                </c:pt>
              </c:strCache>
            </c:strRef>
          </c:tx>
          <c:invertIfNegative val="0"/>
          <c:cat>
            <c:strRef>
              <c:f>ČR!$N$5:$N$18</c:f>
              <c:strCache>
                <c:ptCount val="14"/>
                <c:pt idx="0">
                  <c:v>Praha</c:v>
                </c:pt>
                <c:pt idx="1">
                  <c:v>SČK</c:v>
                </c:pt>
                <c:pt idx="2">
                  <c:v>JČK</c:v>
                </c:pt>
                <c:pt idx="3">
                  <c:v>PLK</c:v>
                </c:pt>
                <c:pt idx="4">
                  <c:v>KVK</c:v>
                </c:pt>
                <c:pt idx="5">
                  <c:v>ULK</c:v>
                </c:pt>
                <c:pt idx="6">
                  <c:v>LBK</c:v>
                </c:pt>
                <c:pt idx="7">
                  <c:v>KHK</c:v>
                </c:pt>
                <c:pt idx="8">
                  <c:v>PAK</c:v>
                </c:pt>
                <c:pt idx="9">
                  <c:v>Vysočina</c:v>
                </c:pt>
                <c:pt idx="10">
                  <c:v>JMK</c:v>
                </c:pt>
                <c:pt idx="11">
                  <c:v>OLK</c:v>
                </c:pt>
                <c:pt idx="12">
                  <c:v>MSK</c:v>
                </c:pt>
                <c:pt idx="13">
                  <c:v>ZLK</c:v>
                </c:pt>
              </c:strCache>
            </c:strRef>
          </c:cat>
          <c:val>
            <c:numRef>
              <c:f>ČR!$V$5:$V$18</c:f>
              <c:numCache>
                <c:formatCode>#,##0</c:formatCode>
                <c:ptCount val="14"/>
                <c:pt idx="0">
                  <c:v>1733</c:v>
                </c:pt>
                <c:pt idx="1">
                  <c:v>3530</c:v>
                </c:pt>
                <c:pt idx="2">
                  <c:v>1741.1760000000002</c:v>
                </c:pt>
                <c:pt idx="3">
                  <c:v>1841.99298</c:v>
                </c:pt>
                <c:pt idx="4">
                  <c:v>909.38400000000001</c:v>
                </c:pt>
                <c:pt idx="5">
                  <c:v>3852.2879999999996</c:v>
                </c:pt>
                <c:pt idx="6">
                  <c:v>1397.934</c:v>
                </c:pt>
                <c:pt idx="7">
                  <c:v>1275</c:v>
                </c:pt>
                <c:pt idx="8">
                  <c:v>1448</c:v>
                </c:pt>
                <c:pt idx="9">
                  <c:v>2112.0149999999999</c:v>
                </c:pt>
                <c:pt idx="10">
                  <c:v>4455.8215029797957</c:v>
                </c:pt>
                <c:pt idx="11">
                  <c:v>2169.2999999999997</c:v>
                </c:pt>
                <c:pt idx="12">
                  <c:v>5940.2699999999995</c:v>
                </c:pt>
                <c:pt idx="13">
                  <c:v>1936.9999999999998</c:v>
                </c:pt>
              </c:numCache>
            </c:numRef>
          </c:val>
        </c:ser>
        <c:ser>
          <c:idx val="6"/>
          <c:order val="3"/>
          <c:tx>
            <c:strRef>
              <c:f>ČR!$U$3</c:f>
              <c:strCache>
                <c:ptCount val="1"/>
                <c:pt idx="0">
                  <c:v>nad 55 let</c:v>
                </c:pt>
              </c:strCache>
            </c:strRef>
          </c:tx>
          <c:invertIfNegative val="0"/>
          <c:cat>
            <c:strRef>
              <c:f>ČR!$N$5:$N$18</c:f>
              <c:strCache>
                <c:ptCount val="14"/>
                <c:pt idx="0">
                  <c:v>Praha</c:v>
                </c:pt>
                <c:pt idx="1">
                  <c:v>SČK</c:v>
                </c:pt>
                <c:pt idx="2">
                  <c:v>JČK</c:v>
                </c:pt>
                <c:pt idx="3">
                  <c:v>PLK</c:v>
                </c:pt>
                <c:pt idx="4">
                  <c:v>KVK</c:v>
                </c:pt>
                <c:pt idx="5">
                  <c:v>ULK</c:v>
                </c:pt>
                <c:pt idx="6">
                  <c:v>LBK</c:v>
                </c:pt>
                <c:pt idx="7">
                  <c:v>KHK</c:v>
                </c:pt>
                <c:pt idx="8">
                  <c:v>PAK</c:v>
                </c:pt>
                <c:pt idx="9">
                  <c:v>Vysočina</c:v>
                </c:pt>
                <c:pt idx="10">
                  <c:v>JMK</c:v>
                </c:pt>
                <c:pt idx="11">
                  <c:v>OLK</c:v>
                </c:pt>
                <c:pt idx="12">
                  <c:v>MSK</c:v>
                </c:pt>
                <c:pt idx="13">
                  <c:v>ZLK</c:v>
                </c:pt>
              </c:strCache>
            </c:strRef>
          </c:cat>
          <c:val>
            <c:numRef>
              <c:f>ČR!$U$5:$U$18</c:f>
              <c:numCache>
                <c:formatCode>#,##0</c:formatCode>
                <c:ptCount val="14"/>
                <c:pt idx="0">
                  <c:v>3543</c:v>
                </c:pt>
                <c:pt idx="1">
                  <c:v>4550</c:v>
                </c:pt>
                <c:pt idx="2">
                  <c:v>1751.924</c:v>
                </c:pt>
                <c:pt idx="3">
                  <c:v>1882.97792</c:v>
                </c:pt>
                <c:pt idx="4">
                  <c:v>1618.4869999999999</c:v>
                </c:pt>
                <c:pt idx="5">
                  <c:v>5406.3360000000002</c:v>
                </c:pt>
                <c:pt idx="6">
                  <c:v>1794.6449999999998</c:v>
                </c:pt>
                <c:pt idx="7">
                  <c:v>1509.9999999999998</c:v>
                </c:pt>
                <c:pt idx="8">
                  <c:v>1540</c:v>
                </c:pt>
                <c:pt idx="9">
                  <c:v>2153.0249999999996</c:v>
                </c:pt>
                <c:pt idx="10">
                  <c:v>5636.3638742187122</c:v>
                </c:pt>
                <c:pt idx="11">
                  <c:v>3305.6</c:v>
                </c:pt>
                <c:pt idx="12">
                  <c:v>9397.57</c:v>
                </c:pt>
                <c:pt idx="13">
                  <c:v>2389</c:v>
                </c:pt>
              </c:numCache>
            </c:numRef>
          </c:val>
        </c:ser>
        <c:ser>
          <c:idx val="4"/>
          <c:order val="4"/>
          <c:tx>
            <c:strRef>
              <c:f>ČR!$S$3</c:f>
              <c:strCache>
                <c:ptCount val="1"/>
                <c:pt idx="0">
                  <c:v>max. ZŠ</c:v>
                </c:pt>
              </c:strCache>
            </c:strRef>
          </c:tx>
          <c:invertIfNegative val="0"/>
          <c:cat>
            <c:strRef>
              <c:f>ČR!$N$5:$N$18</c:f>
              <c:strCache>
                <c:ptCount val="14"/>
                <c:pt idx="0">
                  <c:v>Praha</c:v>
                </c:pt>
                <c:pt idx="1">
                  <c:v>SČK</c:v>
                </c:pt>
                <c:pt idx="2">
                  <c:v>JČK</c:v>
                </c:pt>
                <c:pt idx="3">
                  <c:v>PLK</c:v>
                </c:pt>
                <c:pt idx="4">
                  <c:v>KVK</c:v>
                </c:pt>
                <c:pt idx="5">
                  <c:v>ULK</c:v>
                </c:pt>
                <c:pt idx="6">
                  <c:v>LBK</c:v>
                </c:pt>
                <c:pt idx="7">
                  <c:v>KHK</c:v>
                </c:pt>
                <c:pt idx="8">
                  <c:v>PAK</c:v>
                </c:pt>
                <c:pt idx="9">
                  <c:v>Vysočina</c:v>
                </c:pt>
                <c:pt idx="10">
                  <c:v>JMK</c:v>
                </c:pt>
                <c:pt idx="11">
                  <c:v>OLK</c:v>
                </c:pt>
                <c:pt idx="12">
                  <c:v>MSK</c:v>
                </c:pt>
                <c:pt idx="13">
                  <c:v>ZLK</c:v>
                </c:pt>
              </c:strCache>
            </c:strRef>
          </c:cat>
          <c:val>
            <c:numRef>
              <c:f>ČR!$S$5:$S$18</c:f>
              <c:numCache>
                <c:formatCode>#,##0</c:formatCode>
                <c:ptCount val="14"/>
                <c:pt idx="0">
                  <c:v>3043</c:v>
                </c:pt>
                <c:pt idx="1">
                  <c:v>5522</c:v>
                </c:pt>
                <c:pt idx="2">
                  <c:v>1854.0299999999997</c:v>
                </c:pt>
                <c:pt idx="3">
                  <c:v>2107.9791399999999</c:v>
                </c:pt>
                <c:pt idx="4">
                  <c:v>2998.8020000000001</c:v>
                </c:pt>
                <c:pt idx="5">
                  <c:v>11447.424000000001</c:v>
                </c:pt>
                <c:pt idx="6">
                  <c:v>2405.4540000000002</c:v>
                </c:pt>
                <c:pt idx="7">
                  <c:v>1879.9999999999998</c:v>
                </c:pt>
                <c:pt idx="8">
                  <c:v>1609</c:v>
                </c:pt>
                <c:pt idx="9">
                  <c:v>1599.3899999999999</c:v>
                </c:pt>
                <c:pt idx="10">
                  <c:v>6319.2560686079742</c:v>
                </c:pt>
                <c:pt idx="11">
                  <c:v>3615.4999999999995</c:v>
                </c:pt>
                <c:pt idx="12">
                  <c:v>11974.830000000002</c:v>
                </c:pt>
                <c:pt idx="13">
                  <c:v>1708</c:v>
                </c:pt>
              </c:numCache>
            </c:numRef>
          </c:val>
        </c:ser>
        <c:dLbls>
          <c:showLegendKey val="0"/>
          <c:showVal val="0"/>
          <c:showCatName val="0"/>
          <c:showSerName val="0"/>
          <c:showPercent val="0"/>
          <c:showBubbleSize val="0"/>
        </c:dLbls>
        <c:gapWidth val="150"/>
        <c:shape val="box"/>
        <c:axId val="189904000"/>
        <c:axId val="189905536"/>
        <c:axId val="176585792"/>
      </c:bar3DChart>
      <c:catAx>
        <c:axId val="189904000"/>
        <c:scaling>
          <c:orientation val="minMax"/>
        </c:scaling>
        <c:delete val="0"/>
        <c:axPos val="b"/>
        <c:majorGridlines/>
        <c:majorTickMark val="out"/>
        <c:minorTickMark val="none"/>
        <c:tickLblPos val="nextTo"/>
        <c:crossAx val="189905536"/>
        <c:crosses val="autoZero"/>
        <c:auto val="1"/>
        <c:lblAlgn val="ctr"/>
        <c:lblOffset val="100"/>
        <c:noMultiLvlLbl val="0"/>
      </c:catAx>
      <c:valAx>
        <c:axId val="189905536"/>
        <c:scaling>
          <c:orientation val="minMax"/>
        </c:scaling>
        <c:delete val="0"/>
        <c:axPos val="l"/>
        <c:majorGridlines/>
        <c:numFmt formatCode="#,##0" sourceLinked="1"/>
        <c:majorTickMark val="out"/>
        <c:minorTickMark val="none"/>
        <c:tickLblPos val="nextTo"/>
        <c:crossAx val="189904000"/>
        <c:crosses val="autoZero"/>
        <c:crossBetween val="between"/>
        <c:dispUnits>
          <c:builtInUnit val="thousands"/>
          <c:dispUnitsLbl>
            <c:layout>
              <c:manualLayout>
                <c:xMode val="edge"/>
                <c:yMode val="edge"/>
                <c:x val="5.5261410768221129E-2"/>
                <c:y val="0.22915546573627449"/>
              </c:manualLayout>
            </c:layout>
            <c:txPr>
              <a:bodyPr rot="0" vert="horz"/>
              <a:lstStyle/>
              <a:p>
                <a:pPr>
                  <a:defRPr/>
                </a:pPr>
                <a:endParaRPr lang="cs-CZ"/>
              </a:p>
            </c:txPr>
          </c:dispUnitsLbl>
        </c:dispUnits>
      </c:valAx>
      <c:serAx>
        <c:axId val="176585792"/>
        <c:scaling>
          <c:orientation val="minMax"/>
        </c:scaling>
        <c:delete val="0"/>
        <c:axPos val="b"/>
        <c:majorGridlines/>
        <c:majorTickMark val="out"/>
        <c:minorTickMark val="none"/>
        <c:tickLblPos val="nextTo"/>
        <c:crossAx val="189905536"/>
        <c:crosses val="autoZero"/>
      </c:ser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37640414561529E-2"/>
          <c:y val="0.15533028815751884"/>
          <c:w val="0.70795102898820628"/>
          <c:h val="0.75648917935121052"/>
        </c:manualLayout>
      </c:layout>
      <c:lineChart>
        <c:grouping val="stacked"/>
        <c:varyColors val="0"/>
        <c:ser>
          <c:idx val="0"/>
          <c:order val="0"/>
          <c:tx>
            <c:strRef>
              <c:f>List1!$B$1</c:f>
              <c:strCache>
                <c:ptCount val="1"/>
                <c:pt idx="0">
                  <c:v>počet umístěných osob - § 14 odst. 1 písm. a) a c) ZoZ</c:v>
                </c:pt>
              </c:strCache>
            </c:strRef>
          </c:tx>
          <c:marker>
            <c:symbol val="none"/>
          </c:marker>
          <c:cat>
            <c:numRef>
              <c:f>List1!$A$2:$A$13</c:f>
              <c:numCache>
                <c:formatCode>General</c:formatCode>
                <c:ptCount val="12"/>
                <c:pt idx="0">
                  <c:v>2004</c:v>
                </c:pt>
                <c:pt idx="1">
                  <c:v>2005</c:v>
                </c:pt>
                <c:pt idx="2">
                  <c:v>2006</c:v>
                </c:pt>
                <c:pt idx="3">
                  <c:v>2007</c:v>
                </c:pt>
                <c:pt idx="4">
                  <c:v>2008</c:v>
                </c:pt>
                <c:pt idx="5">
                  <c:v>2009</c:v>
                </c:pt>
                <c:pt idx="6">
                  <c:v>2010</c:v>
                </c:pt>
                <c:pt idx="7">
                  <c:v>2011</c:v>
                </c:pt>
                <c:pt idx="8">
                  <c:v>2012</c:v>
                </c:pt>
                <c:pt idx="9">
                  <c:v>2013</c:v>
                </c:pt>
                <c:pt idx="10">
                  <c:v>2014</c:v>
                </c:pt>
                <c:pt idx="11">
                  <c:v>2015</c:v>
                </c:pt>
              </c:numCache>
            </c:numRef>
          </c:cat>
          <c:val>
            <c:numRef>
              <c:f>List1!$B$2:$B$13</c:f>
              <c:numCache>
                <c:formatCode>General</c:formatCode>
                <c:ptCount val="12"/>
                <c:pt idx="0">
                  <c:v>4542</c:v>
                </c:pt>
                <c:pt idx="1">
                  <c:v>10110</c:v>
                </c:pt>
                <c:pt idx="2">
                  <c:v>21322</c:v>
                </c:pt>
                <c:pt idx="3">
                  <c:v>2881</c:v>
                </c:pt>
                <c:pt idx="4">
                  <c:v>84553</c:v>
                </c:pt>
                <c:pt idx="5">
                  <c:v>44736</c:v>
                </c:pt>
                <c:pt idx="6">
                  <c:v>52441</c:v>
                </c:pt>
                <c:pt idx="7">
                  <c:v>45223</c:v>
                </c:pt>
                <c:pt idx="8">
                  <c:v>50410</c:v>
                </c:pt>
                <c:pt idx="9">
                  <c:v>50204</c:v>
                </c:pt>
                <c:pt idx="10">
                  <c:v>61656</c:v>
                </c:pt>
                <c:pt idx="11">
                  <c:v>58873</c:v>
                </c:pt>
              </c:numCache>
            </c:numRef>
          </c:val>
          <c:smooth val="0"/>
        </c:ser>
        <c:ser>
          <c:idx val="1"/>
          <c:order val="1"/>
          <c:tx>
            <c:strRef>
              <c:f>List1!$C$1</c:f>
              <c:strCache>
                <c:ptCount val="1"/>
                <c:pt idx="0">
                  <c:v>počet dočasně přidělených - § 14 odst. 1 písm. b) ZoZ</c:v>
                </c:pt>
              </c:strCache>
            </c:strRef>
          </c:tx>
          <c:marker>
            <c:symbol val="none"/>
          </c:marker>
          <c:cat>
            <c:numRef>
              <c:f>List1!$A$2:$A$13</c:f>
              <c:numCache>
                <c:formatCode>General</c:formatCode>
                <c:ptCount val="12"/>
                <c:pt idx="0">
                  <c:v>2004</c:v>
                </c:pt>
                <c:pt idx="1">
                  <c:v>2005</c:v>
                </c:pt>
                <c:pt idx="2">
                  <c:v>2006</c:v>
                </c:pt>
                <c:pt idx="3">
                  <c:v>2007</c:v>
                </c:pt>
                <c:pt idx="4">
                  <c:v>2008</c:v>
                </c:pt>
                <c:pt idx="5">
                  <c:v>2009</c:v>
                </c:pt>
                <c:pt idx="6">
                  <c:v>2010</c:v>
                </c:pt>
                <c:pt idx="7">
                  <c:v>2011</c:v>
                </c:pt>
                <c:pt idx="8">
                  <c:v>2012</c:v>
                </c:pt>
                <c:pt idx="9">
                  <c:v>2013</c:v>
                </c:pt>
                <c:pt idx="10">
                  <c:v>2014</c:v>
                </c:pt>
                <c:pt idx="11">
                  <c:v>2015</c:v>
                </c:pt>
              </c:numCache>
            </c:numRef>
          </c:cat>
          <c:val>
            <c:numRef>
              <c:f>List1!$C$2:$C$13</c:f>
              <c:numCache>
                <c:formatCode>General</c:formatCode>
                <c:ptCount val="12"/>
                <c:pt idx="0">
                  <c:v>7202</c:v>
                </c:pt>
                <c:pt idx="1">
                  <c:v>56192</c:v>
                </c:pt>
                <c:pt idx="2">
                  <c:v>50122</c:v>
                </c:pt>
                <c:pt idx="3">
                  <c:v>6427</c:v>
                </c:pt>
                <c:pt idx="4">
                  <c:v>230455</c:v>
                </c:pt>
                <c:pt idx="5">
                  <c:v>164521</c:v>
                </c:pt>
                <c:pt idx="6">
                  <c:v>197165</c:v>
                </c:pt>
                <c:pt idx="7">
                  <c:v>171787</c:v>
                </c:pt>
                <c:pt idx="8">
                  <c:v>201184</c:v>
                </c:pt>
                <c:pt idx="9">
                  <c:v>223821</c:v>
                </c:pt>
                <c:pt idx="10">
                  <c:v>254947</c:v>
                </c:pt>
                <c:pt idx="11">
                  <c:v>277411</c:v>
                </c:pt>
              </c:numCache>
            </c:numRef>
          </c:val>
          <c:smooth val="0"/>
        </c:ser>
        <c:dLbls>
          <c:showLegendKey val="0"/>
          <c:showVal val="0"/>
          <c:showCatName val="0"/>
          <c:showSerName val="0"/>
          <c:showPercent val="0"/>
          <c:showBubbleSize val="0"/>
        </c:dLbls>
        <c:marker val="1"/>
        <c:smooth val="0"/>
        <c:axId val="189949056"/>
        <c:axId val="189950592"/>
      </c:lineChart>
      <c:catAx>
        <c:axId val="189949056"/>
        <c:scaling>
          <c:orientation val="minMax"/>
        </c:scaling>
        <c:delete val="0"/>
        <c:axPos val="b"/>
        <c:numFmt formatCode="General" sourceLinked="1"/>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89950592"/>
        <c:crosses val="autoZero"/>
        <c:auto val="1"/>
        <c:lblAlgn val="ctr"/>
        <c:lblOffset val="100"/>
        <c:noMultiLvlLbl val="0"/>
      </c:catAx>
      <c:valAx>
        <c:axId val="189950592"/>
        <c:scaling>
          <c:orientation val="minMax"/>
        </c:scaling>
        <c:delete val="0"/>
        <c:axPos val="l"/>
        <c:majorGridlines/>
        <c:numFmt formatCode="General" sourceLinked="1"/>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89949056"/>
        <c:crosses val="autoZero"/>
        <c:crossBetween val="between"/>
        <c:dispUnits>
          <c:builtInUnit val="thousands"/>
          <c:dispUnitsLbl>
            <c:layout>
              <c:manualLayout>
                <c:xMode val="edge"/>
                <c:yMode val="edge"/>
                <c:x val="4.3765466194646246E-2"/>
                <c:y val="2.8956026848050445E-2"/>
              </c:manualLayout>
            </c:layout>
            <c:txPr>
              <a:bodyPr rot="0" vert="horz"/>
              <a:lstStyle/>
              <a:p>
                <a:pPr>
                  <a:defRPr sz="800">
                    <a:latin typeface="Arial" panose="020B0604020202020204" pitchFamily="34" charset="0"/>
                    <a:cs typeface="Arial" panose="020B0604020202020204" pitchFamily="34" charset="0"/>
                  </a:defRPr>
                </a:pPr>
                <a:endParaRPr lang="cs-CZ"/>
              </a:p>
            </c:txPr>
          </c:dispUnitsLbl>
        </c:dispUnits>
      </c:valAx>
    </c:plotArea>
    <c:legend>
      <c:legendPos val="r"/>
      <c:layout>
        <c:manualLayout>
          <c:xMode val="edge"/>
          <c:yMode val="edge"/>
          <c:x val="0.79823752658464009"/>
          <c:y val="0.18999521716939888"/>
          <c:w val="0.1878871632027744"/>
          <c:h val="0.65590914635320707"/>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zero"/>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Počet agentur práce </c:v>
                </c:pt>
              </c:strCache>
            </c:strRef>
          </c:tx>
          <c:invertIfNegative val="0"/>
          <c:cat>
            <c:numRef>
              <c:f>List1!$A$2:$A$14</c:f>
              <c:numCache>
                <c:formatCode>General</c:formatCode>
                <c:ptCount val="13"/>
                <c:pt idx="0">
                  <c:v>2004</c:v>
                </c:pt>
                <c:pt idx="1">
                  <c:v>2005</c:v>
                </c:pt>
                <c:pt idx="2">
                  <c:v>2006</c:v>
                </c:pt>
                <c:pt idx="3">
                  <c:v>2007</c:v>
                </c:pt>
                <c:pt idx="4">
                  <c:v>2008</c:v>
                </c:pt>
                <c:pt idx="5">
                  <c:v>2009</c:v>
                </c:pt>
                <c:pt idx="6">
                  <c:v>2010</c:v>
                </c:pt>
                <c:pt idx="7">
                  <c:v>2011</c:v>
                </c:pt>
                <c:pt idx="8">
                  <c:v>2012</c:v>
                </c:pt>
                <c:pt idx="9">
                  <c:v>2013</c:v>
                </c:pt>
                <c:pt idx="10">
                  <c:v>2014</c:v>
                </c:pt>
                <c:pt idx="11">
                  <c:v>2015</c:v>
                </c:pt>
                <c:pt idx="12" formatCode="m/d/yyyy">
                  <c:v>42633</c:v>
                </c:pt>
              </c:numCache>
            </c:numRef>
          </c:cat>
          <c:val>
            <c:numRef>
              <c:f>List1!$B$2:$B$14</c:f>
              <c:numCache>
                <c:formatCode>General</c:formatCode>
                <c:ptCount val="13"/>
                <c:pt idx="0">
                  <c:v>590</c:v>
                </c:pt>
                <c:pt idx="1">
                  <c:v>1147</c:v>
                </c:pt>
                <c:pt idx="2">
                  <c:v>1510</c:v>
                </c:pt>
                <c:pt idx="3">
                  <c:v>1811</c:v>
                </c:pt>
                <c:pt idx="4">
                  <c:v>2228</c:v>
                </c:pt>
                <c:pt idx="5">
                  <c:v>2215</c:v>
                </c:pt>
                <c:pt idx="6">
                  <c:v>1714</c:v>
                </c:pt>
                <c:pt idx="7">
                  <c:v>1458</c:v>
                </c:pt>
                <c:pt idx="8">
                  <c:v>1491</c:v>
                </c:pt>
                <c:pt idx="9">
                  <c:v>1592</c:v>
                </c:pt>
                <c:pt idx="10">
                  <c:v>1586</c:v>
                </c:pt>
                <c:pt idx="11">
                  <c:v>1701</c:v>
                </c:pt>
                <c:pt idx="12">
                  <c:v>1889</c:v>
                </c:pt>
              </c:numCache>
            </c:numRef>
          </c:val>
        </c:ser>
        <c:dLbls>
          <c:showLegendKey val="0"/>
          <c:showVal val="0"/>
          <c:showCatName val="0"/>
          <c:showSerName val="0"/>
          <c:showPercent val="0"/>
          <c:showBubbleSize val="0"/>
        </c:dLbls>
        <c:gapWidth val="150"/>
        <c:axId val="189962880"/>
        <c:axId val="189985152"/>
      </c:barChart>
      <c:catAx>
        <c:axId val="189962880"/>
        <c:scaling>
          <c:orientation val="minMax"/>
        </c:scaling>
        <c:delete val="0"/>
        <c:axPos val="b"/>
        <c:numFmt formatCode="General" sourceLinked="1"/>
        <c:majorTickMark val="none"/>
        <c:minorTickMark val="none"/>
        <c:tickLblPos val="nextTo"/>
        <c:crossAx val="189985152"/>
        <c:crosses val="autoZero"/>
        <c:auto val="1"/>
        <c:lblAlgn val="ctr"/>
        <c:lblOffset val="100"/>
        <c:noMultiLvlLbl val="0"/>
      </c:catAx>
      <c:valAx>
        <c:axId val="189985152"/>
        <c:scaling>
          <c:orientation val="minMax"/>
        </c:scaling>
        <c:delete val="0"/>
        <c:axPos val="l"/>
        <c:majorGridlines/>
        <c:numFmt formatCode="General" sourceLinked="1"/>
        <c:majorTickMark val="none"/>
        <c:minorTickMark val="none"/>
        <c:tickLblPos val="nextTo"/>
        <c:crossAx val="18996288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3978201634877384E-2"/>
          <c:y val="0"/>
          <c:w val="0.95204785191882391"/>
          <c:h val="0.92073927009448409"/>
        </c:manualLayout>
      </c:layout>
      <c:bar3DChart>
        <c:barDir val="col"/>
        <c:grouping val="clustered"/>
        <c:varyColors val="0"/>
        <c:ser>
          <c:idx val="0"/>
          <c:order val="0"/>
          <c:tx>
            <c:strRef>
              <c:f>'počet kontrol (2)'!$B$15</c:f>
              <c:strCache>
                <c:ptCount val="1"/>
                <c:pt idx="0">
                  <c:v>Počet kontrol </c:v>
                </c:pt>
              </c:strCache>
            </c:strRef>
          </c:tx>
          <c:spPr>
            <a:solidFill>
              <a:schemeClr val="accent1"/>
            </a:solidFill>
            <a:ln>
              <a:noFill/>
            </a:ln>
            <a:effectLst/>
            <a:sp3d/>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'počet kontrol (2)'!$A$16:$A$23</c:f>
              <c:strCache>
                <c:ptCount val="8"/>
                <c:pt idx="0">
                  <c:v>2009</c:v>
                </c:pt>
                <c:pt idx="1">
                  <c:v>2010</c:v>
                </c:pt>
                <c:pt idx="2">
                  <c:v>2011</c:v>
                </c:pt>
                <c:pt idx="3">
                  <c:v>2012</c:v>
                </c:pt>
                <c:pt idx="4">
                  <c:v>2013</c:v>
                </c:pt>
                <c:pt idx="5">
                  <c:v>2014</c:v>
                </c:pt>
                <c:pt idx="6">
                  <c:v>2015</c:v>
                </c:pt>
                <c:pt idx="7">
                  <c:v>1. pol. 2016</c:v>
                </c:pt>
              </c:strCache>
            </c:strRef>
          </c:cat>
          <c:val>
            <c:numRef>
              <c:f>'počet kontrol (2)'!$B$16:$B$23</c:f>
              <c:numCache>
                <c:formatCode>General</c:formatCode>
                <c:ptCount val="8"/>
                <c:pt idx="0">
                  <c:v>157</c:v>
                </c:pt>
                <c:pt idx="1">
                  <c:v>142</c:v>
                </c:pt>
                <c:pt idx="2">
                  <c:v>90</c:v>
                </c:pt>
                <c:pt idx="3">
                  <c:v>155</c:v>
                </c:pt>
                <c:pt idx="4">
                  <c:v>224</c:v>
                </c:pt>
                <c:pt idx="5">
                  <c:v>524</c:v>
                </c:pt>
                <c:pt idx="6">
                  <c:v>446</c:v>
                </c:pt>
                <c:pt idx="7">
                  <c:v>154</c:v>
                </c:pt>
              </c:numCache>
            </c:numRef>
          </c:val>
        </c:ser>
        <c:ser>
          <c:idx val="1"/>
          <c:order val="1"/>
          <c:tx>
            <c:strRef>
              <c:f>'počet kontrol (2)'!$C$15</c:f>
              <c:strCache>
                <c:ptCount val="1"/>
                <c:pt idx="0">
                  <c:v>Počet kontrol s nedostatkem</c:v>
                </c:pt>
              </c:strCache>
            </c:strRef>
          </c:tx>
          <c:spPr>
            <a:solidFill>
              <a:schemeClr val="accent2"/>
            </a:solidFill>
            <a:ln>
              <a:noFill/>
            </a:ln>
            <a:effectLst/>
            <a:sp3d/>
          </c:spPr>
          <c:invertIfNegative val="0"/>
          <c:cat>
            <c:strRef>
              <c:f>'počet kontrol (2)'!$A$16:$A$23</c:f>
              <c:strCache>
                <c:ptCount val="8"/>
                <c:pt idx="0">
                  <c:v>2009</c:v>
                </c:pt>
                <c:pt idx="1">
                  <c:v>2010</c:v>
                </c:pt>
                <c:pt idx="2">
                  <c:v>2011</c:v>
                </c:pt>
                <c:pt idx="3">
                  <c:v>2012</c:v>
                </c:pt>
                <c:pt idx="4">
                  <c:v>2013</c:v>
                </c:pt>
                <c:pt idx="5">
                  <c:v>2014</c:v>
                </c:pt>
                <c:pt idx="6">
                  <c:v>2015</c:v>
                </c:pt>
                <c:pt idx="7">
                  <c:v>1. pol. 2016</c:v>
                </c:pt>
              </c:strCache>
            </c:strRef>
          </c:cat>
          <c:val>
            <c:numRef>
              <c:f>'počet kontrol (2)'!$C$16:$C$23</c:f>
              <c:numCache>
                <c:formatCode>General</c:formatCode>
                <c:ptCount val="8"/>
                <c:pt idx="0">
                  <c:v>58</c:v>
                </c:pt>
                <c:pt idx="1">
                  <c:v>84</c:v>
                </c:pt>
                <c:pt idx="2">
                  <c:v>54</c:v>
                </c:pt>
                <c:pt idx="3">
                  <c:v>76</c:v>
                </c:pt>
                <c:pt idx="4">
                  <c:v>117</c:v>
                </c:pt>
                <c:pt idx="5">
                  <c:v>209</c:v>
                </c:pt>
                <c:pt idx="6">
                  <c:v>306</c:v>
                </c:pt>
                <c:pt idx="7">
                  <c:v>83</c:v>
                </c:pt>
              </c:numCache>
            </c:numRef>
          </c:val>
        </c:ser>
        <c:dLbls>
          <c:showLegendKey val="0"/>
          <c:showVal val="1"/>
          <c:showCatName val="0"/>
          <c:showSerName val="0"/>
          <c:showPercent val="0"/>
          <c:showBubbleSize val="0"/>
        </c:dLbls>
        <c:gapWidth val="150"/>
        <c:shape val="box"/>
        <c:axId val="190263680"/>
        <c:axId val="190265216"/>
        <c:axId val="0"/>
      </c:bar3DChart>
      <c:catAx>
        <c:axId val="190263680"/>
        <c:scaling>
          <c:orientation val="minMax"/>
        </c:scaling>
        <c:delete val="0"/>
        <c:axPos val="b"/>
        <c:numFmt formatCode="General" sourceLinked="1"/>
        <c:majorTickMark val="none"/>
        <c:minorTickMark val="none"/>
        <c:tickLblPos val="nextTo"/>
        <c:spPr>
          <a:noFill/>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90265216"/>
        <c:crosses val="autoZero"/>
        <c:auto val="1"/>
        <c:lblAlgn val="ctr"/>
        <c:lblOffset val="100"/>
        <c:noMultiLvlLbl val="0"/>
      </c:catAx>
      <c:valAx>
        <c:axId val="190265216"/>
        <c:scaling>
          <c:orientation val="minMax"/>
        </c:scaling>
        <c:delete val="1"/>
        <c:axPos val="l"/>
        <c:numFmt formatCode="General" sourceLinked="1"/>
        <c:majorTickMark val="none"/>
        <c:minorTickMark val="none"/>
        <c:tickLblPos val="nextTo"/>
        <c:crossAx val="190263680"/>
        <c:crosses val="autoZero"/>
        <c:crossBetween val="between"/>
      </c:valAx>
      <c:spPr>
        <a:noFill/>
        <a:ln>
          <a:noFill/>
        </a:ln>
        <a:effectLst/>
      </c:spPr>
    </c:plotArea>
    <c:legend>
      <c:legendPos val="t"/>
      <c:layout>
        <c:manualLayout>
          <c:xMode val="edge"/>
          <c:yMode val="edge"/>
          <c:x val="0.11293509837155914"/>
          <c:y val="0.14094304168873203"/>
          <c:w val="0.27718177983133341"/>
          <c:h val="0.21729641801701011"/>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7564764374241738E-2"/>
          <c:y val="0.19410741702126266"/>
          <c:w val="0.86776252666301912"/>
          <c:h val="0.31035971008343272"/>
        </c:manualLayout>
      </c:layout>
      <c:barChart>
        <c:barDir val="bar"/>
        <c:grouping val="percentStacked"/>
        <c:varyColors val="0"/>
        <c:ser>
          <c:idx val="0"/>
          <c:order val="0"/>
          <c:tx>
            <c:strRef>
              <c:f>List2!$B$3</c:f>
              <c:strCache>
                <c:ptCount val="1"/>
                <c:pt idx="0">
                  <c:v>Zaměstnanci v ozbrojených silách</c:v>
                </c:pt>
              </c:strCache>
            </c:strRef>
          </c:tx>
          <c:invertIfNegative val="0"/>
          <c:cat>
            <c:strRef>
              <c:f>(List2!$D$1,List2!$J$1)</c:f>
              <c:strCache>
                <c:ptCount val="2"/>
                <c:pt idx="0">
                  <c:v>0-3</c:v>
                </c:pt>
                <c:pt idx="1">
                  <c:v>nad 12</c:v>
                </c:pt>
              </c:strCache>
            </c:strRef>
          </c:cat>
          <c:val>
            <c:numRef>
              <c:f>(List2!$D$3,List2!$J$3)</c:f>
              <c:numCache>
                <c:formatCode>General</c:formatCode>
                <c:ptCount val="2"/>
                <c:pt idx="0">
                  <c:v>74</c:v>
                </c:pt>
                <c:pt idx="1">
                  <c:v>18</c:v>
                </c:pt>
              </c:numCache>
            </c:numRef>
          </c:val>
        </c:ser>
        <c:ser>
          <c:idx val="1"/>
          <c:order val="1"/>
          <c:tx>
            <c:strRef>
              <c:f>List2!$B$13</c:f>
              <c:strCache>
                <c:ptCount val="1"/>
                <c:pt idx="0">
                  <c:v>Specialisté</c:v>
                </c:pt>
              </c:strCache>
            </c:strRef>
          </c:tx>
          <c:invertIfNegative val="0"/>
          <c:cat>
            <c:strRef>
              <c:f>(List2!$D$1,List2!$J$1)</c:f>
              <c:strCache>
                <c:ptCount val="2"/>
                <c:pt idx="0">
                  <c:v>0-3</c:v>
                </c:pt>
                <c:pt idx="1">
                  <c:v>nad 12</c:v>
                </c:pt>
              </c:strCache>
            </c:strRef>
          </c:cat>
          <c:val>
            <c:numRef>
              <c:f>(List2!$D$13,List2!$J$13)</c:f>
              <c:numCache>
                <c:formatCode>#,##0</c:formatCode>
                <c:ptCount val="2"/>
                <c:pt idx="0">
                  <c:v>3506</c:v>
                </c:pt>
                <c:pt idx="1">
                  <c:v>2017</c:v>
                </c:pt>
              </c:numCache>
            </c:numRef>
          </c:val>
        </c:ser>
        <c:ser>
          <c:idx val="2"/>
          <c:order val="2"/>
          <c:tx>
            <c:strRef>
              <c:f>List2!$B$21</c:f>
              <c:strCache>
                <c:ptCount val="1"/>
                <c:pt idx="0">
                  <c:v>Techničtí a odborní pracovníci</c:v>
                </c:pt>
              </c:strCache>
            </c:strRef>
          </c:tx>
          <c:invertIfNegative val="0"/>
          <c:cat>
            <c:strRef>
              <c:f>(List2!$D$1,List2!$J$1)</c:f>
              <c:strCache>
                <c:ptCount val="2"/>
                <c:pt idx="0">
                  <c:v>0-3</c:v>
                </c:pt>
                <c:pt idx="1">
                  <c:v>nad 12</c:v>
                </c:pt>
              </c:strCache>
            </c:strRef>
          </c:cat>
          <c:val>
            <c:numRef>
              <c:f>(List2!$D$21,List2!$J$21)</c:f>
              <c:numCache>
                <c:formatCode>#,##0</c:formatCode>
                <c:ptCount val="2"/>
                <c:pt idx="0">
                  <c:v>5559</c:v>
                </c:pt>
                <c:pt idx="1">
                  <c:v>1827</c:v>
                </c:pt>
              </c:numCache>
            </c:numRef>
          </c:val>
        </c:ser>
        <c:ser>
          <c:idx val="3"/>
          <c:order val="3"/>
          <c:tx>
            <c:strRef>
              <c:f>List2!$B$21</c:f>
              <c:strCache>
                <c:ptCount val="1"/>
                <c:pt idx="0">
                  <c:v>Techničtí a odborní pracovníci</c:v>
                </c:pt>
              </c:strCache>
            </c:strRef>
          </c:tx>
          <c:invertIfNegative val="0"/>
          <c:cat>
            <c:strRef>
              <c:f>(List2!$D$1,List2!$J$1)</c:f>
              <c:strCache>
                <c:ptCount val="2"/>
                <c:pt idx="0">
                  <c:v>0-3</c:v>
                </c:pt>
                <c:pt idx="1">
                  <c:v>nad 12</c:v>
                </c:pt>
              </c:strCache>
            </c:strRef>
          </c:cat>
          <c:val>
            <c:numRef>
              <c:f>(List2!$D$21,List2!$J$21)</c:f>
              <c:numCache>
                <c:formatCode>#,##0</c:formatCode>
                <c:ptCount val="2"/>
                <c:pt idx="0">
                  <c:v>5559</c:v>
                </c:pt>
                <c:pt idx="1">
                  <c:v>1827</c:v>
                </c:pt>
              </c:numCache>
            </c:numRef>
          </c:val>
        </c:ser>
        <c:ser>
          <c:idx val="4"/>
          <c:order val="4"/>
          <c:tx>
            <c:strRef>
              <c:f>List2!$B$28</c:f>
              <c:strCache>
                <c:ptCount val="1"/>
                <c:pt idx="0">
                  <c:v>Úředníci</c:v>
                </c:pt>
              </c:strCache>
            </c:strRef>
          </c:tx>
          <c:invertIfNegative val="0"/>
          <c:cat>
            <c:strRef>
              <c:f>(List2!$D$1,List2!$J$1)</c:f>
              <c:strCache>
                <c:ptCount val="2"/>
                <c:pt idx="0">
                  <c:v>0-3</c:v>
                </c:pt>
                <c:pt idx="1">
                  <c:v>nad 12</c:v>
                </c:pt>
              </c:strCache>
            </c:strRef>
          </c:cat>
          <c:val>
            <c:numRef>
              <c:f>(List2!$D$28,List2!$J$28)</c:f>
              <c:numCache>
                <c:formatCode>#,##0</c:formatCode>
                <c:ptCount val="2"/>
                <c:pt idx="0">
                  <c:v>2873</c:v>
                </c:pt>
                <c:pt idx="1">
                  <c:v>1034</c:v>
                </c:pt>
              </c:numCache>
            </c:numRef>
          </c:val>
        </c:ser>
        <c:ser>
          <c:idx val="5"/>
          <c:order val="5"/>
          <c:tx>
            <c:strRef>
              <c:f>List2!$B$34</c:f>
              <c:strCache>
                <c:ptCount val="1"/>
                <c:pt idx="0">
                  <c:v>Pracovníci ve službách a prodeji</c:v>
                </c:pt>
              </c:strCache>
            </c:strRef>
          </c:tx>
          <c:invertIfNegative val="0"/>
          <c:cat>
            <c:strRef>
              <c:f>(List2!$D$1,List2!$J$1)</c:f>
              <c:strCache>
                <c:ptCount val="2"/>
                <c:pt idx="0">
                  <c:v>0-3</c:v>
                </c:pt>
                <c:pt idx="1">
                  <c:v>nad 12</c:v>
                </c:pt>
              </c:strCache>
            </c:strRef>
          </c:cat>
          <c:val>
            <c:numRef>
              <c:f>(List2!$D$28,List2!$J$28)</c:f>
              <c:numCache>
                <c:formatCode>#,##0</c:formatCode>
                <c:ptCount val="2"/>
                <c:pt idx="0">
                  <c:v>2873</c:v>
                </c:pt>
                <c:pt idx="1">
                  <c:v>1034</c:v>
                </c:pt>
              </c:numCache>
            </c:numRef>
          </c:val>
        </c:ser>
        <c:ser>
          <c:idx val="6"/>
          <c:order val="6"/>
          <c:tx>
            <c:strRef>
              <c:f>List2!$B$40</c:f>
              <c:strCache>
                <c:ptCount val="1"/>
                <c:pt idx="0">
                  <c:v>Kvalifikovaní pracovníci v zem., les., ryb.</c:v>
                </c:pt>
              </c:strCache>
            </c:strRef>
          </c:tx>
          <c:invertIfNegative val="0"/>
          <c:cat>
            <c:strRef>
              <c:f>(List2!$D$1,List2!$J$1)</c:f>
              <c:strCache>
                <c:ptCount val="2"/>
                <c:pt idx="0">
                  <c:v>0-3</c:v>
                </c:pt>
                <c:pt idx="1">
                  <c:v>nad 12</c:v>
                </c:pt>
              </c:strCache>
            </c:strRef>
          </c:cat>
          <c:val>
            <c:numRef>
              <c:f>(List2!$D$40,List2!$J$40)</c:f>
              <c:numCache>
                <c:formatCode>General</c:formatCode>
                <c:ptCount val="2"/>
                <c:pt idx="0">
                  <c:v>419</c:v>
                </c:pt>
                <c:pt idx="1">
                  <c:v>132</c:v>
                </c:pt>
              </c:numCache>
            </c:numRef>
          </c:val>
        </c:ser>
        <c:ser>
          <c:idx val="7"/>
          <c:order val="7"/>
          <c:tx>
            <c:strRef>
              <c:f>List2!$B$45</c:f>
              <c:strCache>
                <c:ptCount val="1"/>
                <c:pt idx="0">
                  <c:v>Řemeslníci a opraváři</c:v>
                </c:pt>
              </c:strCache>
            </c:strRef>
          </c:tx>
          <c:invertIfNegative val="0"/>
          <c:val>
            <c:numRef>
              <c:f>(List2!$D$45,List2!$J$45)</c:f>
              <c:numCache>
                <c:formatCode>#,##0</c:formatCode>
                <c:ptCount val="2"/>
                <c:pt idx="0">
                  <c:v>11815</c:v>
                </c:pt>
                <c:pt idx="1">
                  <c:v>5711</c:v>
                </c:pt>
              </c:numCache>
            </c:numRef>
          </c:val>
        </c:ser>
        <c:ser>
          <c:idx val="8"/>
          <c:order val="8"/>
          <c:tx>
            <c:strRef>
              <c:f>List2!$B$52</c:f>
              <c:strCache>
                <c:ptCount val="1"/>
                <c:pt idx="0">
                  <c:v>Obsluha strojů a zařízení, montéři</c:v>
                </c:pt>
              </c:strCache>
            </c:strRef>
          </c:tx>
          <c:invertIfNegative val="0"/>
          <c:val>
            <c:numRef>
              <c:f>(List2!$D$52,List2!$J$52)</c:f>
              <c:numCache>
                <c:formatCode>#,##0</c:formatCode>
                <c:ptCount val="2"/>
                <c:pt idx="0">
                  <c:v>12784</c:v>
                </c:pt>
                <c:pt idx="1">
                  <c:v>5638</c:v>
                </c:pt>
              </c:numCache>
            </c:numRef>
          </c:val>
        </c:ser>
        <c:ser>
          <c:idx val="9"/>
          <c:order val="9"/>
          <c:tx>
            <c:strRef>
              <c:f>List2!$B$57</c:f>
              <c:strCache>
                <c:ptCount val="1"/>
                <c:pt idx="0">
                  <c:v>Pomocní a nekvalifikovaní pracovníci</c:v>
                </c:pt>
              </c:strCache>
            </c:strRef>
          </c:tx>
          <c:invertIfNegative val="0"/>
          <c:val>
            <c:numRef>
              <c:f>(List2!$D$57,List2!$J$57)</c:f>
              <c:numCache>
                <c:formatCode>#,##0</c:formatCode>
                <c:ptCount val="2"/>
                <c:pt idx="0">
                  <c:v>12802</c:v>
                </c:pt>
                <c:pt idx="1">
                  <c:v>5496</c:v>
                </c:pt>
              </c:numCache>
            </c:numRef>
          </c:val>
        </c:ser>
        <c:dLbls>
          <c:showLegendKey val="0"/>
          <c:showVal val="0"/>
          <c:showCatName val="0"/>
          <c:showSerName val="0"/>
          <c:showPercent val="0"/>
          <c:showBubbleSize val="0"/>
        </c:dLbls>
        <c:gapWidth val="150"/>
        <c:overlap val="100"/>
        <c:axId val="164539392"/>
        <c:axId val="164541184"/>
      </c:barChart>
      <c:catAx>
        <c:axId val="164539392"/>
        <c:scaling>
          <c:orientation val="minMax"/>
        </c:scaling>
        <c:delete val="0"/>
        <c:axPos val="l"/>
        <c:majorTickMark val="out"/>
        <c:minorTickMark val="none"/>
        <c:tickLblPos val="nextTo"/>
        <c:crossAx val="164541184"/>
        <c:crosses val="autoZero"/>
        <c:auto val="1"/>
        <c:lblAlgn val="ctr"/>
        <c:lblOffset val="100"/>
        <c:noMultiLvlLbl val="0"/>
      </c:catAx>
      <c:valAx>
        <c:axId val="164541184"/>
        <c:scaling>
          <c:orientation val="minMax"/>
        </c:scaling>
        <c:delete val="0"/>
        <c:axPos val="b"/>
        <c:majorGridlines/>
        <c:minorGridlines/>
        <c:numFmt formatCode="0%" sourceLinked="1"/>
        <c:majorTickMark val="out"/>
        <c:minorTickMark val="none"/>
        <c:tickLblPos val="nextTo"/>
        <c:crossAx val="164539392"/>
        <c:crosses val="autoZero"/>
        <c:crossBetween val="between"/>
        <c:minorUnit val="1.0000000000000002E-2"/>
      </c:valAx>
    </c:plotArea>
    <c:legend>
      <c:legendPos val="b"/>
      <c:layout>
        <c:manualLayout>
          <c:xMode val="edge"/>
          <c:yMode val="edge"/>
          <c:x val="7.9314096311979138E-2"/>
          <c:y val="0.64838645935189088"/>
          <c:w val="0.87762542522063891"/>
          <c:h val="0.26380304247182362"/>
        </c:manualLayout>
      </c:layout>
      <c:overlay val="0"/>
      <c:txPr>
        <a:bodyPr/>
        <a:lstStyle/>
        <a:p>
          <a:pPr>
            <a:defRPr sz="800"/>
          </a:pPr>
          <a:endParaRPr lang="cs-CZ"/>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650324672718666E-2"/>
          <c:y val="0.14300289142866449"/>
          <c:w val="0.90569481567097687"/>
          <c:h val="0.67085491118744767"/>
        </c:manualLayout>
      </c:layout>
      <c:barChart>
        <c:barDir val="col"/>
        <c:grouping val="percentStacked"/>
        <c:varyColors val="0"/>
        <c:ser>
          <c:idx val="3"/>
          <c:order val="0"/>
          <c:tx>
            <c:strRef>
              <c:f>List2!$J$68</c:f>
              <c:strCache>
                <c:ptCount val="1"/>
                <c:pt idx="0">
                  <c:v>nad 12</c:v>
                </c:pt>
              </c:strCache>
            </c:strRef>
          </c:tx>
          <c:spPr>
            <a:solidFill>
              <a:schemeClr val="accent2">
                <a:lumMod val="75000"/>
              </a:schemeClr>
            </a:solidFill>
          </c:spPr>
          <c:invertIfNegative val="0"/>
          <c:cat>
            <c:strRef>
              <c:f>List2!$B$70:$B$81</c:f>
              <c:strCache>
                <c:ptCount val="12"/>
                <c:pt idx="0">
                  <c:v>Bez + neúpl. ZŠ</c:v>
                </c:pt>
                <c:pt idx="1">
                  <c:v>ZŠ + praktická škola</c:v>
                </c:pt>
                <c:pt idx="2">
                  <c:v>Nižší střední</c:v>
                </c:pt>
                <c:pt idx="3">
                  <c:v>Nižší střední odborné</c:v>
                </c:pt>
                <c:pt idx="4">
                  <c:v>Střední odb. (vyučen)</c:v>
                </c:pt>
                <c:pt idx="5">
                  <c:v>Střední odb. bez mat. a vyuč.</c:v>
                </c:pt>
                <c:pt idx="6">
                  <c:v>ÚSV</c:v>
                </c:pt>
                <c:pt idx="7">
                  <c:v>ÚSO (vyuč.+ mat.)</c:v>
                </c:pt>
                <c:pt idx="8">
                  <c:v>ÚSO s maturitou (bez vyučení)</c:v>
                </c:pt>
                <c:pt idx="9">
                  <c:v>VOŠ (vč. Konz.)</c:v>
                </c:pt>
                <c:pt idx="10">
                  <c:v>Bakalář.</c:v>
                </c:pt>
                <c:pt idx="11">
                  <c:v>VŠ (vč. doktor.)</c:v>
                </c:pt>
              </c:strCache>
            </c:strRef>
          </c:cat>
          <c:val>
            <c:numRef>
              <c:f>List2!$K$70:$K$81</c:f>
              <c:numCache>
                <c:formatCode>0.00%</c:formatCode>
                <c:ptCount val="12"/>
                <c:pt idx="0">
                  <c:v>0.31374969143421377</c:v>
                </c:pt>
                <c:pt idx="1">
                  <c:v>0.18513557051532056</c:v>
                </c:pt>
                <c:pt idx="2">
                  <c:v>0.20343839541547279</c:v>
                </c:pt>
                <c:pt idx="3">
                  <c:v>0.11465302374393284</c:v>
                </c:pt>
                <c:pt idx="4">
                  <c:v>0.16693317029581903</c:v>
                </c:pt>
                <c:pt idx="5">
                  <c:v>0.13257142857142856</c:v>
                </c:pt>
                <c:pt idx="6">
                  <c:v>0.20424194815396701</c:v>
                </c:pt>
                <c:pt idx="7">
                  <c:v>0.15657311669128507</c:v>
                </c:pt>
                <c:pt idx="8">
                  <c:v>0.1514410294586834</c:v>
                </c:pt>
                <c:pt idx="9">
                  <c:v>0.1683673469387755</c:v>
                </c:pt>
                <c:pt idx="10">
                  <c:v>0.24916307986609279</c:v>
                </c:pt>
                <c:pt idx="11">
                  <c:v>0.23945783132530121</c:v>
                </c:pt>
              </c:numCache>
            </c:numRef>
          </c:val>
        </c:ser>
        <c:ser>
          <c:idx val="2"/>
          <c:order val="1"/>
          <c:tx>
            <c:strRef>
              <c:f>List2!$H$68</c:f>
              <c:strCache>
                <c:ptCount val="1"/>
                <c:pt idx="0">
                  <c:v>6-12</c:v>
                </c:pt>
              </c:strCache>
            </c:strRef>
          </c:tx>
          <c:spPr>
            <a:solidFill>
              <a:schemeClr val="accent2">
                <a:lumMod val="60000"/>
                <a:lumOff val="40000"/>
              </a:schemeClr>
            </a:solidFill>
          </c:spPr>
          <c:invertIfNegative val="0"/>
          <c:cat>
            <c:strRef>
              <c:f>List2!$B$70:$B$81</c:f>
              <c:strCache>
                <c:ptCount val="12"/>
                <c:pt idx="0">
                  <c:v>Bez + neúpl. ZŠ</c:v>
                </c:pt>
                <c:pt idx="1">
                  <c:v>ZŠ + praktická škola</c:v>
                </c:pt>
                <c:pt idx="2">
                  <c:v>Nižší střední</c:v>
                </c:pt>
                <c:pt idx="3">
                  <c:v>Nižší střední odborné</c:v>
                </c:pt>
                <c:pt idx="4">
                  <c:v>Střední odb. (vyučen)</c:v>
                </c:pt>
                <c:pt idx="5">
                  <c:v>Střední odb. bez mat. a vyuč.</c:v>
                </c:pt>
                <c:pt idx="6">
                  <c:v>ÚSV</c:v>
                </c:pt>
                <c:pt idx="7">
                  <c:v>ÚSO (vyuč.+ mat.)</c:v>
                </c:pt>
                <c:pt idx="8">
                  <c:v>ÚSO s maturitou (bez vyučení)</c:v>
                </c:pt>
                <c:pt idx="9">
                  <c:v>VOŠ (vč. Konz.)</c:v>
                </c:pt>
                <c:pt idx="10">
                  <c:v>Bakalář.</c:v>
                </c:pt>
                <c:pt idx="11">
                  <c:v>VŠ (vč. doktor.)</c:v>
                </c:pt>
              </c:strCache>
            </c:strRef>
          </c:cat>
          <c:val>
            <c:numRef>
              <c:f>List2!$I$70:$I$81</c:f>
              <c:numCache>
                <c:formatCode>0.00%</c:formatCode>
                <c:ptCount val="12"/>
                <c:pt idx="0">
                  <c:v>0.13823747222907923</c:v>
                </c:pt>
                <c:pt idx="1">
                  <c:v>0.16115849626100079</c:v>
                </c:pt>
                <c:pt idx="2">
                  <c:v>0.14383954154727793</c:v>
                </c:pt>
                <c:pt idx="3">
                  <c:v>0.17919454283090647</c:v>
                </c:pt>
                <c:pt idx="4">
                  <c:v>0.17093072473310444</c:v>
                </c:pt>
                <c:pt idx="5">
                  <c:v>0.30857142857142855</c:v>
                </c:pt>
                <c:pt idx="6">
                  <c:v>0.1510866719036397</c:v>
                </c:pt>
                <c:pt idx="7">
                  <c:v>0.18340718857705562</c:v>
                </c:pt>
                <c:pt idx="8">
                  <c:v>0.17409337445496118</c:v>
                </c:pt>
                <c:pt idx="9">
                  <c:v>0.25340136054421769</c:v>
                </c:pt>
                <c:pt idx="10">
                  <c:v>0.19799139167862267</c:v>
                </c:pt>
                <c:pt idx="11">
                  <c:v>0.24139414802065404</c:v>
                </c:pt>
              </c:numCache>
            </c:numRef>
          </c:val>
        </c:ser>
        <c:ser>
          <c:idx val="1"/>
          <c:order val="2"/>
          <c:tx>
            <c:strRef>
              <c:f>List2!$F$68</c:f>
              <c:strCache>
                <c:ptCount val="1"/>
                <c:pt idx="0">
                  <c:v>3-6</c:v>
                </c:pt>
              </c:strCache>
            </c:strRef>
          </c:tx>
          <c:spPr>
            <a:solidFill>
              <a:schemeClr val="tx2">
                <a:lumMod val="60000"/>
                <a:lumOff val="40000"/>
              </a:schemeClr>
            </a:solidFill>
          </c:spPr>
          <c:invertIfNegative val="0"/>
          <c:cat>
            <c:strRef>
              <c:f>List2!$B$70:$B$81</c:f>
              <c:strCache>
                <c:ptCount val="12"/>
                <c:pt idx="0">
                  <c:v>Bez + neúpl. ZŠ</c:v>
                </c:pt>
                <c:pt idx="1">
                  <c:v>ZŠ + praktická škola</c:v>
                </c:pt>
                <c:pt idx="2">
                  <c:v>Nižší střední</c:v>
                </c:pt>
                <c:pt idx="3">
                  <c:v>Nižší střední odborné</c:v>
                </c:pt>
                <c:pt idx="4">
                  <c:v>Střední odb. (vyučen)</c:v>
                </c:pt>
                <c:pt idx="5">
                  <c:v>Střední odb. bez mat. a vyuč.</c:v>
                </c:pt>
                <c:pt idx="6">
                  <c:v>ÚSV</c:v>
                </c:pt>
                <c:pt idx="7">
                  <c:v>ÚSO (vyuč.+ mat.)</c:v>
                </c:pt>
                <c:pt idx="8">
                  <c:v>ÚSO s maturitou (bez vyučení)</c:v>
                </c:pt>
                <c:pt idx="9">
                  <c:v>VOŠ (vč. Konz.)</c:v>
                </c:pt>
                <c:pt idx="10">
                  <c:v>Bakalář.</c:v>
                </c:pt>
                <c:pt idx="11">
                  <c:v>VŠ (vč. doktor.)</c:v>
                </c:pt>
              </c:strCache>
            </c:strRef>
          </c:cat>
          <c:val>
            <c:numRef>
              <c:f>List2!$G$70:$G$81</c:f>
              <c:numCache>
                <c:formatCode>0.00%</c:formatCode>
                <c:ptCount val="12"/>
                <c:pt idx="0">
                  <c:v>0.16711922981979757</c:v>
                </c:pt>
                <c:pt idx="1">
                  <c:v>0.22522171163074628</c:v>
                </c:pt>
                <c:pt idx="2">
                  <c:v>0.2670487106017192</c:v>
                </c:pt>
                <c:pt idx="3">
                  <c:v>0.21369539551357733</c:v>
                </c:pt>
                <c:pt idx="4">
                  <c:v>0.21615011992663311</c:v>
                </c:pt>
                <c:pt idx="5">
                  <c:v>0.14285714285714285</c:v>
                </c:pt>
                <c:pt idx="6">
                  <c:v>0.19795758051846032</c:v>
                </c:pt>
                <c:pt idx="7">
                  <c:v>0.19990152634170361</c:v>
                </c:pt>
                <c:pt idx="8">
                  <c:v>0.19249175794959056</c:v>
                </c:pt>
                <c:pt idx="9">
                  <c:v>0.22193877551020408</c:v>
                </c:pt>
                <c:pt idx="10">
                  <c:v>0.2458153993304639</c:v>
                </c:pt>
                <c:pt idx="11">
                  <c:v>0.21062822719449226</c:v>
                </c:pt>
              </c:numCache>
            </c:numRef>
          </c:val>
        </c:ser>
        <c:ser>
          <c:idx val="0"/>
          <c:order val="3"/>
          <c:tx>
            <c:strRef>
              <c:f>List2!$D$68</c:f>
              <c:strCache>
                <c:ptCount val="1"/>
                <c:pt idx="0">
                  <c:v>0-3</c:v>
                </c:pt>
              </c:strCache>
            </c:strRef>
          </c:tx>
          <c:spPr>
            <a:solidFill>
              <a:schemeClr val="tx2">
                <a:lumMod val="20000"/>
                <a:lumOff val="80000"/>
              </a:schemeClr>
            </a:solidFill>
          </c:spPr>
          <c:invertIfNegative val="0"/>
          <c:cat>
            <c:strRef>
              <c:f>List2!$B$70:$B$81</c:f>
              <c:strCache>
                <c:ptCount val="12"/>
                <c:pt idx="0">
                  <c:v>Bez + neúpl. ZŠ</c:v>
                </c:pt>
                <c:pt idx="1">
                  <c:v>ZŠ + praktická škola</c:v>
                </c:pt>
                <c:pt idx="2">
                  <c:v>Nižší střední</c:v>
                </c:pt>
                <c:pt idx="3">
                  <c:v>Nižší střední odborné</c:v>
                </c:pt>
                <c:pt idx="4">
                  <c:v>Střední odb. (vyučen)</c:v>
                </c:pt>
                <c:pt idx="5">
                  <c:v>Střední odb. bez mat. a vyuč.</c:v>
                </c:pt>
                <c:pt idx="6">
                  <c:v>ÚSV</c:v>
                </c:pt>
                <c:pt idx="7">
                  <c:v>ÚSO (vyuč.+ mat.)</c:v>
                </c:pt>
                <c:pt idx="8">
                  <c:v>ÚSO s maturitou (bez vyučení)</c:v>
                </c:pt>
                <c:pt idx="9">
                  <c:v>VOŠ (vč. Konz.)</c:v>
                </c:pt>
                <c:pt idx="10">
                  <c:v>Bakalář.</c:v>
                </c:pt>
                <c:pt idx="11">
                  <c:v>VŠ (vč. doktor.)</c:v>
                </c:pt>
              </c:strCache>
            </c:strRef>
          </c:cat>
          <c:val>
            <c:numRef>
              <c:f>List2!$E$70:$E$81</c:f>
              <c:numCache>
                <c:formatCode>0.00%</c:formatCode>
                <c:ptCount val="12"/>
                <c:pt idx="0">
                  <c:v>0.3808936065169094</c:v>
                </c:pt>
                <c:pt idx="1">
                  <c:v>0.42848422159293237</c:v>
                </c:pt>
                <c:pt idx="2">
                  <c:v>0.38567335243553008</c:v>
                </c:pt>
                <c:pt idx="3">
                  <c:v>0.49245703791158335</c:v>
                </c:pt>
                <c:pt idx="4">
                  <c:v>0.44598598504444342</c:v>
                </c:pt>
                <c:pt idx="5">
                  <c:v>0.41599999999999998</c:v>
                </c:pt>
                <c:pt idx="6">
                  <c:v>0.44671379942393297</c:v>
                </c:pt>
                <c:pt idx="7">
                  <c:v>0.46011816838995567</c:v>
                </c:pt>
                <c:pt idx="8">
                  <c:v>0.48197383813676486</c:v>
                </c:pt>
                <c:pt idx="9">
                  <c:v>0.3562925170068027</c:v>
                </c:pt>
                <c:pt idx="10">
                  <c:v>0.30703012912482064</c:v>
                </c:pt>
                <c:pt idx="11">
                  <c:v>0.30851979345955249</c:v>
                </c:pt>
              </c:numCache>
            </c:numRef>
          </c:val>
        </c:ser>
        <c:dLbls>
          <c:showLegendKey val="0"/>
          <c:showVal val="0"/>
          <c:showCatName val="0"/>
          <c:showSerName val="0"/>
          <c:showPercent val="0"/>
          <c:showBubbleSize val="0"/>
        </c:dLbls>
        <c:gapWidth val="150"/>
        <c:overlap val="100"/>
        <c:axId val="166142720"/>
        <c:axId val="166144256"/>
      </c:barChart>
      <c:lineChart>
        <c:grouping val="standard"/>
        <c:varyColors val="0"/>
        <c:ser>
          <c:idx val="4"/>
          <c:order val="4"/>
          <c:tx>
            <c:strRef>
              <c:f>List2!$C$69</c:f>
              <c:strCache>
                <c:ptCount val="1"/>
                <c:pt idx="0">
                  <c:v>počet VPM</c:v>
                </c:pt>
              </c:strCache>
            </c:strRef>
          </c:tx>
          <c:spPr>
            <a:ln w="19050">
              <a:solidFill>
                <a:srgbClr val="00B050"/>
              </a:solidFill>
            </a:ln>
          </c:spPr>
          <c:marker>
            <c:symbol val="none"/>
          </c:marker>
          <c:cat>
            <c:strRef>
              <c:f>List2!$B$70:$B$81</c:f>
              <c:strCache>
                <c:ptCount val="12"/>
                <c:pt idx="0">
                  <c:v>Bez + neúpl. ZŠ</c:v>
                </c:pt>
                <c:pt idx="1">
                  <c:v>ZŠ + praktická škola</c:v>
                </c:pt>
                <c:pt idx="2">
                  <c:v>Nižší střední</c:v>
                </c:pt>
                <c:pt idx="3">
                  <c:v>Nižší střední odborné</c:v>
                </c:pt>
                <c:pt idx="4">
                  <c:v>Střední odb. (vyučen)</c:v>
                </c:pt>
                <c:pt idx="5">
                  <c:v>Střední odb. bez mat. a vyuč.</c:v>
                </c:pt>
                <c:pt idx="6">
                  <c:v>ÚSV</c:v>
                </c:pt>
                <c:pt idx="7">
                  <c:v>ÚSO (vyuč.+ mat.)</c:v>
                </c:pt>
                <c:pt idx="8">
                  <c:v>ÚSO s maturitou (bez vyučení)</c:v>
                </c:pt>
                <c:pt idx="9">
                  <c:v>VOŠ (vč. Konz.)</c:v>
                </c:pt>
                <c:pt idx="10">
                  <c:v>Bakalář.</c:v>
                </c:pt>
                <c:pt idx="11">
                  <c:v>VŠ (vč. doktor.)</c:v>
                </c:pt>
              </c:strCache>
            </c:strRef>
          </c:cat>
          <c:val>
            <c:numRef>
              <c:f>List2!$C$70:$C$81</c:f>
              <c:numCache>
                <c:formatCode>#,##0</c:formatCode>
                <c:ptCount val="12"/>
                <c:pt idx="0">
                  <c:v>4051</c:v>
                </c:pt>
                <c:pt idx="1">
                  <c:v>58973</c:v>
                </c:pt>
                <c:pt idx="2">
                  <c:v>1745</c:v>
                </c:pt>
                <c:pt idx="3">
                  <c:v>7623</c:v>
                </c:pt>
                <c:pt idx="4">
                  <c:v>42526</c:v>
                </c:pt>
                <c:pt idx="5" formatCode="General">
                  <c:v>875</c:v>
                </c:pt>
                <c:pt idx="6">
                  <c:v>3819</c:v>
                </c:pt>
                <c:pt idx="7">
                  <c:v>4062</c:v>
                </c:pt>
                <c:pt idx="8">
                  <c:v>9403</c:v>
                </c:pt>
                <c:pt idx="9">
                  <c:v>1176</c:v>
                </c:pt>
                <c:pt idx="10">
                  <c:v>2091</c:v>
                </c:pt>
                <c:pt idx="11">
                  <c:v>4648</c:v>
                </c:pt>
              </c:numCache>
            </c:numRef>
          </c:val>
          <c:smooth val="0"/>
        </c:ser>
        <c:dLbls>
          <c:showLegendKey val="0"/>
          <c:showVal val="0"/>
          <c:showCatName val="0"/>
          <c:showSerName val="0"/>
          <c:showPercent val="0"/>
          <c:showBubbleSize val="0"/>
        </c:dLbls>
        <c:marker val="1"/>
        <c:smooth val="0"/>
        <c:axId val="166152064"/>
        <c:axId val="166150144"/>
      </c:lineChart>
      <c:catAx>
        <c:axId val="166142720"/>
        <c:scaling>
          <c:orientation val="minMax"/>
        </c:scaling>
        <c:delete val="0"/>
        <c:axPos val="b"/>
        <c:majorTickMark val="out"/>
        <c:minorTickMark val="none"/>
        <c:tickLblPos val="nextTo"/>
        <c:txPr>
          <a:bodyPr/>
          <a:lstStyle/>
          <a:p>
            <a:pPr>
              <a:defRPr sz="800"/>
            </a:pPr>
            <a:endParaRPr lang="cs-CZ"/>
          </a:p>
        </c:txPr>
        <c:crossAx val="166144256"/>
        <c:crosses val="autoZero"/>
        <c:auto val="1"/>
        <c:lblAlgn val="ctr"/>
        <c:lblOffset val="100"/>
        <c:noMultiLvlLbl val="0"/>
      </c:catAx>
      <c:valAx>
        <c:axId val="166144256"/>
        <c:scaling>
          <c:orientation val="minMax"/>
        </c:scaling>
        <c:delete val="0"/>
        <c:axPos val="l"/>
        <c:majorGridlines/>
        <c:numFmt formatCode="0%" sourceLinked="1"/>
        <c:majorTickMark val="out"/>
        <c:minorTickMark val="none"/>
        <c:tickLblPos val="nextTo"/>
        <c:txPr>
          <a:bodyPr rot="-5400000" vert="horz"/>
          <a:lstStyle/>
          <a:p>
            <a:pPr>
              <a:defRPr sz="800"/>
            </a:pPr>
            <a:endParaRPr lang="cs-CZ"/>
          </a:p>
        </c:txPr>
        <c:crossAx val="166142720"/>
        <c:crosses val="autoZero"/>
        <c:crossBetween val="between"/>
        <c:majorUnit val="0.25"/>
        <c:minorUnit val="5.000000000000001E-2"/>
      </c:valAx>
      <c:valAx>
        <c:axId val="166150144"/>
        <c:scaling>
          <c:orientation val="minMax"/>
          <c:max val="60000"/>
          <c:min val="0"/>
        </c:scaling>
        <c:delete val="0"/>
        <c:axPos val="r"/>
        <c:majorGridlines/>
        <c:minorGridlines/>
        <c:numFmt formatCode="#,##0" sourceLinked="1"/>
        <c:majorTickMark val="out"/>
        <c:minorTickMark val="none"/>
        <c:tickLblPos val="nextTo"/>
        <c:txPr>
          <a:bodyPr/>
          <a:lstStyle/>
          <a:p>
            <a:pPr>
              <a:defRPr sz="800"/>
            </a:pPr>
            <a:endParaRPr lang="cs-CZ"/>
          </a:p>
        </c:txPr>
        <c:crossAx val="166152064"/>
        <c:crosses val="max"/>
        <c:crossBetween val="between"/>
        <c:majorUnit val="15000"/>
        <c:dispUnits>
          <c:builtInUnit val="thousands"/>
          <c:dispUnitsLbl>
            <c:layout>
              <c:manualLayout>
                <c:xMode val="edge"/>
                <c:yMode val="edge"/>
                <c:x val="0.90580012360840212"/>
                <c:y val="0.10789137846898669"/>
              </c:manualLayout>
            </c:layout>
            <c:txPr>
              <a:bodyPr rot="0" vert="horz"/>
              <a:lstStyle/>
              <a:p>
                <a:pPr>
                  <a:defRPr/>
                </a:pPr>
                <a:endParaRPr lang="cs-CZ"/>
              </a:p>
            </c:txPr>
          </c:dispUnitsLbl>
        </c:dispUnits>
      </c:valAx>
      <c:catAx>
        <c:axId val="166152064"/>
        <c:scaling>
          <c:orientation val="minMax"/>
        </c:scaling>
        <c:delete val="1"/>
        <c:axPos val="b"/>
        <c:majorTickMark val="out"/>
        <c:minorTickMark val="none"/>
        <c:tickLblPos val="nextTo"/>
        <c:crossAx val="166150144"/>
        <c:crosses val="autoZero"/>
        <c:auto val="1"/>
        <c:lblAlgn val="ctr"/>
        <c:lblOffset val="100"/>
        <c:noMultiLvlLbl val="0"/>
      </c:catAx>
    </c:plotArea>
    <c:legend>
      <c:legendPos val="t"/>
      <c:layout>
        <c:manualLayout>
          <c:xMode val="edge"/>
          <c:yMode val="edge"/>
          <c:x val="0.19710266752010858"/>
          <c:y val="4.2787252770084078E-2"/>
          <c:w val="0.60579466495978285"/>
          <c:h val="6.8040237996107145E-2"/>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785324380464715E-2"/>
          <c:y val="0.14351851851851852"/>
          <c:w val="0.88543242677487399"/>
          <c:h val="0.4127606445027705"/>
        </c:manualLayout>
      </c:layout>
      <c:barChart>
        <c:barDir val="bar"/>
        <c:grouping val="percentStacked"/>
        <c:varyColors val="0"/>
        <c:ser>
          <c:idx val="0"/>
          <c:order val="0"/>
          <c:tx>
            <c:strRef>
              <c:f>List2!$B$70</c:f>
              <c:strCache>
                <c:ptCount val="1"/>
                <c:pt idx="0">
                  <c:v>Bez + neúpl. ZŠ</c:v>
                </c:pt>
              </c:strCache>
            </c:strRef>
          </c:tx>
          <c:spPr>
            <a:solidFill>
              <a:schemeClr val="accent2">
                <a:lumMod val="20000"/>
                <a:lumOff val="80000"/>
              </a:schemeClr>
            </a:solidFill>
          </c:spPr>
          <c:invertIfNegative val="0"/>
          <c:cat>
            <c:strRef>
              <c:f>(List2!$D$68,List2!$J$68)</c:f>
              <c:strCache>
                <c:ptCount val="2"/>
                <c:pt idx="0">
                  <c:v>0-3</c:v>
                </c:pt>
                <c:pt idx="1">
                  <c:v>nad 12</c:v>
                </c:pt>
              </c:strCache>
            </c:strRef>
          </c:cat>
          <c:val>
            <c:numRef>
              <c:f>(List2!$D$70,List2!$J$70)</c:f>
              <c:numCache>
                <c:formatCode>#,##0</c:formatCode>
                <c:ptCount val="2"/>
                <c:pt idx="0">
                  <c:v>1543</c:v>
                </c:pt>
                <c:pt idx="1">
                  <c:v>1271</c:v>
                </c:pt>
              </c:numCache>
            </c:numRef>
          </c:val>
        </c:ser>
        <c:ser>
          <c:idx val="1"/>
          <c:order val="1"/>
          <c:tx>
            <c:strRef>
              <c:f>List2!$B$71</c:f>
              <c:strCache>
                <c:ptCount val="1"/>
                <c:pt idx="0">
                  <c:v>ZŠ + praktická škola</c:v>
                </c:pt>
              </c:strCache>
            </c:strRef>
          </c:tx>
          <c:spPr>
            <a:solidFill>
              <a:schemeClr val="accent2">
                <a:lumMod val="60000"/>
                <a:lumOff val="40000"/>
              </a:schemeClr>
            </a:solidFill>
          </c:spPr>
          <c:invertIfNegative val="0"/>
          <c:cat>
            <c:strRef>
              <c:f>(List2!$D$68,List2!$J$68)</c:f>
              <c:strCache>
                <c:ptCount val="2"/>
                <c:pt idx="0">
                  <c:v>0-3</c:v>
                </c:pt>
                <c:pt idx="1">
                  <c:v>nad 12</c:v>
                </c:pt>
              </c:strCache>
            </c:strRef>
          </c:cat>
          <c:val>
            <c:numRef>
              <c:f>(List2!$D$71,List2!$J$71)</c:f>
              <c:numCache>
                <c:formatCode>#,##0</c:formatCode>
                <c:ptCount val="2"/>
                <c:pt idx="0">
                  <c:v>25269</c:v>
                </c:pt>
                <c:pt idx="1">
                  <c:v>10918</c:v>
                </c:pt>
              </c:numCache>
            </c:numRef>
          </c:val>
        </c:ser>
        <c:ser>
          <c:idx val="2"/>
          <c:order val="2"/>
          <c:tx>
            <c:strRef>
              <c:f>List2!$B$72</c:f>
              <c:strCache>
                <c:ptCount val="1"/>
                <c:pt idx="0">
                  <c:v>Nižší střední</c:v>
                </c:pt>
              </c:strCache>
            </c:strRef>
          </c:tx>
          <c:spPr>
            <a:solidFill>
              <a:schemeClr val="accent4">
                <a:lumMod val="60000"/>
                <a:lumOff val="40000"/>
              </a:schemeClr>
            </a:solidFill>
          </c:spPr>
          <c:invertIfNegative val="0"/>
          <c:cat>
            <c:strRef>
              <c:f>(List2!$D$68,List2!$J$68)</c:f>
              <c:strCache>
                <c:ptCount val="2"/>
                <c:pt idx="0">
                  <c:v>0-3</c:v>
                </c:pt>
                <c:pt idx="1">
                  <c:v>nad 12</c:v>
                </c:pt>
              </c:strCache>
            </c:strRef>
          </c:cat>
          <c:val>
            <c:numRef>
              <c:f>(List2!$D$72,List2!$J$72)</c:f>
              <c:numCache>
                <c:formatCode>General</c:formatCode>
                <c:ptCount val="2"/>
                <c:pt idx="0">
                  <c:v>673</c:v>
                </c:pt>
                <c:pt idx="1">
                  <c:v>355</c:v>
                </c:pt>
              </c:numCache>
            </c:numRef>
          </c:val>
        </c:ser>
        <c:ser>
          <c:idx val="3"/>
          <c:order val="3"/>
          <c:tx>
            <c:strRef>
              <c:f>List2!$B$73</c:f>
              <c:strCache>
                <c:ptCount val="1"/>
                <c:pt idx="0">
                  <c:v>Nižší střední odborné</c:v>
                </c:pt>
              </c:strCache>
            </c:strRef>
          </c:tx>
          <c:spPr>
            <a:solidFill>
              <a:srgbClr val="CC99FF"/>
            </a:solidFill>
          </c:spPr>
          <c:invertIfNegative val="0"/>
          <c:cat>
            <c:strRef>
              <c:f>(List2!$D$68,List2!$J$68)</c:f>
              <c:strCache>
                <c:ptCount val="2"/>
                <c:pt idx="0">
                  <c:v>0-3</c:v>
                </c:pt>
                <c:pt idx="1">
                  <c:v>nad 12</c:v>
                </c:pt>
              </c:strCache>
            </c:strRef>
          </c:cat>
          <c:val>
            <c:numRef>
              <c:f>(List2!$D$73,List2!$J$73)</c:f>
              <c:numCache>
                <c:formatCode>General</c:formatCode>
                <c:ptCount val="2"/>
                <c:pt idx="0" formatCode="#,##0">
                  <c:v>3754</c:v>
                </c:pt>
                <c:pt idx="1">
                  <c:v>874</c:v>
                </c:pt>
              </c:numCache>
            </c:numRef>
          </c:val>
        </c:ser>
        <c:ser>
          <c:idx val="4"/>
          <c:order val="4"/>
          <c:tx>
            <c:strRef>
              <c:f>List2!$B$74</c:f>
              <c:strCache>
                <c:ptCount val="1"/>
                <c:pt idx="0">
                  <c:v>Střední odb. (vyučen)</c:v>
                </c:pt>
              </c:strCache>
            </c:strRef>
          </c:tx>
          <c:spPr>
            <a:solidFill>
              <a:schemeClr val="accent1">
                <a:lumMod val="40000"/>
                <a:lumOff val="60000"/>
              </a:schemeClr>
            </a:solidFill>
          </c:spPr>
          <c:invertIfNegative val="0"/>
          <c:cat>
            <c:strRef>
              <c:f>(List2!$D$68,List2!$J$68)</c:f>
              <c:strCache>
                <c:ptCount val="2"/>
                <c:pt idx="0">
                  <c:v>0-3</c:v>
                </c:pt>
                <c:pt idx="1">
                  <c:v>nad 12</c:v>
                </c:pt>
              </c:strCache>
            </c:strRef>
          </c:cat>
          <c:val>
            <c:numRef>
              <c:f>(List2!$D$74,List2!$J$74)</c:f>
              <c:numCache>
                <c:formatCode>#,##0</c:formatCode>
                <c:ptCount val="2"/>
                <c:pt idx="0">
                  <c:v>18966</c:v>
                </c:pt>
                <c:pt idx="1">
                  <c:v>7099</c:v>
                </c:pt>
              </c:numCache>
            </c:numRef>
          </c:val>
        </c:ser>
        <c:ser>
          <c:idx val="5"/>
          <c:order val="5"/>
          <c:tx>
            <c:strRef>
              <c:f>List2!$B$75</c:f>
              <c:strCache>
                <c:ptCount val="1"/>
                <c:pt idx="0">
                  <c:v>Střední odb. bez mat. a vyuč.</c:v>
                </c:pt>
              </c:strCache>
            </c:strRef>
          </c:tx>
          <c:spPr>
            <a:solidFill>
              <a:schemeClr val="accent1">
                <a:lumMod val="75000"/>
              </a:schemeClr>
            </a:solidFill>
          </c:spPr>
          <c:invertIfNegative val="0"/>
          <c:cat>
            <c:strRef>
              <c:f>(List2!$D$68,List2!$J$68)</c:f>
              <c:strCache>
                <c:ptCount val="2"/>
                <c:pt idx="0">
                  <c:v>0-3</c:v>
                </c:pt>
                <c:pt idx="1">
                  <c:v>nad 12</c:v>
                </c:pt>
              </c:strCache>
            </c:strRef>
          </c:cat>
          <c:val>
            <c:numRef>
              <c:f>(List2!$D$75,List2!$J$75)</c:f>
              <c:numCache>
                <c:formatCode>General</c:formatCode>
                <c:ptCount val="2"/>
                <c:pt idx="0">
                  <c:v>364</c:v>
                </c:pt>
                <c:pt idx="1">
                  <c:v>116</c:v>
                </c:pt>
              </c:numCache>
            </c:numRef>
          </c:val>
        </c:ser>
        <c:ser>
          <c:idx val="6"/>
          <c:order val="6"/>
          <c:tx>
            <c:strRef>
              <c:f>List2!$B$76</c:f>
              <c:strCache>
                <c:ptCount val="1"/>
                <c:pt idx="0">
                  <c:v>ÚSV</c:v>
                </c:pt>
              </c:strCache>
            </c:strRef>
          </c:tx>
          <c:spPr>
            <a:solidFill>
              <a:srgbClr val="99CCFF"/>
            </a:solidFill>
          </c:spPr>
          <c:invertIfNegative val="0"/>
          <c:cat>
            <c:strRef>
              <c:f>(List2!$D$68,List2!$J$68)</c:f>
              <c:strCache>
                <c:ptCount val="2"/>
                <c:pt idx="0">
                  <c:v>0-3</c:v>
                </c:pt>
                <c:pt idx="1">
                  <c:v>nad 12</c:v>
                </c:pt>
              </c:strCache>
            </c:strRef>
          </c:cat>
          <c:val>
            <c:numRef>
              <c:f>(List2!$D$76,List2!$J$76)</c:f>
              <c:numCache>
                <c:formatCode>General</c:formatCode>
                <c:ptCount val="2"/>
                <c:pt idx="0" formatCode="#,##0">
                  <c:v>1706</c:v>
                </c:pt>
                <c:pt idx="1">
                  <c:v>780</c:v>
                </c:pt>
              </c:numCache>
            </c:numRef>
          </c:val>
        </c:ser>
        <c:ser>
          <c:idx val="7"/>
          <c:order val="7"/>
          <c:tx>
            <c:strRef>
              <c:f>List2!$B$77</c:f>
              <c:strCache>
                <c:ptCount val="1"/>
                <c:pt idx="0">
                  <c:v>ÚSO (vyuč.+ mat.)</c:v>
                </c:pt>
              </c:strCache>
            </c:strRef>
          </c:tx>
          <c:spPr>
            <a:solidFill>
              <a:srgbClr val="00B0F0"/>
            </a:solidFill>
          </c:spPr>
          <c:invertIfNegative val="0"/>
          <c:cat>
            <c:strRef>
              <c:f>(List2!$D$68,List2!$J$68)</c:f>
              <c:strCache>
                <c:ptCount val="2"/>
                <c:pt idx="0">
                  <c:v>0-3</c:v>
                </c:pt>
                <c:pt idx="1">
                  <c:v>nad 12</c:v>
                </c:pt>
              </c:strCache>
            </c:strRef>
          </c:cat>
          <c:val>
            <c:numRef>
              <c:f>(List2!$D$77,List2!$J$77)</c:f>
              <c:numCache>
                <c:formatCode>General</c:formatCode>
                <c:ptCount val="2"/>
                <c:pt idx="0" formatCode="#,##0">
                  <c:v>1869</c:v>
                </c:pt>
                <c:pt idx="1">
                  <c:v>636</c:v>
                </c:pt>
              </c:numCache>
            </c:numRef>
          </c:val>
        </c:ser>
        <c:ser>
          <c:idx val="8"/>
          <c:order val="8"/>
          <c:tx>
            <c:strRef>
              <c:f>List2!$B$78</c:f>
              <c:strCache>
                <c:ptCount val="1"/>
                <c:pt idx="0">
                  <c:v>ÚSO s maturitou (bez vyučení)</c:v>
                </c:pt>
              </c:strCache>
            </c:strRef>
          </c:tx>
          <c:spPr>
            <a:solidFill>
              <a:schemeClr val="tx2"/>
            </a:solidFill>
          </c:spPr>
          <c:invertIfNegative val="0"/>
          <c:cat>
            <c:strRef>
              <c:f>(List2!$D$68,List2!$J$68)</c:f>
              <c:strCache>
                <c:ptCount val="2"/>
                <c:pt idx="0">
                  <c:v>0-3</c:v>
                </c:pt>
                <c:pt idx="1">
                  <c:v>nad 12</c:v>
                </c:pt>
              </c:strCache>
            </c:strRef>
          </c:cat>
          <c:val>
            <c:numRef>
              <c:f>(List2!$D$78,List2!$J$78)</c:f>
              <c:numCache>
                <c:formatCode>#,##0</c:formatCode>
                <c:ptCount val="2"/>
                <c:pt idx="0">
                  <c:v>4532</c:v>
                </c:pt>
                <c:pt idx="1">
                  <c:v>1424</c:v>
                </c:pt>
              </c:numCache>
            </c:numRef>
          </c:val>
        </c:ser>
        <c:ser>
          <c:idx val="9"/>
          <c:order val="9"/>
          <c:tx>
            <c:strRef>
              <c:f>List2!$B$79</c:f>
              <c:strCache>
                <c:ptCount val="1"/>
                <c:pt idx="0">
                  <c:v>VOŠ (vč. Konz.)</c:v>
                </c:pt>
              </c:strCache>
            </c:strRef>
          </c:tx>
          <c:spPr>
            <a:solidFill>
              <a:schemeClr val="accent5">
                <a:lumMod val="60000"/>
                <a:lumOff val="40000"/>
              </a:schemeClr>
            </a:solidFill>
          </c:spPr>
          <c:invertIfNegative val="0"/>
          <c:cat>
            <c:strRef>
              <c:f>(List2!$D$68,List2!$J$68)</c:f>
              <c:strCache>
                <c:ptCount val="2"/>
                <c:pt idx="0">
                  <c:v>0-3</c:v>
                </c:pt>
                <c:pt idx="1">
                  <c:v>nad 12</c:v>
                </c:pt>
              </c:strCache>
            </c:strRef>
          </c:cat>
          <c:val>
            <c:numRef>
              <c:f>(List2!$D$79,List2!$J$79)</c:f>
              <c:numCache>
                <c:formatCode>#,##0</c:formatCode>
                <c:ptCount val="2"/>
                <c:pt idx="0">
                  <c:v>419</c:v>
                </c:pt>
                <c:pt idx="1">
                  <c:v>198</c:v>
                </c:pt>
              </c:numCache>
            </c:numRef>
          </c:val>
        </c:ser>
        <c:ser>
          <c:idx val="10"/>
          <c:order val="10"/>
          <c:tx>
            <c:strRef>
              <c:f>List2!$B$80</c:f>
              <c:strCache>
                <c:ptCount val="1"/>
                <c:pt idx="0">
                  <c:v>Bakalář.</c:v>
                </c:pt>
              </c:strCache>
            </c:strRef>
          </c:tx>
          <c:spPr>
            <a:solidFill>
              <a:schemeClr val="accent3">
                <a:lumMod val="60000"/>
                <a:lumOff val="40000"/>
              </a:schemeClr>
            </a:solidFill>
          </c:spPr>
          <c:invertIfNegative val="0"/>
          <c:cat>
            <c:strRef>
              <c:f>(List2!$D$68,List2!$J$68)</c:f>
              <c:strCache>
                <c:ptCount val="2"/>
                <c:pt idx="0">
                  <c:v>0-3</c:v>
                </c:pt>
                <c:pt idx="1">
                  <c:v>nad 12</c:v>
                </c:pt>
              </c:strCache>
            </c:strRef>
          </c:cat>
          <c:val>
            <c:numRef>
              <c:f>(List2!$D$80,List2!$J$80)</c:f>
              <c:numCache>
                <c:formatCode>General</c:formatCode>
                <c:ptCount val="2"/>
                <c:pt idx="0">
                  <c:v>642</c:v>
                </c:pt>
                <c:pt idx="1">
                  <c:v>521</c:v>
                </c:pt>
              </c:numCache>
            </c:numRef>
          </c:val>
        </c:ser>
        <c:ser>
          <c:idx val="11"/>
          <c:order val="11"/>
          <c:tx>
            <c:strRef>
              <c:f>List2!$B$81</c:f>
              <c:strCache>
                <c:ptCount val="1"/>
                <c:pt idx="0">
                  <c:v>VŠ (vč. doktor.)</c:v>
                </c:pt>
              </c:strCache>
            </c:strRef>
          </c:tx>
          <c:spPr>
            <a:solidFill>
              <a:schemeClr val="accent3">
                <a:lumMod val="50000"/>
              </a:schemeClr>
            </a:solidFill>
          </c:spPr>
          <c:invertIfNegative val="0"/>
          <c:cat>
            <c:strRef>
              <c:f>(List2!$D$68,List2!$J$68)</c:f>
              <c:strCache>
                <c:ptCount val="2"/>
                <c:pt idx="0">
                  <c:v>0-3</c:v>
                </c:pt>
                <c:pt idx="1">
                  <c:v>nad 12</c:v>
                </c:pt>
              </c:strCache>
            </c:strRef>
          </c:cat>
          <c:val>
            <c:numRef>
              <c:f>(List2!$D$81,List2!$J$81)</c:f>
              <c:numCache>
                <c:formatCode>#,##0</c:formatCode>
                <c:ptCount val="2"/>
                <c:pt idx="0">
                  <c:v>1434</c:v>
                </c:pt>
                <c:pt idx="1">
                  <c:v>1113</c:v>
                </c:pt>
              </c:numCache>
            </c:numRef>
          </c:val>
        </c:ser>
        <c:dLbls>
          <c:showLegendKey val="0"/>
          <c:showVal val="0"/>
          <c:showCatName val="0"/>
          <c:showSerName val="0"/>
          <c:showPercent val="0"/>
          <c:showBubbleSize val="0"/>
        </c:dLbls>
        <c:gapWidth val="150"/>
        <c:overlap val="100"/>
        <c:axId val="166181120"/>
        <c:axId val="166182912"/>
      </c:barChart>
      <c:catAx>
        <c:axId val="166181120"/>
        <c:scaling>
          <c:orientation val="minMax"/>
        </c:scaling>
        <c:delete val="0"/>
        <c:axPos val="l"/>
        <c:majorTickMark val="out"/>
        <c:minorTickMark val="none"/>
        <c:tickLblPos val="nextTo"/>
        <c:txPr>
          <a:bodyPr/>
          <a:lstStyle/>
          <a:p>
            <a:pPr>
              <a:defRPr sz="800"/>
            </a:pPr>
            <a:endParaRPr lang="cs-CZ"/>
          </a:p>
        </c:txPr>
        <c:crossAx val="166182912"/>
        <c:crosses val="autoZero"/>
        <c:auto val="1"/>
        <c:lblAlgn val="ctr"/>
        <c:lblOffset val="100"/>
        <c:noMultiLvlLbl val="0"/>
      </c:catAx>
      <c:valAx>
        <c:axId val="166182912"/>
        <c:scaling>
          <c:orientation val="minMax"/>
        </c:scaling>
        <c:delete val="0"/>
        <c:axPos val="b"/>
        <c:majorGridlines/>
        <c:minorGridlines/>
        <c:numFmt formatCode="0%" sourceLinked="1"/>
        <c:majorTickMark val="out"/>
        <c:minorTickMark val="none"/>
        <c:tickLblPos val="nextTo"/>
        <c:txPr>
          <a:bodyPr/>
          <a:lstStyle/>
          <a:p>
            <a:pPr>
              <a:defRPr sz="800"/>
            </a:pPr>
            <a:endParaRPr lang="cs-CZ"/>
          </a:p>
        </c:txPr>
        <c:crossAx val="166181120"/>
        <c:crosses val="autoZero"/>
        <c:crossBetween val="between"/>
        <c:minorUnit val="1.0000000000000002E-2"/>
      </c:valAx>
    </c:plotArea>
    <c:legend>
      <c:legendPos val="b"/>
      <c:layout>
        <c:manualLayout>
          <c:xMode val="edge"/>
          <c:yMode val="edge"/>
          <c:x val="6.1803455549651387E-2"/>
          <c:y val="0.70137977544473606"/>
          <c:w val="0.87639308890069723"/>
          <c:h val="0.23843503937007873"/>
        </c:manualLayout>
      </c:layout>
      <c:overlay val="0"/>
      <c:txPr>
        <a:bodyPr/>
        <a:lstStyle/>
        <a:p>
          <a:pPr>
            <a:defRPr sz="800"/>
          </a:pPr>
          <a:endParaRPr lang="cs-CZ"/>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6.0756658889860989E-2"/>
          <c:y val="4.5652669032073677E-2"/>
          <c:w val="0.91491893421772552"/>
          <c:h val="0.63986979017537637"/>
        </c:manualLayout>
      </c:layout>
      <c:barChart>
        <c:barDir val="col"/>
        <c:grouping val="clustered"/>
        <c:varyColors val="0"/>
        <c:ser>
          <c:idx val="2"/>
          <c:order val="0"/>
          <c:tx>
            <c:strRef>
              <c:f>List1!$M$43</c:f>
              <c:strCache>
                <c:ptCount val="1"/>
                <c:pt idx="0">
                  <c:v>30.9.2015</c:v>
                </c:pt>
              </c:strCache>
            </c:strRef>
          </c:tx>
          <c:spPr>
            <a:solidFill>
              <a:schemeClr val="tx2">
                <a:lumMod val="40000"/>
                <a:lumOff val="60000"/>
              </a:schemeClr>
            </a:solidFill>
          </c:spPr>
          <c:invertIfNegative val="0"/>
          <c:dLbls>
            <c:txPr>
              <a:bodyPr/>
              <a:lstStyle/>
              <a:p>
                <a:pPr>
                  <a:defRPr sz="800"/>
                </a:pPr>
                <a:endParaRPr lang="cs-CZ"/>
              </a:p>
            </c:txPr>
            <c:dLblPos val="outEnd"/>
            <c:showLegendKey val="0"/>
            <c:showVal val="1"/>
            <c:showCatName val="0"/>
            <c:showSerName val="0"/>
            <c:showPercent val="0"/>
            <c:showBubbleSize val="0"/>
            <c:showLeaderLines val="0"/>
          </c:dLbls>
          <c:cat>
            <c:strRef>
              <c:f>List1!$B$44:$B$53</c:f>
              <c:strCache>
                <c:ptCount val="10"/>
                <c:pt idx="0">
                  <c:v>Zákonodárci a říd. prac.</c:v>
                </c:pt>
                <c:pt idx="1">
                  <c:v>Specialisté</c:v>
                </c:pt>
                <c:pt idx="2">
                  <c:v>Tech. a odbor. prac.</c:v>
                </c:pt>
                <c:pt idx="3">
                  <c:v>Úředníci</c:v>
                </c:pt>
                <c:pt idx="4">
                  <c:v>Prac. ve službách a prodeji</c:v>
                </c:pt>
                <c:pt idx="5">
                  <c:v>Kvalif. prac. v zem., les. a rybářství</c:v>
                </c:pt>
                <c:pt idx="6">
                  <c:v>Řemeslníci a opraváři</c:v>
                </c:pt>
                <c:pt idx="7">
                  <c:v>Obsluha strojů a zařízení, montéři</c:v>
                </c:pt>
                <c:pt idx="8">
                  <c:v>Pomocní a nekvalifikovaní pracovníci</c:v>
                </c:pt>
                <c:pt idx="9">
                  <c:v>ČR</c:v>
                </c:pt>
              </c:strCache>
            </c:strRef>
          </c:cat>
          <c:val>
            <c:numRef>
              <c:f>List1!$M$44:$M$53</c:f>
              <c:numCache>
                <c:formatCode>0.0</c:formatCode>
                <c:ptCount val="10"/>
                <c:pt idx="0">
                  <c:v>4.1072891072891071</c:v>
                </c:pt>
                <c:pt idx="1">
                  <c:v>3.3264393515930686</c:v>
                </c:pt>
                <c:pt idx="2">
                  <c:v>3.1357940747935893</c:v>
                </c:pt>
                <c:pt idx="3">
                  <c:v>10.786560497183919</c:v>
                </c:pt>
                <c:pt idx="4">
                  <c:v>5.4578189885659025</c:v>
                </c:pt>
                <c:pt idx="5">
                  <c:v>7.1556683587140437</c:v>
                </c:pt>
                <c:pt idx="6">
                  <c:v>2.2833518978665066</c:v>
                </c:pt>
                <c:pt idx="7">
                  <c:v>1.6489366218109267</c:v>
                </c:pt>
                <c:pt idx="8">
                  <c:v>6.1480065259508514</c:v>
                </c:pt>
                <c:pt idx="9" formatCode="General">
                  <c:v>4.0999999999999996</c:v>
                </c:pt>
              </c:numCache>
            </c:numRef>
          </c:val>
        </c:ser>
        <c:ser>
          <c:idx val="1"/>
          <c:order val="1"/>
          <c:tx>
            <c:strRef>
              <c:f>List1!$L$43</c:f>
              <c:strCache>
                <c:ptCount val="1"/>
                <c:pt idx="0">
                  <c:v>31.12.2016</c:v>
                </c:pt>
              </c:strCache>
            </c:strRef>
          </c:tx>
          <c:spPr>
            <a:solidFill>
              <a:schemeClr val="accent1">
                <a:lumMod val="40000"/>
                <a:lumOff val="60000"/>
              </a:schemeClr>
            </a:solidFill>
          </c:spPr>
          <c:invertIfNegative val="0"/>
          <c:dLbls>
            <c:txPr>
              <a:bodyPr/>
              <a:lstStyle/>
              <a:p>
                <a:pPr>
                  <a:defRPr sz="800"/>
                </a:pPr>
                <a:endParaRPr lang="cs-CZ"/>
              </a:p>
            </c:txPr>
            <c:dLblPos val="ctr"/>
            <c:showLegendKey val="0"/>
            <c:showVal val="1"/>
            <c:showCatName val="0"/>
            <c:showSerName val="0"/>
            <c:showPercent val="0"/>
            <c:showBubbleSize val="0"/>
            <c:showLeaderLines val="0"/>
          </c:dLbls>
          <c:cat>
            <c:strRef>
              <c:f>List1!$B$44:$B$53</c:f>
              <c:strCache>
                <c:ptCount val="10"/>
                <c:pt idx="0">
                  <c:v>Zákonodárci a říd. prac.</c:v>
                </c:pt>
                <c:pt idx="1">
                  <c:v>Specialisté</c:v>
                </c:pt>
                <c:pt idx="2">
                  <c:v>Tech. a odbor. prac.</c:v>
                </c:pt>
                <c:pt idx="3">
                  <c:v>Úředníci</c:v>
                </c:pt>
                <c:pt idx="4">
                  <c:v>Prac. ve službách a prodeji</c:v>
                </c:pt>
                <c:pt idx="5">
                  <c:v>Kvalif. prac. v zem., les. a rybářství</c:v>
                </c:pt>
                <c:pt idx="6">
                  <c:v>Řemeslníci a opraváři</c:v>
                </c:pt>
                <c:pt idx="7">
                  <c:v>Obsluha strojů a zařízení, montéři</c:v>
                </c:pt>
                <c:pt idx="8">
                  <c:v>Pomocní a nekvalifikovaní pracovníci</c:v>
                </c:pt>
                <c:pt idx="9">
                  <c:v>ČR</c:v>
                </c:pt>
              </c:strCache>
            </c:strRef>
          </c:cat>
          <c:val>
            <c:numRef>
              <c:f>List1!$L$44:$L$53</c:f>
              <c:numCache>
                <c:formatCode>General</c:formatCode>
                <c:ptCount val="10"/>
                <c:pt idx="0">
                  <c:v>4.3</c:v>
                </c:pt>
                <c:pt idx="1">
                  <c:v>3</c:v>
                </c:pt>
                <c:pt idx="2">
                  <c:v>3.3</c:v>
                </c:pt>
                <c:pt idx="3">
                  <c:v>10.7</c:v>
                </c:pt>
                <c:pt idx="4">
                  <c:v>5.6</c:v>
                </c:pt>
                <c:pt idx="5">
                  <c:v>10.5</c:v>
                </c:pt>
                <c:pt idx="6">
                  <c:v>2.9</c:v>
                </c:pt>
                <c:pt idx="7">
                  <c:v>2</c:v>
                </c:pt>
                <c:pt idx="8">
                  <c:v>6.8</c:v>
                </c:pt>
                <c:pt idx="9">
                  <c:v>4.4000000000000004</c:v>
                </c:pt>
              </c:numCache>
            </c:numRef>
          </c:val>
        </c:ser>
        <c:ser>
          <c:idx val="0"/>
          <c:order val="2"/>
          <c:tx>
            <c:strRef>
              <c:f>List1!$K$43</c:f>
              <c:strCache>
                <c:ptCount val="1"/>
                <c:pt idx="0">
                  <c:v>30.9.2016</c:v>
                </c:pt>
              </c:strCache>
            </c:strRef>
          </c:tx>
          <c:spPr>
            <a:solidFill>
              <a:srgbClr val="00B0F0"/>
            </a:solidFill>
            <a:ln w="12700">
              <a:solidFill>
                <a:srgbClr val="002060"/>
              </a:solidFill>
            </a:ln>
          </c:spPr>
          <c:invertIfNegative val="0"/>
          <c:dLbls>
            <c:txPr>
              <a:bodyPr/>
              <a:lstStyle/>
              <a:p>
                <a:pPr>
                  <a:defRPr sz="800"/>
                </a:pPr>
                <a:endParaRPr lang="cs-CZ"/>
              </a:p>
            </c:txPr>
            <c:dLblPos val="outEnd"/>
            <c:showLegendKey val="0"/>
            <c:showVal val="1"/>
            <c:showCatName val="0"/>
            <c:showSerName val="0"/>
            <c:showPercent val="0"/>
            <c:showBubbleSize val="0"/>
            <c:showLeaderLines val="0"/>
          </c:dLbls>
          <c:cat>
            <c:strRef>
              <c:f>List1!$B$44:$B$53</c:f>
              <c:strCache>
                <c:ptCount val="10"/>
                <c:pt idx="0">
                  <c:v>Zákonodárci a říd. prac.</c:v>
                </c:pt>
                <c:pt idx="1">
                  <c:v>Specialisté</c:v>
                </c:pt>
                <c:pt idx="2">
                  <c:v>Tech. a odbor. prac.</c:v>
                </c:pt>
                <c:pt idx="3">
                  <c:v>Úředníci</c:v>
                </c:pt>
                <c:pt idx="4">
                  <c:v>Prac. ve službách a prodeji</c:v>
                </c:pt>
                <c:pt idx="5">
                  <c:v>Kvalif. prac. v zem., les. a rybářství</c:v>
                </c:pt>
                <c:pt idx="6">
                  <c:v>Řemeslníci a opraváři</c:v>
                </c:pt>
                <c:pt idx="7">
                  <c:v>Obsluha strojů a zařízení, montéři</c:v>
                </c:pt>
                <c:pt idx="8">
                  <c:v>Pomocní a nekvalifikovaní pracovníci</c:v>
                </c:pt>
                <c:pt idx="9">
                  <c:v>ČR</c:v>
                </c:pt>
              </c:strCache>
            </c:strRef>
          </c:cat>
          <c:val>
            <c:numRef>
              <c:f>List1!$K$44:$K$53</c:f>
              <c:numCache>
                <c:formatCode>0.0</c:formatCode>
                <c:ptCount val="10"/>
                <c:pt idx="0">
                  <c:v>3.3860160233066279</c:v>
                </c:pt>
                <c:pt idx="1">
                  <c:v>1.9987269878574225</c:v>
                </c:pt>
                <c:pt idx="2">
                  <c:v>2.3179195655862888</c:v>
                </c:pt>
                <c:pt idx="3">
                  <c:v>8.1831862999481064</c:v>
                </c:pt>
                <c:pt idx="4">
                  <c:v>3.6431104925245812</c:v>
                </c:pt>
                <c:pt idx="5">
                  <c:v>4.0705052878965926</c:v>
                </c:pt>
                <c:pt idx="6">
                  <c:v>1.4153018408229561</c:v>
                </c:pt>
                <c:pt idx="7">
                  <c:v>1.0696526915608189</c:v>
                </c:pt>
                <c:pt idx="8">
                  <c:v>3.961745236440771</c:v>
                </c:pt>
                <c:pt idx="9" formatCode="General">
                  <c:v>2.7</c:v>
                </c:pt>
              </c:numCache>
            </c:numRef>
          </c:val>
        </c:ser>
        <c:dLbls>
          <c:dLblPos val="outEnd"/>
          <c:showLegendKey val="0"/>
          <c:showVal val="1"/>
          <c:showCatName val="0"/>
          <c:showSerName val="0"/>
          <c:showPercent val="0"/>
          <c:showBubbleSize val="0"/>
        </c:dLbls>
        <c:gapWidth val="150"/>
        <c:axId val="166204928"/>
        <c:axId val="166206464"/>
      </c:barChart>
      <c:catAx>
        <c:axId val="166204928"/>
        <c:scaling>
          <c:orientation val="minMax"/>
        </c:scaling>
        <c:delete val="0"/>
        <c:axPos val="b"/>
        <c:majorTickMark val="none"/>
        <c:minorTickMark val="none"/>
        <c:tickLblPos val="nextTo"/>
        <c:txPr>
          <a:bodyPr rot="5400000" vert="horz" anchor="ctr" anchorCtr="1"/>
          <a:lstStyle/>
          <a:p>
            <a:pPr>
              <a:defRPr sz="800"/>
            </a:pPr>
            <a:endParaRPr lang="cs-CZ"/>
          </a:p>
        </c:txPr>
        <c:crossAx val="166206464"/>
        <c:crosses val="autoZero"/>
        <c:auto val="0"/>
        <c:lblAlgn val="ctr"/>
        <c:lblOffset val="100"/>
        <c:tickLblSkip val="1"/>
        <c:noMultiLvlLbl val="0"/>
      </c:catAx>
      <c:valAx>
        <c:axId val="166206464"/>
        <c:scaling>
          <c:orientation val="minMax"/>
        </c:scaling>
        <c:delete val="0"/>
        <c:axPos val="l"/>
        <c:majorGridlines/>
        <c:numFmt formatCode="0.0" sourceLinked="1"/>
        <c:majorTickMark val="out"/>
        <c:minorTickMark val="none"/>
        <c:tickLblPos val="nextTo"/>
        <c:crossAx val="166204928"/>
        <c:crosses val="autoZero"/>
        <c:crossBetween val="between"/>
        <c:majorUnit val="2.7"/>
      </c:valAx>
    </c:plotArea>
    <c:legend>
      <c:legendPos val="r"/>
      <c:layout>
        <c:manualLayout>
          <c:xMode val="edge"/>
          <c:yMode val="edge"/>
          <c:x val="0.74680822966735116"/>
          <c:y val="3.5265404147427751E-2"/>
          <c:w val="0.2393332100340404"/>
          <c:h val="0.22186210434743817"/>
        </c:manualLayout>
      </c:layout>
      <c:overlay val="0"/>
      <c:spPr>
        <a:solidFill>
          <a:schemeClr val="bg1"/>
        </a:solidFill>
      </c:sp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List1!$C$24</c:f>
              <c:strCache>
                <c:ptCount val="1"/>
                <c:pt idx="0">
                  <c:v>3Q2008</c:v>
                </c:pt>
              </c:strCache>
            </c:strRef>
          </c:tx>
          <c:invertIfNegative val="0"/>
          <c:dPt>
            <c:idx val="14"/>
            <c:invertIfNegative val="0"/>
            <c:bubble3D val="0"/>
            <c:spPr>
              <a:solidFill>
                <a:srgbClr val="0070C0"/>
              </a:solidFill>
            </c:spPr>
          </c:dPt>
          <c:cat>
            <c:strRef>
              <c:f>List1!$A$25:$A$39</c:f>
              <c:strCache>
                <c:ptCount val="15"/>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ČR</c:v>
                </c:pt>
              </c:strCache>
            </c:strRef>
          </c:cat>
          <c:val>
            <c:numRef>
              <c:f>List1!$C$25:$C$39</c:f>
              <c:numCache>
                <c:formatCode>General</c:formatCode>
                <c:ptCount val="15"/>
                <c:pt idx="0">
                  <c:v>0.6</c:v>
                </c:pt>
                <c:pt idx="1">
                  <c:v>1.6</c:v>
                </c:pt>
                <c:pt idx="2">
                  <c:v>2.2000000000000002</c:v>
                </c:pt>
                <c:pt idx="3">
                  <c:v>1.1000000000000001</c:v>
                </c:pt>
                <c:pt idx="4">
                  <c:v>4.0999999999999996</c:v>
                </c:pt>
                <c:pt idx="5">
                  <c:v>6.4</c:v>
                </c:pt>
                <c:pt idx="6">
                  <c:v>3.4</c:v>
                </c:pt>
                <c:pt idx="7">
                  <c:v>2.2000000000000002</c:v>
                </c:pt>
                <c:pt idx="8">
                  <c:v>1.9</c:v>
                </c:pt>
                <c:pt idx="9">
                  <c:v>3.6</c:v>
                </c:pt>
                <c:pt idx="10">
                  <c:v>2.2999999999999998</c:v>
                </c:pt>
                <c:pt idx="11">
                  <c:v>3.9</c:v>
                </c:pt>
                <c:pt idx="12">
                  <c:v>2.4</c:v>
                </c:pt>
                <c:pt idx="13">
                  <c:v>3.6</c:v>
                </c:pt>
                <c:pt idx="14">
                  <c:v>2.6</c:v>
                </c:pt>
              </c:numCache>
            </c:numRef>
          </c:val>
        </c:ser>
        <c:ser>
          <c:idx val="2"/>
          <c:order val="1"/>
          <c:tx>
            <c:strRef>
              <c:f>List1!$E$24</c:f>
              <c:strCache>
                <c:ptCount val="1"/>
                <c:pt idx="0">
                  <c:v>3Q2015</c:v>
                </c:pt>
              </c:strCache>
            </c:strRef>
          </c:tx>
          <c:invertIfNegative val="0"/>
          <c:dPt>
            <c:idx val="14"/>
            <c:invertIfNegative val="0"/>
            <c:bubble3D val="0"/>
            <c:spPr>
              <a:solidFill>
                <a:srgbClr val="00B050"/>
              </a:solidFill>
            </c:spPr>
          </c:dPt>
          <c:cat>
            <c:strRef>
              <c:f>List1!$A$25:$A$39</c:f>
              <c:strCache>
                <c:ptCount val="15"/>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ČR</c:v>
                </c:pt>
              </c:strCache>
            </c:strRef>
          </c:cat>
          <c:val>
            <c:numRef>
              <c:f>List1!$E$25:$E$39</c:f>
              <c:numCache>
                <c:formatCode>General</c:formatCode>
                <c:ptCount val="15"/>
                <c:pt idx="0">
                  <c:v>3</c:v>
                </c:pt>
                <c:pt idx="1">
                  <c:v>3.5</c:v>
                </c:pt>
                <c:pt idx="2">
                  <c:v>2.7</c:v>
                </c:pt>
                <c:pt idx="3">
                  <c:v>2.2000000000000002</c:v>
                </c:pt>
                <c:pt idx="4">
                  <c:v>4.2</c:v>
                </c:pt>
                <c:pt idx="5">
                  <c:v>8.3000000000000007</c:v>
                </c:pt>
                <c:pt idx="6">
                  <c:v>3.3</c:v>
                </c:pt>
                <c:pt idx="7">
                  <c:v>3.5</c:v>
                </c:pt>
                <c:pt idx="8">
                  <c:v>2.2999999999999998</c:v>
                </c:pt>
                <c:pt idx="9">
                  <c:v>4.5</c:v>
                </c:pt>
                <c:pt idx="10">
                  <c:v>5.3</c:v>
                </c:pt>
                <c:pt idx="11">
                  <c:v>4.5</c:v>
                </c:pt>
                <c:pt idx="12">
                  <c:v>3.8</c:v>
                </c:pt>
                <c:pt idx="13">
                  <c:v>5.9</c:v>
                </c:pt>
                <c:pt idx="14">
                  <c:v>4.0999999999999996</c:v>
                </c:pt>
              </c:numCache>
            </c:numRef>
          </c:val>
        </c:ser>
        <c:ser>
          <c:idx val="3"/>
          <c:order val="2"/>
          <c:tx>
            <c:strRef>
              <c:f>List1!$F$24</c:f>
              <c:strCache>
                <c:ptCount val="1"/>
                <c:pt idx="0">
                  <c:v>3Q2016</c:v>
                </c:pt>
              </c:strCache>
            </c:strRef>
          </c:tx>
          <c:invertIfNegative val="0"/>
          <c:dPt>
            <c:idx val="14"/>
            <c:invertIfNegative val="0"/>
            <c:bubble3D val="0"/>
            <c:spPr>
              <a:solidFill>
                <a:srgbClr val="7030A0"/>
              </a:solidFill>
            </c:spPr>
          </c:dPt>
          <c:val>
            <c:numRef>
              <c:f>List1!$F$25:$F$39</c:f>
              <c:numCache>
                <c:formatCode>General</c:formatCode>
                <c:ptCount val="15"/>
                <c:pt idx="0">
                  <c:v>1.6</c:v>
                </c:pt>
                <c:pt idx="1">
                  <c:v>2.2000000000000002</c:v>
                </c:pt>
                <c:pt idx="2">
                  <c:v>1.7</c:v>
                </c:pt>
                <c:pt idx="3">
                  <c:v>1.3</c:v>
                </c:pt>
                <c:pt idx="4">
                  <c:v>2.9</c:v>
                </c:pt>
                <c:pt idx="5">
                  <c:v>5.8</c:v>
                </c:pt>
                <c:pt idx="6">
                  <c:v>2.6</c:v>
                </c:pt>
                <c:pt idx="7">
                  <c:v>2</c:v>
                </c:pt>
                <c:pt idx="8">
                  <c:v>1.3</c:v>
                </c:pt>
                <c:pt idx="9">
                  <c:v>2.6</c:v>
                </c:pt>
                <c:pt idx="10">
                  <c:v>3.9</c:v>
                </c:pt>
                <c:pt idx="11">
                  <c:v>3.7</c:v>
                </c:pt>
                <c:pt idx="12">
                  <c:v>2.5</c:v>
                </c:pt>
                <c:pt idx="13">
                  <c:v>5.0999999999999996</c:v>
                </c:pt>
                <c:pt idx="14">
                  <c:v>2.7</c:v>
                </c:pt>
              </c:numCache>
            </c:numRef>
          </c:val>
        </c:ser>
        <c:dLbls>
          <c:showLegendKey val="0"/>
          <c:showVal val="0"/>
          <c:showCatName val="0"/>
          <c:showSerName val="0"/>
          <c:showPercent val="0"/>
          <c:showBubbleSize val="0"/>
        </c:dLbls>
        <c:gapWidth val="150"/>
        <c:axId val="166341248"/>
        <c:axId val="166343040"/>
      </c:barChart>
      <c:catAx>
        <c:axId val="166341248"/>
        <c:scaling>
          <c:orientation val="minMax"/>
        </c:scaling>
        <c:delete val="0"/>
        <c:axPos val="b"/>
        <c:majorTickMark val="out"/>
        <c:minorTickMark val="none"/>
        <c:tickLblPos val="nextTo"/>
        <c:crossAx val="166343040"/>
        <c:crosses val="autoZero"/>
        <c:auto val="1"/>
        <c:lblAlgn val="ctr"/>
        <c:lblOffset val="100"/>
        <c:noMultiLvlLbl val="0"/>
      </c:catAx>
      <c:valAx>
        <c:axId val="166343040"/>
        <c:scaling>
          <c:orientation val="minMax"/>
        </c:scaling>
        <c:delete val="0"/>
        <c:axPos val="l"/>
        <c:majorGridlines/>
        <c:numFmt formatCode="General" sourceLinked="1"/>
        <c:majorTickMark val="out"/>
        <c:minorTickMark val="none"/>
        <c:tickLblPos val="nextTo"/>
        <c:crossAx val="166341248"/>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'struktura UoZ'!$C$22:$C$23</c:f>
              <c:strCache>
                <c:ptCount val="1"/>
                <c:pt idx="0">
                  <c:v>OZP</c:v>
                </c:pt>
              </c:strCache>
            </c:strRef>
          </c:tx>
          <c:invertIfNegative val="0"/>
          <c:cat>
            <c:strRef>
              <c:f>'struktura UoZ'!$A$24:$A$38</c:f>
              <c:strCache>
                <c:ptCount val="15"/>
                <c:pt idx="0">
                  <c:v> ČR</c:v>
                </c:pt>
                <c:pt idx="1">
                  <c:v>Praha</c:v>
                </c:pt>
                <c:pt idx="2">
                  <c:v>SČK</c:v>
                </c:pt>
                <c:pt idx="3">
                  <c:v>JČK</c:v>
                </c:pt>
                <c:pt idx="4">
                  <c:v>PLK</c:v>
                </c:pt>
                <c:pt idx="5">
                  <c:v>KVK</c:v>
                </c:pt>
                <c:pt idx="6">
                  <c:v>ULK</c:v>
                </c:pt>
                <c:pt idx="7">
                  <c:v>LBK</c:v>
                </c:pt>
                <c:pt idx="8">
                  <c:v>KHK</c:v>
                </c:pt>
                <c:pt idx="9">
                  <c:v>PBK</c:v>
                </c:pt>
                <c:pt idx="10">
                  <c:v>VYS</c:v>
                </c:pt>
                <c:pt idx="11">
                  <c:v>JMK</c:v>
                </c:pt>
                <c:pt idx="12">
                  <c:v>OLK</c:v>
                </c:pt>
                <c:pt idx="13">
                  <c:v>ZLK</c:v>
                </c:pt>
                <c:pt idx="14">
                  <c:v>MSK</c:v>
                </c:pt>
              </c:strCache>
            </c:strRef>
          </c:cat>
          <c:val>
            <c:numRef>
              <c:f>'struktura UoZ'!$C$24:$C$38</c:f>
              <c:numCache>
                <c:formatCode>0.00%</c:formatCode>
                <c:ptCount val="15"/>
                <c:pt idx="0">
                  <c:v>0.14377752750767994</c:v>
                </c:pt>
                <c:pt idx="1">
                  <c:v>8.6848710272460619E-2</c:v>
                </c:pt>
                <c:pt idx="2">
                  <c:v>0.13006455502248124</c:v>
                </c:pt>
                <c:pt idx="3">
                  <c:v>0.18372429771213439</c:v>
                </c:pt>
                <c:pt idx="4">
                  <c:v>0.19242002309311962</c:v>
                </c:pt>
                <c:pt idx="5">
                  <c:v>0.11669354154290079</c:v>
                </c:pt>
                <c:pt idx="6">
                  <c:v>0.14140953868853881</c:v>
                </c:pt>
                <c:pt idx="7">
                  <c:v>0.13855161787365178</c:v>
                </c:pt>
                <c:pt idx="8">
                  <c:v>0.15150223737481355</c:v>
                </c:pt>
                <c:pt idx="9">
                  <c:v>0.18564835492035134</c:v>
                </c:pt>
                <c:pt idx="10">
                  <c:v>0.19372783958919182</c:v>
                </c:pt>
                <c:pt idx="11">
                  <c:v>0.14690257994878198</c:v>
                </c:pt>
                <c:pt idx="12">
                  <c:v>0.14362937454953151</c:v>
                </c:pt>
                <c:pt idx="13">
                  <c:v>0.16693996297275854</c:v>
                </c:pt>
                <c:pt idx="14">
                  <c:v>0.13546510723672955</c:v>
                </c:pt>
              </c:numCache>
            </c:numRef>
          </c:val>
        </c:ser>
        <c:ser>
          <c:idx val="1"/>
          <c:order val="1"/>
          <c:tx>
            <c:strRef>
              <c:f>'struktura UoZ'!$D$22:$D$23</c:f>
              <c:strCache>
                <c:ptCount val="1"/>
                <c:pt idx="0">
                  <c:v>pečující o děti do 15 let</c:v>
                </c:pt>
              </c:strCache>
            </c:strRef>
          </c:tx>
          <c:invertIfNegative val="0"/>
          <c:cat>
            <c:strRef>
              <c:f>'struktura UoZ'!$A$24:$A$38</c:f>
              <c:strCache>
                <c:ptCount val="15"/>
                <c:pt idx="0">
                  <c:v> ČR</c:v>
                </c:pt>
                <c:pt idx="1">
                  <c:v>Praha</c:v>
                </c:pt>
                <c:pt idx="2">
                  <c:v>SČK</c:v>
                </c:pt>
                <c:pt idx="3">
                  <c:v>JČK</c:v>
                </c:pt>
                <c:pt idx="4">
                  <c:v>PLK</c:v>
                </c:pt>
                <c:pt idx="5">
                  <c:v>KVK</c:v>
                </c:pt>
                <c:pt idx="6">
                  <c:v>ULK</c:v>
                </c:pt>
                <c:pt idx="7">
                  <c:v>LBK</c:v>
                </c:pt>
                <c:pt idx="8">
                  <c:v>KHK</c:v>
                </c:pt>
                <c:pt idx="9">
                  <c:v>PBK</c:v>
                </c:pt>
                <c:pt idx="10">
                  <c:v>VYS</c:v>
                </c:pt>
                <c:pt idx="11">
                  <c:v>JMK</c:v>
                </c:pt>
                <c:pt idx="12">
                  <c:v>OLK</c:v>
                </c:pt>
                <c:pt idx="13">
                  <c:v>ZLK</c:v>
                </c:pt>
                <c:pt idx="14">
                  <c:v>MSK</c:v>
                </c:pt>
              </c:strCache>
            </c:strRef>
          </c:cat>
          <c:val>
            <c:numRef>
              <c:f>'struktura UoZ'!$D$24:$D$38</c:f>
              <c:numCache>
                <c:formatCode>0.00%</c:formatCode>
                <c:ptCount val="15"/>
                <c:pt idx="0">
                  <c:v>0.13056168012309058</c:v>
                </c:pt>
                <c:pt idx="1">
                  <c:v>7.3785115969639242E-2</c:v>
                </c:pt>
                <c:pt idx="2">
                  <c:v>0.16555725804425914</c:v>
                </c:pt>
                <c:pt idx="3">
                  <c:v>0.13402838111786852</c:v>
                </c:pt>
                <c:pt idx="4">
                  <c:v>0.15125993343747879</c:v>
                </c:pt>
                <c:pt idx="5">
                  <c:v>0.19018925570737502</c:v>
                </c:pt>
                <c:pt idx="6">
                  <c:v>0.15534001649090831</c:v>
                </c:pt>
                <c:pt idx="7">
                  <c:v>0.17183359013867489</c:v>
                </c:pt>
                <c:pt idx="8">
                  <c:v>0.11542012927054478</c:v>
                </c:pt>
                <c:pt idx="9">
                  <c:v>0.17299389608456156</c:v>
                </c:pt>
                <c:pt idx="10">
                  <c:v>0.14366059420467051</c:v>
                </c:pt>
                <c:pt idx="11">
                  <c:v>0.10285931977396347</c:v>
                </c:pt>
                <c:pt idx="12">
                  <c:v>0.11231680948186114</c:v>
                </c:pt>
                <c:pt idx="13">
                  <c:v>0.17561491668870668</c:v>
                </c:pt>
                <c:pt idx="14">
                  <c:v>9.8636017232530293E-2</c:v>
                </c:pt>
              </c:numCache>
            </c:numRef>
          </c:val>
        </c:ser>
        <c:ser>
          <c:idx val="2"/>
          <c:order val="2"/>
          <c:tx>
            <c:strRef>
              <c:f>'struktura UoZ'!$E$22:$E$23</c:f>
              <c:strCache>
                <c:ptCount val="1"/>
                <c:pt idx="0">
                  <c:v>po MD/RD 9m po por.</c:v>
                </c:pt>
              </c:strCache>
            </c:strRef>
          </c:tx>
          <c:invertIfNegative val="0"/>
          <c:cat>
            <c:strRef>
              <c:f>'struktura UoZ'!$A$24:$A$38</c:f>
              <c:strCache>
                <c:ptCount val="15"/>
                <c:pt idx="0">
                  <c:v> ČR</c:v>
                </c:pt>
                <c:pt idx="1">
                  <c:v>Praha</c:v>
                </c:pt>
                <c:pt idx="2">
                  <c:v>SČK</c:v>
                </c:pt>
                <c:pt idx="3">
                  <c:v>JČK</c:v>
                </c:pt>
                <c:pt idx="4">
                  <c:v>PLK</c:v>
                </c:pt>
                <c:pt idx="5">
                  <c:v>KVK</c:v>
                </c:pt>
                <c:pt idx="6">
                  <c:v>ULK</c:v>
                </c:pt>
                <c:pt idx="7">
                  <c:v>LBK</c:v>
                </c:pt>
                <c:pt idx="8">
                  <c:v>KHK</c:v>
                </c:pt>
                <c:pt idx="9">
                  <c:v>PBK</c:v>
                </c:pt>
                <c:pt idx="10">
                  <c:v>VYS</c:v>
                </c:pt>
                <c:pt idx="11">
                  <c:v>JMK</c:v>
                </c:pt>
                <c:pt idx="12">
                  <c:v>OLK</c:v>
                </c:pt>
                <c:pt idx="13">
                  <c:v>ZLK</c:v>
                </c:pt>
                <c:pt idx="14">
                  <c:v>MSK</c:v>
                </c:pt>
              </c:strCache>
            </c:strRef>
          </c:cat>
          <c:val>
            <c:numRef>
              <c:f>'struktura UoZ'!$E$24:$E$38</c:f>
              <c:numCache>
                <c:formatCode>0.00%</c:formatCode>
                <c:ptCount val="15"/>
                <c:pt idx="0">
                  <c:v>1.092640472904737E-2</c:v>
                </c:pt>
                <c:pt idx="1">
                  <c:v>4.6871692521697058E-3</c:v>
                </c:pt>
                <c:pt idx="2">
                  <c:v>1.0499610660370249E-2</c:v>
                </c:pt>
                <c:pt idx="3">
                  <c:v>1.5928178395598031E-2</c:v>
                </c:pt>
                <c:pt idx="4">
                  <c:v>1.623310466616858E-2</c:v>
                </c:pt>
                <c:pt idx="5">
                  <c:v>1.4088093015361113E-2</c:v>
                </c:pt>
                <c:pt idx="6">
                  <c:v>1.3474807967712537E-2</c:v>
                </c:pt>
                <c:pt idx="7">
                  <c:v>1.2696456086286594E-2</c:v>
                </c:pt>
                <c:pt idx="8">
                  <c:v>7.9551104481852403E-3</c:v>
                </c:pt>
                <c:pt idx="9">
                  <c:v>1.6971862438588656E-2</c:v>
                </c:pt>
                <c:pt idx="10">
                  <c:v>1.3510209072013694E-2</c:v>
                </c:pt>
                <c:pt idx="11">
                  <c:v>1.0582234544646447E-2</c:v>
                </c:pt>
                <c:pt idx="12">
                  <c:v>9.4898694642428123E-3</c:v>
                </c:pt>
                <c:pt idx="13">
                  <c:v>1.0949484263422375E-2</c:v>
                </c:pt>
                <c:pt idx="14">
                  <c:v>8.5229481935393571E-3</c:v>
                </c:pt>
              </c:numCache>
            </c:numRef>
          </c:val>
        </c:ser>
        <c:ser>
          <c:idx val="3"/>
          <c:order val="3"/>
          <c:tx>
            <c:strRef>
              <c:f>'struktura UoZ'!$F$22:$F$23</c:f>
              <c:strCache>
                <c:ptCount val="1"/>
                <c:pt idx="0">
                  <c:v>do 25 let</c:v>
                </c:pt>
              </c:strCache>
            </c:strRef>
          </c:tx>
          <c:invertIfNegative val="0"/>
          <c:cat>
            <c:strRef>
              <c:f>'struktura UoZ'!$A$24:$A$38</c:f>
              <c:strCache>
                <c:ptCount val="15"/>
                <c:pt idx="0">
                  <c:v> ČR</c:v>
                </c:pt>
                <c:pt idx="1">
                  <c:v>Praha</c:v>
                </c:pt>
                <c:pt idx="2">
                  <c:v>SČK</c:v>
                </c:pt>
                <c:pt idx="3">
                  <c:v>JČK</c:v>
                </c:pt>
                <c:pt idx="4">
                  <c:v>PLK</c:v>
                </c:pt>
                <c:pt idx="5">
                  <c:v>KVK</c:v>
                </c:pt>
                <c:pt idx="6">
                  <c:v>ULK</c:v>
                </c:pt>
                <c:pt idx="7">
                  <c:v>LBK</c:v>
                </c:pt>
                <c:pt idx="8">
                  <c:v>KHK</c:v>
                </c:pt>
                <c:pt idx="9">
                  <c:v>PBK</c:v>
                </c:pt>
                <c:pt idx="10">
                  <c:v>VYS</c:v>
                </c:pt>
                <c:pt idx="11">
                  <c:v>JMK</c:v>
                </c:pt>
                <c:pt idx="12">
                  <c:v>OLK</c:v>
                </c:pt>
                <c:pt idx="13">
                  <c:v>ZLK</c:v>
                </c:pt>
                <c:pt idx="14">
                  <c:v>MSK</c:v>
                </c:pt>
              </c:strCache>
            </c:strRef>
          </c:cat>
          <c:val>
            <c:numRef>
              <c:f>'struktura UoZ'!$F$24:$F$38</c:f>
              <c:numCache>
                <c:formatCode>0.00%</c:formatCode>
                <c:ptCount val="15"/>
                <c:pt idx="0">
                  <c:v>0.14530294137863575</c:v>
                </c:pt>
                <c:pt idx="1">
                  <c:v>0.10762345399014182</c:v>
                </c:pt>
                <c:pt idx="2">
                  <c:v>0.15231971063273969</c:v>
                </c:pt>
                <c:pt idx="3">
                  <c:v>0.1555748624384593</c:v>
                </c:pt>
                <c:pt idx="4">
                  <c:v>0.14704883515587855</c:v>
                </c:pt>
                <c:pt idx="5">
                  <c:v>0.14614274802681829</c:v>
                </c:pt>
                <c:pt idx="6">
                  <c:v>0.15264939461007682</c:v>
                </c:pt>
                <c:pt idx="7">
                  <c:v>0.16117103235747304</c:v>
                </c:pt>
                <c:pt idx="8">
                  <c:v>0.16364798636266781</c:v>
                </c:pt>
                <c:pt idx="9">
                  <c:v>0.17172845020098257</c:v>
                </c:pt>
                <c:pt idx="10">
                  <c:v>0.15564249908301747</c:v>
                </c:pt>
                <c:pt idx="11">
                  <c:v>0.14872272429046118</c:v>
                </c:pt>
                <c:pt idx="12">
                  <c:v>0.13990550172179067</c:v>
                </c:pt>
                <c:pt idx="13">
                  <c:v>0.14959005554086222</c:v>
                </c:pt>
                <c:pt idx="14">
                  <c:v>0.13390982471966031</c:v>
                </c:pt>
              </c:numCache>
            </c:numRef>
          </c:val>
        </c:ser>
        <c:ser>
          <c:idx val="4"/>
          <c:order val="4"/>
          <c:tx>
            <c:strRef>
              <c:f>'struktura UoZ'!$G$22:$G$23</c:f>
              <c:strCache>
                <c:ptCount val="1"/>
                <c:pt idx="0">
                  <c:v>nad 50 let</c:v>
                </c:pt>
              </c:strCache>
            </c:strRef>
          </c:tx>
          <c:invertIfNegative val="0"/>
          <c:cat>
            <c:strRef>
              <c:f>'struktura UoZ'!$A$24:$A$38</c:f>
              <c:strCache>
                <c:ptCount val="15"/>
                <c:pt idx="0">
                  <c:v> ČR</c:v>
                </c:pt>
                <c:pt idx="1">
                  <c:v>Praha</c:v>
                </c:pt>
                <c:pt idx="2">
                  <c:v>SČK</c:v>
                </c:pt>
                <c:pt idx="3">
                  <c:v>JČK</c:v>
                </c:pt>
                <c:pt idx="4">
                  <c:v>PLK</c:v>
                </c:pt>
                <c:pt idx="5">
                  <c:v>KVK</c:v>
                </c:pt>
                <c:pt idx="6">
                  <c:v>ULK</c:v>
                </c:pt>
                <c:pt idx="7">
                  <c:v>LBK</c:v>
                </c:pt>
                <c:pt idx="8">
                  <c:v>KHK</c:v>
                </c:pt>
                <c:pt idx="9">
                  <c:v>PBK</c:v>
                </c:pt>
                <c:pt idx="10">
                  <c:v>VYS</c:v>
                </c:pt>
                <c:pt idx="11">
                  <c:v>JMK</c:v>
                </c:pt>
                <c:pt idx="12">
                  <c:v>OLK</c:v>
                </c:pt>
                <c:pt idx="13">
                  <c:v>ZLK</c:v>
                </c:pt>
                <c:pt idx="14">
                  <c:v>MSK</c:v>
                </c:pt>
              </c:strCache>
            </c:strRef>
          </c:cat>
          <c:val>
            <c:numRef>
              <c:f>'struktura UoZ'!$G$24:$G$38</c:f>
              <c:numCache>
                <c:formatCode>0.00%</c:formatCode>
                <c:ptCount val="15"/>
                <c:pt idx="0">
                  <c:v>0.32082335337256579</c:v>
                </c:pt>
                <c:pt idx="1">
                  <c:v>0.29780156642172428</c:v>
                </c:pt>
                <c:pt idx="2">
                  <c:v>0.31415940318002561</c:v>
                </c:pt>
                <c:pt idx="3">
                  <c:v>0.33507095279467131</c:v>
                </c:pt>
                <c:pt idx="4">
                  <c:v>0.33919717448889491</c:v>
                </c:pt>
                <c:pt idx="5">
                  <c:v>0.32725112450140031</c:v>
                </c:pt>
                <c:pt idx="6">
                  <c:v>0.2950136700950397</c:v>
                </c:pt>
                <c:pt idx="7">
                  <c:v>0.29731895223420646</c:v>
                </c:pt>
                <c:pt idx="8">
                  <c:v>0.31181191846011791</c:v>
                </c:pt>
                <c:pt idx="9">
                  <c:v>0.33035581360726513</c:v>
                </c:pt>
                <c:pt idx="10">
                  <c:v>0.33488201491624892</c:v>
                </c:pt>
                <c:pt idx="11">
                  <c:v>0.3083028212237296</c:v>
                </c:pt>
                <c:pt idx="12">
                  <c:v>0.33618963722271161</c:v>
                </c:pt>
                <c:pt idx="13">
                  <c:v>0.33969849246231154</c:v>
                </c:pt>
                <c:pt idx="14">
                  <c:v>0.34609701852341479</c:v>
                </c:pt>
              </c:numCache>
            </c:numRef>
          </c:val>
        </c:ser>
        <c:ser>
          <c:idx val="5"/>
          <c:order val="5"/>
          <c:tx>
            <c:strRef>
              <c:f>'struktura UoZ'!$H$22:$H$23</c:f>
              <c:strCache>
                <c:ptCount val="1"/>
                <c:pt idx="0">
                  <c:v>bez vzděl. nebo se ZŠ</c:v>
                </c:pt>
              </c:strCache>
            </c:strRef>
          </c:tx>
          <c:invertIfNegative val="0"/>
          <c:cat>
            <c:strRef>
              <c:f>'struktura UoZ'!$A$24:$A$38</c:f>
              <c:strCache>
                <c:ptCount val="15"/>
                <c:pt idx="0">
                  <c:v> ČR</c:v>
                </c:pt>
                <c:pt idx="1">
                  <c:v>Praha</c:v>
                </c:pt>
                <c:pt idx="2">
                  <c:v>SČK</c:v>
                </c:pt>
                <c:pt idx="3">
                  <c:v>JČK</c:v>
                </c:pt>
                <c:pt idx="4">
                  <c:v>PLK</c:v>
                </c:pt>
                <c:pt idx="5">
                  <c:v>KVK</c:v>
                </c:pt>
                <c:pt idx="6">
                  <c:v>ULK</c:v>
                </c:pt>
                <c:pt idx="7">
                  <c:v>LBK</c:v>
                </c:pt>
                <c:pt idx="8">
                  <c:v>KHK</c:v>
                </c:pt>
                <c:pt idx="9">
                  <c:v>PBK</c:v>
                </c:pt>
                <c:pt idx="10">
                  <c:v>VYS</c:v>
                </c:pt>
                <c:pt idx="11">
                  <c:v>JMK</c:v>
                </c:pt>
                <c:pt idx="12">
                  <c:v>OLK</c:v>
                </c:pt>
                <c:pt idx="13">
                  <c:v>ZLK</c:v>
                </c:pt>
                <c:pt idx="14">
                  <c:v>MSK</c:v>
                </c:pt>
              </c:strCache>
            </c:strRef>
          </c:cat>
          <c:val>
            <c:numRef>
              <c:f>'struktura UoZ'!$H$24:$H$38</c:f>
              <c:numCache>
                <c:formatCode>0.00%</c:formatCode>
                <c:ptCount val="15"/>
                <c:pt idx="0">
                  <c:v>0.3037635687810965</c:v>
                </c:pt>
                <c:pt idx="1">
                  <c:v>0.20206235447095466</c:v>
                </c:pt>
                <c:pt idx="2">
                  <c:v>0.28306247017156061</c:v>
                </c:pt>
                <c:pt idx="3">
                  <c:v>0.26545033304373011</c:v>
                </c:pt>
                <c:pt idx="4">
                  <c:v>0.31175711471846768</c:v>
                </c:pt>
                <c:pt idx="5">
                  <c:v>0.50106085037766268</c:v>
                </c:pt>
                <c:pt idx="6">
                  <c:v>0.46063880571106192</c:v>
                </c:pt>
                <c:pt idx="7">
                  <c:v>0.33109399075500773</c:v>
                </c:pt>
                <c:pt idx="8">
                  <c:v>0.3024362525747567</c:v>
                </c:pt>
                <c:pt idx="9">
                  <c:v>0.28040792020247135</c:v>
                </c:pt>
                <c:pt idx="10">
                  <c:v>0.19788482699596527</c:v>
                </c:pt>
                <c:pt idx="11">
                  <c:v>0.25264026751888929</c:v>
                </c:pt>
                <c:pt idx="12">
                  <c:v>0.28021141987667175</c:v>
                </c:pt>
                <c:pt idx="13">
                  <c:v>0.19121925416556468</c:v>
                </c:pt>
                <c:pt idx="14">
                  <c:v>0.33376362816305583</c:v>
                </c:pt>
              </c:numCache>
            </c:numRef>
          </c:val>
        </c:ser>
        <c:ser>
          <c:idx val="6"/>
          <c:order val="6"/>
          <c:tx>
            <c:strRef>
              <c:f>'struktura UoZ'!$I$23</c:f>
              <c:strCache>
                <c:ptCount val="1"/>
                <c:pt idx="0">
                  <c:v>nad 12M </c:v>
                </c:pt>
              </c:strCache>
            </c:strRef>
          </c:tx>
          <c:invertIfNegative val="0"/>
          <c:cat>
            <c:strRef>
              <c:f>'struktura UoZ'!$A$24:$A$38</c:f>
              <c:strCache>
                <c:ptCount val="15"/>
                <c:pt idx="0">
                  <c:v> ČR</c:v>
                </c:pt>
                <c:pt idx="1">
                  <c:v>Praha</c:v>
                </c:pt>
                <c:pt idx="2">
                  <c:v>SČK</c:v>
                </c:pt>
                <c:pt idx="3">
                  <c:v>JČK</c:v>
                </c:pt>
                <c:pt idx="4">
                  <c:v>PLK</c:v>
                </c:pt>
                <c:pt idx="5">
                  <c:v>KVK</c:v>
                </c:pt>
                <c:pt idx="6">
                  <c:v>ULK</c:v>
                </c:pt>
                <c:pt idx="7">
                  <c:v>LBK</c:v>
                </c:pt>
                <c:pt idx="8">
                  <c:v>KHK</c:v>
                </c:pt>
                <c:pt idx="9">
                  <c:v>PBK</c:v>
                </c:pt>
                <c:pt idx="10">
                  <c:v>VYS</c:v>
                </c:pt>
                <c:pt idx="11">
                  <c:v>JMK</c:v>
                </c:pt>
                <c:pt idx="12">
                  <c:v>OLK</c:v>
                </c:pt>
                <c:pt idx="13">
                  <c:v>ZLK</c:v>
                </c:pt>
                <c:pt idx="14">
                  <c:v>MSK</c:v>
                </c:pt>
              </c:strCache>
            </c:strRef>
          </c:cat>
          <c:val>
            <c:numRef>
              <c:f>'struktura UoZ'!$I$24:$I$38</c:f>
              <c:numCache>
                <c:formatCode>0.00%</c:formatCode>
                <c:ptCount val="15"/>
                <c:pt idx="0">
                  <c:v>0.40785125496354341</c:v>
                </c:pt>
                <c:pt idx="1">
                  <c:v>0.36774622758474707</c:v>
                </c:pt>
                <c:pt idx="2">
                  <c:v>0.37308784004420886</c:v>
                </c:pt>
                <c:pt idx="3">
                  <c:v>0.30153489719084853</c:v>
                </c:pt>
                <c:pt idx="4">
                  <c:v>0.35447938599470219</c:v>
                </c:pt>
                <c:pt idx="5">
                  <c:v>0.45540185012305867</c:v>
                </c:pt>
                <c:pt idx="6">
                  <c:v>0.46671440350648785</c:v>
                </c:pt>
                <c:pt idx="7">
                  <c:v>0.37627118644067797</c:v>
                </c:pt>
                <c:pt idx="8">
                  <c:v>0.33525108317352087</c:v>
                </c:pt>
                <c:pt idx="9">
                  <c:v>0.31226738127140091</c:v>
                </c:pt>
                <c:pt idx="10">
                  <c:v>0.40603985817337085</c:v>
                </c:pt>
                <c:pt idx="11">
                  <c:v>0.42898262397087766</c:v>
                </c:pt>
                <c:pt idx="12">
                  <c:v>0.40594217986706177</c:v>
                </c:pt>
                <c:pt idx="13">
                  <c:v>0.36519439301772016</c:v>
                </c:pt>
                <c:pt idx="14">
                  <c:v>0.48191984073907024</c:v>
                </c:pt>
              </c:numCache>
            </c:numRef>
          </c:val>
        </c:ser>
        <c:dLbls>
          <c:showLegendKey val="0"/>
          <c:showVal val="0"/>
          <c:showCatName val="0"/>
          <c:showSerName val="0"/>
          <c:showPercent val="0"/>
          <c:showBubbleSize val="0"/>
        </c:dLbls>
        <c:gapWidth val="150"/>
        <c:overlap val="100"/>
        <c:axId val="166376192"/>
        <c:axId val="166377728"/>
      </c:barChart>
      <c:catAx>
        <c:axId val="166376192"/>
        <c:scaling>
          <c:orientation val="minMax"/>
        </c:scaling>
        <c:delete val="0"/>
        <c:axPos val="b"/>
        <c:majorTickMark val="out"/>
        <c:minorTickMark val="none"/>
        <c:tickLblPos val="nextTo"/>
        <c:crossAx val="166377728"/>
        <c:crosses val="autoZero"/>
        <c:auto val="1"/>
        <c:lblAlgn val="ctr"/>
        <c:lblOffset val="100"/>
        <c:noMultiLvlLbl val="0"/>
      </c:catAx>
      <c:valAx>
        <c:axId val="166377728"/>
        <c:scaling>
          <c:orientation val="minMax"/>
        </c:scaling>
        <c:delete val="0"/>
        <c:axPos val="l"/>
        <c:majorGridlines/>
        <c:numFmt formatCode="0.00%" sourceLinked="1"/>
        <c:majorTickMark val="out"/>
        <c:minorTickMark val="none"/>
        <c:tickLblPos val="nextTo"/>
        <c:txPr>
          <a:bodyPr/>
          <a:lstStyle/>
          <a:p>
            <a:pPr>
              <a:defRPr sz="800"/>
            </a:pPr>
            <a:endParaRPr lang="cs-CZ"/>
          </a:p>
        </c:txPr>
        <c:crossAx val="166376192"/>
        <c:crosses val="autoZero"/>
        <c:crossBetween val="between"/>
      </c:valAx>
    </c:plotArea>
    <c:legend>
      <c:legendPos val="b"/>
      <c:layout/>
      <c:overlay val="0"/>
      <c:txPr>
        <a:bodyPr/>
        <a:lstStyle/>
        <a:p>
          <a:pPr>
            <a:defRPr sz="800"/>
          </a:pPr>
          <a:endParaRPr lang="cs-CZ"/>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034329042203058"/>
          <c:y val="4.520355190778369E-2"/>
          <c:w val="0.84672680013888968"/>
          <c:h val="0.74616114205679829"/>
        </c:manualLayout>
      </c:layout>
      <c:barChart>
        <c:barDir val="bar"/>
        <c:grouping val="percentStacked"/>
        <c:varyColors val="0"/>
        <c:ser>
          <c:idx val="0"/>
          <c:order val="0"/>
          <c:tx>
            <c:strRef>
              <c:f>List5!$S$1:$S$2</c:f>
              <c:strCache>
                <c:ptCount val="1"/>
                <c:pt idx="0">
                  <c:v>bez a neúplné ZŠ</c:v>
                </c:pt>
              </c:strCache>
            </c:strRef>
          </c:tx>
          <c:spPr>
            <a:solidFill>
              <a:srgbClr val="FF7C80"/>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List5!$S$3:$S$18</c:f>
              <c:numCache>
                <c:formatCode>#,##0</c:formatCode>
                <c:ptCount val="16"/>
                <c:pt idx="0">
                  <c:v>131</c:v>
                </c:pt>
                <c:pt idx="1">
                  <c:v>333</c:v>
                </c:pt>
                <c:pt idx="2">
                  <c:v>125</c:v>
                </c:pt>
                <c:pt idx="3">
                  <c:v>68</c:v>
                </c:pt>
                <c:pt idx="4">
                  <c:v>3722</c:v>
                </c:pt>
                <c:pt idx="5">
                  <c:v>2057</c:v>
                </c:pt>
                <c:pt idx="6">
                  <c:v>683</c:v>
                </c:pt>
                <c:pt idx="7">
                  <c:v>41</c:v>
                </c:pt>
                <c:pt idx="8">
                  <c:v>172</c:v>
                </c:pt>
                <c:pt idx="9">
                  <c:v>17</c:v>
                </c:pt>
                <c:pt idx="10">
                  <c:v>39</c:v>
                </c:pt>
                <c:pt idx="11">
                  <c:v>58</c:v>
                </c:pt>
                <c:pt idx="12">
                  <c:v>21</c:v>
                </c:pt>
                <c:pt idx="13">
                  <c:v>1062</c:v>
                </c:pt>
                <c:pt idx="14">
                  <c:v>8529</c:v>
                </c:pt>
                <c:pt idx="15" formatCode="General">
                  <c:v>730</c:v>
                </c:pt>
              </c:numCache>
            </c:numRef>
          </c:val>
        </c:ser>
        <c:ser>
          <c:idx val="1"/>
          <c:order val="1"/>
          <c:tx>
            <c:strRef>
              <c:f>List5!$T$1:$T$2</c:f>
              <c:strCache>
                <c:ptCount val="1"/>
                <c:pt idx="0">
                  <c:v>ZŠ</c:v>
                </c:pt>
              </c:strCache>
            </c:strRef>
          </c:tx>
          <c:spPr>
            <a:solidFill>
              <a:schemeClr val="accent2">
                <a:lumMod val="40000"/>
                <a:lumOff val="60000"/>
              </a:schemeClr>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List5!$T$3:$T$18</c:f>
              <c:numCache>
                <c:formatCode>General</c:formatCode>
                <c:ptCount val="16"/>
                <c:pt idx="0" formatCode="#,##0">
                  <c:v>6551</c:v>
                </c:pt>
                <c:pt idx="1">
                  <c:v>10936</c:v>
                </c:pt>
                <c:pt idx="2">
                  <c:v>4458</c:v>
                </c:pt>
                <c:pt idx="3">
                  <c:v>4522</c:v>
                </c:pt>
                <c:pt idx="4">
                  <c:v>2182</c:v>
                </c:pt>
                <c:pt idx="5">
                  <c:v>19172</c:v>
                </c:pt>
                <c:pt idx="6">
                  <c:v>4689</c:v>
                </c:pt>
                <c:pt idx="7">
                  <c:v>4217</c:v>
                </c:pt>
                <c:pt idx="8">
                  <c:v>3595</c:v>
                </c:pt>
                <c:pt idx="9">
                  <c:v>3220</c:v>
                </c:pt>
                <c:pt idx="10">
                  <c:v>11898</c:v>
                </c:pt>
                <c:pt idx="11">
                  <c:v>6940</c:v>
                </c:pt>
                <c:pt idx="12">
                  <c:v>3594</c:v>
                </c:pt>
                <c:pt idx="13">
                  <c:v>20398</c:v>
                </c:pt>
                <c:pt idx="14">
                  <c:v>106372</c:v>
                </c:pt>
                <c:pt idx="15">
                  <c:v>2790</c:v>
                </c:pt>
              </c:numCache>
            </c:numRef>
          </c:val>
        </c:ser>
        <c:ser>
          <c:idx val="2"/>
          <c:order val="2"/>
          <c:tx>
            <c:strRef>
              <c:f>List5!$U$1:$U$2</c:f>
              <c:strCache>
                <c:ptCount val="1"/>
                <c:pt idx="0">
                  <c:v>nižší střední</c:v>
                </c:pt>
              </c:strCache>
            </c:strRef>
          </c:tx>
          <c:spPr>
            <a:solidFill>
              <a:srgbClr val="00CCFF"/>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List5!$U$3:$U$18</c:f>
              <c:numCache>
                <c:formatCode>General</c:formatCode>
                <c:ptCount val="16"/>
                <c:pt idx="0" formatCode="#,##0">
                  <c:v>39</c:v>
                </c:pt>
                <c:pt idx="1">
                  <c:v>23</c:v>
                </c:pt>
                <c:pt idx="2">
                  <c:v>5</c:v>
                </c:pt>
                <c:pt idx="3">
                  <c:v>9</c:v>
                </c:pt>
                <c:pt idx="4">
                  <c:v>9</c:v>
                </c:pt>
                <c:pt idx="5">
                  <c:v>32</c:v>
                </c:pt>
                <c:pt idx="6">
                  <c:v>10</c:v>
                </c:pt>
                <c:pt idx="7">
                  <c:v>9</c:v>
                </c:pt>
                <c:pt idx="8">
                  <c:v>11</c:v>
                </c:pt>
                <c:pt idx="9">
                  <c:v>3</c:v>
                </c:pt>
                <c:pt idx="10">
                  <c:v>21</c:v>
                </c:pt>
                <c:pt idx="11">
                  <c:v>22</c:v>
                </c:pt>
                <c:pt idx="12">
                  <c:v>13</c:v>
                </c:pt>
                <c:pt idx="13">
                  <c:v>25</c:v>
                </c:pt>
                <c:pt idx="14">
                  <c:v>231</c:v>
                </c:pt>
                <c:pt idx="15">
                  <c:v>5</c:v>
                </c:pt>
              </c:numCache>
            </c:numRef>
          </c:val>
        </c:ser>
        <c:ser>
          <c:idx val="3"/>
          <c:order val="3"/>
          <c:tx>
            <c:strRef>
              <c:f>List5!$V$1:$V$2</c:f>
              <c:strCache>
                <c:ptCount val="1"/>
                <c:pt idx="0">
                  <c:v>nižší střední odborné</c:v>
                </c:pt>
              </c:strCache>
            </c:strRef>
          </c:tx>
          <c:spPr>
            <a:solidFill>
              <a:srgbClr val="99CCFF"/>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List5!$V$3:$V$18</c:f>
              <c:numCache>
                <c:formatCode>General</c:formatCode>
                <c:ptCount val="16"/>
                <c:pt idx="0" formatCode="#,##0">
                  <c:v>304</c:v>
                </c:pt>
                <c:pt idx="1">
                  <c:v>846</c:v>
                </c:pt>
                <c:pt idx="2">
                  <c:v>386</c:v>
                </c:pt>
                <c:pt idx="3">
                  <c:v>305</c:v>
                </c:pt>
                <c:pt idx="4">
                  <c:v>378</c:v>
                </c:pt>
                <c:pt idx="5">
                  <c:v>1646</c:v>
                </c:pt>
                <c:pt idx="6">
                  <c:v>448</c:v>
                </c:pt>
                <c:pt idx="7">
                  <c:v>378</c:v>
                </c:pt>
                <c:pt idx="8">
                  <c:v>398</c:v>
                </c:pt>
                <c:pt idx="9">
                  <c:v>338</c:v>
                </c:pt>
                <c:pt idx="10">
                  <c:v>888</c:v>
                </c:pt>
                <c:pt idx="11">
                  <c:v>793</c:v>
                </c:pt>
                <c:pt idx="12">
                  <c:v>408</c:v>
                </c:pt>
                <c:pt idx="13">
                  <c:v>2042</c:v>
                </c:pt>
                <c:pt idx="14">
                  <c:v>9558</c:v>
                </c:pt>
                <c:pt idx="15">
                  <c:v>876</c:v>
                </c:pt>
              </c:numCache>
            </c:numRef>
          </c:val>
        </c:ser>
        <c:ser>
          <c:idx val="4"/>
          <c:order val="4"/>
          <c:tx>
            <c:strRef>
              <c:f>List5!$W$1:$W$2</c:f>
              <c:strCache>
                <c:ptCount val="1"/>
                <c:pt idx="0">
                  <c:v>Střední odb. (vyučen)</c:v>
                </c:pt>
              </c:strCache>
            </c:strRef>
          </c:tx>
          <c:spPr>
            <a:solidFill>
              <a:schemeClr val="accent1">
                <a:lumMod val="60000"/>
                <a:lumOff val="40000"/>
              </a:schemeClr>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List5!$W$3:$W$18</c:f>
              <c:numCache>
                <c:formatCode>General</c:formatCode>
                <c:ptCount val="16"/>
                <c:pt idx="0" formatCode="#,##0">
                  <c:v>8674</c:v>
                </c:pt>
                <c:pt idx="1">
                  <c:v>13643</c:v>
                </c:pt>
                <c:pt idx="2">
                  <c:v>6288</c:v>
                </c:pt>
                <c:pt idx="3">
                  <c:v>5160</c:v>
                </c:pt>
                <c:pt idx="4">
                  <c:v>3307</c:v>
                </c:pt>
                <c:pt idx="5">
                  <c:v>13888</c:v>
                </c:pt>
                <c:pt idx="6">
                  <c:v>5590</c:v>
                </c:pt>
                <c:pt idx="7">
                  <c:v>4759</c:v>
                </c:pt>
                <c:pt idx="8">
                  <c:v>4760</c:v>
                </c:pt>
                <c:pt idx="9">
                  <c:v>6760</c:v>
                </c:pt>
                <c:pt idx="10">
                  <c:v>16939</c:v>
                </c:pt>
                <c:pt idx="11">
                  <c:v>9046</c:v>
                </c:pt>
                <c:pt idx="12">
                  <c:v>7417</c:v>
                </c:pt>
                <c:pt idx="13">
                  <c:v>23788</c:v>
                </c:pt>
                <c:pt idx="14">
                  <c:v>130019</c:v>
                </c:pt>
                <c:pt idx="15">
                  <c:v>4512</c:v>
                </c:pt>
              </c:numCache>
            </c:numRef>
          </c:val>
        </c:ser>
        <c:ser>
          <c:idx val="5"/>
          <c:order val="5"/>
          <c:tx>
            <c:strRef>
              <c:f>List5!$X$1:$X$2</c:f>
              <c:strCache>
                <c:ptCount val="1"/>
                <c:pt idx="0">
                  <c:v>Střední odb. bez mat. a vyuč.</c:v>
                </c:pt>
              </c:strCache>
            </c:strRef>
          </c:tx>
          <c:spPr>
            <a:solidFill>
              <a:schemeClr val="tx2">
                <a:lumMod val="60000"/>
                <a:lumOff val="40000"/>
              </a:schemeClr>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List5!$X$3:$X$18</c:f>
              <c:numCache>
                <c:formatCode>General</c:formatCode>
                <c:ptCount val="16"/>
                <c:pt idx="0" formatCode="#,##0">
                  <c:v>371</c:v>
                </c:pt>
                <c:pt idx="1">
                  <c:v>275</c:v>
                </c:pt>
                <c:pt idx="2">
                  <c:v>124</c:v>
                </c:pt>
                <c:pt idx="3">
                  <c:v>93</c:v>
                </c:pt>
                <c:pt idx="4">
                  <c:v>52</c:v>
                </c:pt>
                <c:pt idx="5">
                  <c:v>235</c:v>
                </c:pt>
                <c:pt idx="6">
                  <c:v>96</c:v>
                </c:pt>
                <c:pt idx="7">
                  <c:v>72</c:v>
                </c:pt>
                <c:pt idx="8">
                  <c:v>84</c:v>
                </c:pt>
                <c:pt idx="9">
                  <c:v>100</c:v>
                </c:pt>
                <c:pt idx="10">
                  <c:v>237</c:v>
                </c:pt>
                <c:pt idx="11">
                  <c:v>150</c:v>
                </c:pt>
                <c:pt idx="12">
                  <c:v>125</c:v>
                </c:pt>
                <c:pt idx="13">
                  <c:v>331</c:v>
                </c:pt>
                <c:pt idx="14">
                  <c:v>2345</c:v>
                </c:pt>
                <c:pt idx="15">
                  <c:v>11</c:v>
                </c:pt>
              </c:numCache>
            </c:numRef>
          </c:val>
        </c:ser>
        <c:ser>
          <c:idx val="6"/>
          <c:order val="6"/>
          <c:tx>
            <c:strRef>
              <c:f>List5!$Y$1:$Y$2</c:f>
              <c:strCache>
                <c:ptCount val="1"/>
                <c:pt idx="0">
                  <c:v> ÚSV</c:v>
                </c:pt>
              </c:strCache>
            </c:strRef>
          </c:tx>
          <c:spPr>
            <a:solidFill>
              <a:srgbClr val="CCECFF"/>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List5!$Y$3:$Y$18</c:f>
              <c:numCache>
                <c:formatCode>General</c:formatCode>
                <c:ptCount val="16"/>
                <c:pt idx="0" formatCode="#,##0">
                  <c:v>1268</c:v>
                </c:pt>
                <c:pt idx="1">
                  <c:v>1245</c:v>
                </c:pt>
                <c:pt idx="2">
                  <c:v>466</c:v>
                </c:pt>
                <c:pt idx="3">
                  <c:v>357</c:v>
                </c:pt>
                <c:pt idx="4">
                  <c:v>173</c:v>
                </c:pt>
                <c:pt idx="5">
                  <c:v>918</c:v>
                </c:pt>
                <c:pt idx="6">
                  <c:v>380</c:v>
                </c:pt>
                <c:pt idx="7">
                  <c:v>401</c:v>
                </c:pt>
                <c:pt idx="8">
                  <c:v>333</c:v>
                </c:pt>
                <c:pt idx="9">
                  <c:v>467</c:v>
                </c:pt>
                <c:pt idx="10">
                  <c:v>1594</c:v>
                </c:pt>
                <c:pt idx="11">
                  <c:v>746</c:v>
                </c:pt>
                <c:pt idx="12">
                  <c:v>627</c:v>
                </c:pt>
                <c:pt idx="13">
                  <c:v>1750</c:v>
                </c:pt>
                <c:pt idx="14">
                  <c:v>10725</c:v>
                </c:pt>
                <c:pt idx="15">
                  <c:v>586</c:v>
                </c:pt>
              </c:numCache>
            </c:numRef>
          </c:val>
        </c:ser>
        <c:ser>
          <c:idx val="7"/>
          <c:order val="7"/>
          <c:tx>
            <c:strRef>
              <c:f>List5!$Z$1:$Z$2</c:f>
              <c:strCache>
                <c:ptCount val="1"/>
                <c:pt idx="0">
                  <c:v>ÚSO (vyuč.+ mat.)</c:v>
                </c:pt>
              </c:strCache>
            </c:strRef>
          </c:tx>
          <c:spPr>
            <a:solidFill>
              <a:schemeClr val="accent1">
                <a:lumMod val="40000"/>
                <a:lumOff val="60000"/>
              </a:schemeClr>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List5!$Z$3:$Z$18</c:f>
              <c:numCache>
                <c:formatCode>General</c:formatCode>
                <c:ptCount val="16"/>
                <c:pt idx="0" formatCode="#,##0">
                  <c:v>1533</c:v>
                </c:pt>
                <c:pt idx="1">
                  <c:v>1766</c:v>
                </c:pt>
                <c:pt idx="2">
                  <c:v>818</c:v>
                </c:pt>
                <c:pt idx="3">
                  <c:v>587</c:v>
                </c:pt>
                <c:pt idx="4">
                  <c:v>269</c:v>
                </c:pt>
                <c:pt idx="5">
                  <c:v>1432</c:v>
                </c:pt>
                <c:pt idx="6">
                  <c:v>559</c:v>
                </c:pt>
                <c:pt idx="7">
                  <c:v>575</c:v>
                </c:pt>
                <c:pt idx="8">
                  <c:v>578</c:v>
                </c:pt>
                <c:pt idx="9">
                  <c:v>821</c:v>
                </c:pt>
                <c:pt idx="10">
                  <c:v>2255</c:v>
                </c:pt>
                <c:pt idx="11">
                  <c:v>1192</c:v>
                </c:pt>
                <c:pt idx="12">
                  <c:v>1174</c:v>
                </c:pt>
                <c:pt idx="13">
                  <c:v>2929</c:v>
                </c:pt>
                <c:pt idx="14">
                  <c:v>16488</c:v>
                </c:pt>
                <c:pt idx="15">
                  <c:v>1338</c:v>
                </c:pt>
              </c:numCache>
            </c:numRef>
          </c:val>
        </c:ser>
        <c:ser>
          <c:idx val="8"/>
          <c:order val="8"/>
          <c:tx>
            <c:strRef>
              <c:f>List5!$AA$1:$AA$2</c:f>
              <c:strCache>
                <c:ptCount val="1"/>
                <c:pt idx="0">
                  <c:v>ÚSO s maturitou (bez vyučení)</c:v>
                </c:pt>
              </c:strCache>
            </c:strRef>
          </c:tx>
          <c:spPr>
            <a:solidFill>
              <a:schemeClr val="accent5">
                <a:lumMod val="40000"/>
                <a:lumOff val="60000"/>
              </a:schemeClr>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List5!$AA$3:$AA$18</c:f>
              <c:numCache>
                <c:formatCode>General</c:formatCode>
                <c:ptCount val="16"/>
                <c:pt idx="0" formatCode="#,##0">
                  <c:v>7779</c:v>
                </c:pt>
                <c:pt idx="1">
                  <c:v>7309</c:v>
                </c:pt>
                <c:pt idx="2">
                  <c:v>2954</c:v>
                </c:pt>
                <c:pt idx="3">
                  <c:v>2483</c:v>
                </c:pt>
                <c:pt idx="4">
                  <c:v>1301</c:v>
                </c:pt>
                <c:pt idx="5">
                  <c:v>5120</c:v>
                </c:pt>
                <c:pt idx="6">
                  <c:v>2694</c:v>
                </c:pt>
                <c:pt idx="7">
                  <c:v>2398</c:v>
                </c:pt>
                <c:pt idx="8">
                  <c:v>2370</c:v>
                </c:pt>
                <c:pt idx="9">
                  <c:v>3091</c:v>
                </c:pt>
                <c:pt idx="10">
                  <c:v>8368</c:v>
                </c:pt>
                <c:pt idx="11">
                  <c:v>3881</c:v>
                </c:pt>
                <c:pt idx="12">
                  <c:v>3491</c:v>
                </c:pt>
                <c:pt idx="13">
                  <c:v>7909</c:v>
                </c:pt>
                <c:pt idx="14">
                  <c:v>61148</c:v>
                </c:pt>
                <c:pt idx="15">
                  <c:v>4773</c:v>
                </c:pt>
              </c:numCache>
            </c:numRef>
          </c:val>
        </c:ser>
        <c:ser>
          <c:idx val="9"/>
          <c:order val="9"/>
          <c:tx>
            <c:strRef>
              <c:f>List5!$AB$1:$AB$2</c:f>
              <c:strCache>
                <c:ptCount val="1"/>
                <c:pt idx="0">
                  <c:v>VOŠ</c:v>
                </c:pt>
              </c:strCache>
            </c:strRef>
          </c:tx>
          <c:spPr>
            <a:solidFill>
              <a:schemeClr val="accent3">
                <a:lumMod val="40000"/>
                <a:lumOff val="60000"/>
              </a:schemeClr>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List5!$AB$3:$AB$18</c:f>
              <c:numCache>
                <c:formatCode>General</c:formatCode>
                <c:ptCount val="16"/>
                <c:pt idx="0" formatCode="#,##0">
                  <c:v>588</c:v>
                </c:pt>
                <c:pt idx="1">
                  <c:v>473</c:v>
                </c:pt>
                <c:pt idx="2">
                  <c:v>216</c:v>
                </c:pt>
                <c:pt idx="3">
                  <c:v>118</c:v>
                </c:pt>
                <c:pt idx="4">
                  <c:v>46</c:v>
                </c:pt>
                <c:pt idx="5">
                  <c:v>196</c:v>
                </c:pt>
                <c:pt idx="6">
                  <c:v>147</c:v>
                </c:pt>
                <c:pt idx="7">
                  <c:v>156</c:v>
                </c:pt>
                <c:pt idx="8">
                  <c:v>163</c:v>
                </c:pt>
                <c:pt idx="9">
                  <c:v>235</c:v>
                </c:pt>
                <c:pt idx="10">
                  <c:v>511</c:v>
                </c:pt>
                <c:pt idx="11">
                  <c:v>232</c:v>
                </c:pt>
                <c:pt idx="12">
                  <c:v>211</c:v>
                </c:pt>
                <c:pt idx="13">
                  <c:v>356</c:v>
                </c:pt>
                <c:pt idx="14">
                  <c:v>3648</c:v>
                </c:pt>
                <c:pt idx="15">
                  <c:v>754</c:v>
                </c:pt>
              </c:numCache>
            </c:numRef>
          </c:val>
        </c:ser>
        <c:ser>
          <c:idx val="10"/>
          <c:order val="10"/>
          <c:tx>
            <c:strRef>
              <c:f>List5!$AC$1:$AC$2</c:f>
              <c:strCache>
                <c:ptCount val="1"/>
                <c:pt idx="0">
                  <c:v>bakalář.</c:v>
                </c:pt>
              </c:strCache>
            </c:strRef>
          </c:tx>
          <c:spPr>
            <a:solidFill>
              <a:schemeClr val="accent3">
                <a:lumMod val="60000"/>
                <a:lumOff val="40000"/>
              </a:schemeClr>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List5!$AC$3:$AC$18</c:f>
              <c:numCache>
                <c:formatCode>General</c:formatCode>
                <c:ptCount val="16"/>
                <c:pt idx="0" formatCode="#,##0">
                  <c:v>1043</c:v>
                </c:pt>
                <c:pt idx="1">
                  <c:v>678</c:v>
                </c:pt>
                <c:pt idx="2">
                  <c:v>410</c:v>
                </c:pt>
                <c:pt idx="3">
                  <c:v>266</c:v>
                </c:pt>
                <c:pt idx="4">
                  <c:v>107</c:v>
                </c:pt>
                <c:pt idx="5">
                  <c:v>430</c:v>
                </c:pt>
                <c:pt idx="6">
                  <c:v>270</c:v>
                </c:pt>
                <c:pt idx="7">
                  <c:v>302</c:v>
                </c:pt>
                <c:pt idx="8">
                  <c:v>305</c:v>
                </c:pt>
                <c:pt idx="9">
                  <c:v>408</c:v>
                </c:pt>
                <c:pt idx="10">
                  <c:v>1060</c:v>
                </c:pt>
                <c:pt idx="11">
                  <c:v>501</c:v>
                </c:pt>
                <c:pt idx="12">
                  <c:v>551</c:v>
                </c:pt>
                <c:pt idx="13">
                  <c:v>997</c:v>
                </c:pt>
                <c:pt idx="14">
                  <c:v>7328</c:v>
                </c:pt>
                <c:pt idx="15">
                  <c:v>1814</c:v>
                </c:pt>
              </c:numCache>
            </c:numRef>
          </c:val>
        </c:ser>
        <c:ser>
          <c:idx val="11"/>
          <c:order val="11"/>
          <c:tx>
            <c:strRef>
              <c:f>List5!$AD$1:$AD$2</c:f>
              <c:strCache>
                <c:ptCount val="1"/>
                <c:pt idx="0">
                  <c:v>VŠ (vč. doktor.)</c:v>
                </c:pt>
              </c:strCache>
            </c:strRef>
          </c:tx>
          <c:spPr>
            <a:solidFill>
              <a:srgbClr val="92D050"/>
            </a:solidFill>
          </c:spPr>
          <c:invertIfNegative val="0"/>
          <c:cat>
            <c:strRef>
              <c:f>List5!$R$3:$R$18</c:f>
              <c:strCache>
                <c:ptCount val="16"/>
                <c:pt idx="0">
                  <c:v>Praha</c:v>
                </c:pt>
                <c:pt idx="1">
                  <c:v>SČK</c:v>
                </c:pt>
                <c:pt idx="2">
                  <c:v>JČK</c:v>
                </c:pt>
                <c:pt idx="3">
                  <c:v>PLK</c:v>
                </c:pt>
                <c:pt idx="4">
                  <c:v>KVK</c:v>
                </c:pt>
                <c:pt idx="5">
                  <c:v>ULK</c:v>
                </c:pt>
                <c:pt idx="6">
                  <c:v>LBK</c:v>
                </c:pt>
                <c:pt idx="7">
                  <c:v>KHK</c:v>
                </c:pt>
                <c:pt idx="8">
                  <c:v>PBK</c:v>
                </c:pt>
                <c:pt idx="9">
                  <c:v>VYS</c:v>
                </c:pt>
                <c:pt idx="10">
                  <c:v>JMK</c:v>
                </c:pt>
                <c:pt idx="11">
                  <c:v>OLK</c:v>
                </c:pt>
                <c:pt idx="12">
                  <c:v>ZLK</c:v>
                </c:pt>
                <c:pt idx="13">
                  <c:v>MSK</c:v>
                </c:pt>
                <c:pt idx="14">
                  <c:v>Celkem ČR</c:v>
                </c:pt>
                <c:pt idx="15">
                  <c:v>Absolventi</c:v>
                </c:pt>
              </c:strCache>
            </c:strRef>
          </c:cat>
          <c:val>
            <c:numRef>
              <c:f>List5!$AD$3:$AD$18</c:f>
              <c:numCache>
                <c:formatCode>#,##0</c:formatCode>
                <c:ptCount val="16"/>
                <c:pt idx="0">
                  <c:v>4788</c:v>
                </c:pt>
                <c:pt idx="1">
                  <c:v>2284</c:v>
                </c:pt>
                <c:pt idx="2">
                  <c:v>1015</c:v>
                </c:pt>
                <c:pt idx="3">
                  <c:v>755</c:v>
                </c:pt>
                <c:pt idx="4">
                  <c:v>237</c:v>
                </c:pt>
                <c:pt idx="5">
                  <c:v>960</c:v>
                </c:pt>
                <c:pt idx="6">
                  <c:v>659</c:v>
                </c:pt>
                <c:pt idx="7">
                  <c:v>771</c:v>
                </c:pt>
                <c:pt idx="8">
                  <c:v>665</c:v>
                </c:pt>
                <c:pt idx="9">
                  <c:v>898</c:v>
                </c:pt>
                <c:pt idx="10">
                  <c:v>3439</c:v>
                </c:pt>
                <c:pt idx="11">
                  <c:v>1413</c:v>
                </c:pt>
                <c:pt idx="12">
                  <c:v>1273</c:v>
                </c:pt>
                <c:pt idx="13">
                  <c:v>2710</c:v>
                </c:pt>
                <c:pt idx="14">
                  <c:v>21867</c:v>
                </c:pt>
                <c:pt idx="15" formatCode="General">
                  <c:v>2845</c:v>
                </c:pt>
              </c:numCache>
            </c:numRef>
          </c:val>
        </c:ser>
        <c:dLbls>
          <c:showLegendKey val="0"/>
          <c:showVal val="0"/>
          <c:showCatName val="0"/>
          <c:showSerName val="0"/>
          <c:showPercent val="0"/>
          <c:showBubbleSize val="0"/>
        </c:dLbls>
        <c:gapWidth val="150"/>
        <c:overlap val="100"/>
        <c:axId val="172374272"/>
        <c:axId val="172388352"/>
      </c:barChart>
      <c:catAx>
        <c:axId val="172374272"/>
        <c:scaling>
          <c:orientation val="maxMin"/>
        </c:scaling>
        <c:delete val="0"/>
        <c:axPos val="l"/>
        <c:majorTickMark val="out"/>
        <c:minorTickMark val="none"/>
        <c:tickLblPos val="nextTo"/>
        <c:txPr>
          <a:bodyPr/>
          <a:lstStyle/>
          <a:p>
            <a:pPr>
              <a:defRPr sz="800"/>
            </a:pPr>
            <a:endParaRPr lang="cs-CZ"/>
          </a:p>
        </c:txPr>
        <c:crossAx val="172388352"/>
        <c:crosses val="autoZero"/>
        <c:auto val="1"/>
        <c:lblAlgn val="ctr"/>
        <c:lblOffset val="100"/>
        <c:noMultiLvlLbl val="0"/>
      </c:catAx>
      <c:valAx>
        <c:axId val="172388352"/>
        <c:scaling>
          <c:orientation val="minMax"/>
        </c:scaling>
        <c:delete val="0"/>
        <c:axPos val="t"/>
        <c:majorGridlines/>
        <c:numFmt formatCode="0%" sourceLinked="1"/>
        <c:majorTickMark val="out"/>
        <c:minorTickMark val="none"/>
        <c:tickLblPos val="nextTo"/>
        <c:txPr>
          <a:bodyPr/>
          <a:lstStyle/>
          <a:p>
            <a:pPr>
              <a:defRPr sz="800"/>
            </a:pPr>
            <a:endParaRPr lang="cs-CZ"/>
          </a:p>
        </c:txPr>
        <c:crossAx val="172374272"/>
        <c:crosses val="autoZero"/>
        <c:crossBetween val="between"/>
      </c:valAx>
    </c:plotArea>
    <c:legend>
      <c:legendPos val="b"/>
      <c:layout>
        <c:manualLayout>
          <c:xMode val="edge"/>
          <c:yMode val="edge"/>
          <c:x val="0.1235781298088727"/>
          <c:y val="0.83697385035229388"/>
          <c:w val="0.75284360205962397"/>
          <c:h val="0.14952412354325534"/>
        </c:manualLayout>
      </c:layout>
      <c:overlay val="0"/>
      <c:txPr>
        <a:bodyPr/>
        <a:lstStyle/>
        <a:p>
          <a:pPr>
            <a:defRPr sz="800"/>
          </a:pPr>
          <a:endParaRPr lang="cs-CZ"/>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5612463770077538E-2"/>
          <c:y val="9.9850978943797172E-2"/>
          <c:w val="0.65427092687794197"/>
          <c:h val="0.76371852863727552"/>
        </c:manualLayout>
      </c:layout>
      <c:barChart>
        <c:barDir val="col"/>
        <c:grouping val="clustered"/>
        <c:varyColors val="0"/>
        <c:ser>
          <c:idx val="1"/>
          <c:order val="0"/>
          <c:tx>
            <c:strRef>
              <c:f>List1!$B$25</c:f>
              <c:strCache>
                <c:ptCount val="1"/>
                <c:pt idx="0">
                  <c:v>absolutní počet</c:v>
                </c:pt>
              </c:strCache>
            </c:strRef>
          </c:tx>
          <c:invertIfNegative val="0"/>
          <c:cat>
            <c:numRef>
              <c:f>List1!$A$26:$A$34</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List1!$B$26:$B$34</c:f>
              <c:numCache>
                <c:formatCode>#,##0</c:formatCode>
                <c:ptCount val="9"/>
                <c:pt idx="0">
                  <c:v>24583</c:v>
                </c:pt>
                <c:pt idx="1">
                  <c:v>27435</c:v>
                </c:pt>
                <c:pt idx="2">
                  <c:v>26593</c:v>
                </c:pt>
                <c:pt idx="3">
                  <c:v>43987</c:v>
                </c:pt>
                <c:pt idx="4">
                  <c:v>59610</c:v>
                </c:pt>
                <c:pt idx="5">
                  <c:v>48469</c:v>
                </c:pt>
                <c:pt idx="6">
                  <c:v>42055</c:v>
                </c:pt>
                <c:pt idx="7">
                  <c:v>47171</c:v>
                </c:pt>
                <c:pt idx="8">
                  <c:v>70729</c:v>
                </c:pt>
              </c:numCache>
            </c:numRef>
          </c:val>
        </c:ser>
        <c:dLbls>
          <c:showLegendKey val="0"/>
          <c:showVal val="0"/>
          <c:showCatName val="0"/>
          <c:showSerName val="0"/>
          <c:showPercent val="0"/>
          <c:showBubbleSize val="0"/>
        </c:dLbls>
        <c:gapWidth val="150"/>
        <c:axId val="172401408"/>
        <c:axId val="172402944"/>
      </c:barChart>
      <c:lineChart>
        <c:grouping val="standard"/>
        <c:varyColors val="0"/>
        <c:ser>
          <c:idx val="2"/>
          <c:order val="1"/>
          <c:tx>
            <c:strRef>
              <c:f>List1!$C$25</c:f>
              <c:strCache>
                <c:ptCount val="1"/>
                <c:pt idx="0">
                  <c:v>podíl</c:v>
                </c:pt>
              </c:strCache>
            </c:strRef>
          </c:tx>
          <c:marker>
            <c:symbol val="none"/>
          </c:marker>
          <c:cat>
            <c:numRef>
              <c:f>List1!$A$26:$A$34</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List1!$C$26:$C$34</c:f>
              <c:numCache>
                <c:formatCode>0.0</c:formatCode>
                <c:ptCount val="9"/>
                <c:pt idx="0">
                  <c:v>5.1775484414490309</c:v>
                </c:pt>
                <c:pt idx="1">
                  <c:v>6.9844704684317716</c:v>
                </c:pt>
                <c:pt idx="2">
                  <c:v>8.1925446703635245</c:v>
                </c:pt>
                <c:pt idx="3">
                  <c:v>9.4473797250859111</c:v>
                </c:pt>
                <c:pt idx="4">
                  <c:v>11.27269288956127</c:v>
                </c:pt>
                <c:pt idx="5">
                  <c:v>9.5448995667585663</c:v>
                </c:pt>
                <c:pt idx="6">
                  <c:v>8.3376288659793811</c:v>
                </c:pt>
                <c:pt idx="7">
                  <c:v>8.3577250177179305</c:v>
                </c:pt>
                <c:pt idx="8">
                  <c:v>12.598681866761668</c:v>
                </c:pt>
              </c:numCache>
            </c:numRef>
          </c:val>
          <c:smooth val="0"/>
        </c:ser>
        <c:dLbls>
          <c:showLegendKey val="0"/>
          <c:showVal val="0"/>
          <c:showCatName val="0"/>
          <c:showSerName val="0"/>
          <c:showPercent val="0"/>
          <c:showBubbleSize val="0"/>
        </c:dLbls>
        <c:marker val="1"/>
        <c:smooth val="0"/>
        <c:axId val="172406272"/>
        <c:axId val="172404736"/>
      </c:lineChart>
      <c:catAx>
        <c:axId val="172401408"/>
        <c:scaling>
          <c:orientation val="minMax"/>
        </c:scaling>
        <c:delete val="0"/>
        <c:axPos val="b"/>
        <c:numFmt formatCode="General" sourceLinked="1"/>
        <c:majorTickMark val="out"/>
        <c:minorTickMark val="none"/>
        <c:tickLblPos val="nextTo"/>
        <c:crossAx val="172402944"/>
        <c:crosses val="autoZero"/>
        <c:auto val="1"/>
        <c:lblAlgn val="ctr"/>
        <c:lblOffset val="100"/>
        <c:noMultiLvlLbl val="0"/>
      </c:catAx>
      <c:valAx>
        <c:axId val="172402944"/>
        <c:scaling>
          <c:orientation val="minMax"/>
        </c:scaling>
        <c:delete val="0"/>
        <c:axPos val="l"/>
        <c:majorGridlines/>
        <c:numFmt formatCode="#,##0" sourceLinked="1"/>
        <c:majorTickMark val="out"/>
        <c:minorTickMark val="none"/>
        <c:tickLblPos val="nextTo"/>
        <c:crossAx val="172401408"/>
        <c:crosses val="autoZero"/>
        <c:crossBetween val="between"/>
      </c:valAx>
      <c:valAx>
        <c:axId val="172404736"/>
        <c:scaling>
          <c:orientation val="minMax"/>
          <c:max val="16"/>
        </c:scaling>
        <c:delete val="0"/>
        <c:axPos val="r"/>
        <c:numFmt formatCode="0.0" sourceLinked="1"/>
        <c:majorTickMark val="out"/>
        <c:minorTickMark val="none"/>
        <c:tickLblPos val="nextTo"/>
        <c:crossAx val="172406272"/>
        <c:crosses val="max"/>
        <c:crossBetween val="between"/>
      </c:valAx>
      <c:catAx>
        <c:axId val="172406272"/>
        <c:scaling>
          <c:orientation val="minMax"/>
        </c:scaling>
        <c:delete val="1"/>
        <c:axPos val="b"/>
        <c:numFmt formatCode="General" sourceLinked="1"/>
        <c:majorTickMark val="out"/>
        <c:minorTickMark val="none"/>
        <c:tickLblPos val="nextTo"/>
        <c:crossAx val="172404736"/>
        <c:crosses val="autoZero"/>
        <c:auto val="1"/>
        <c:lblAlgn val="ctr"/>
        <c:lblOffset val="100"/>
        <c:noMultiLvlLbl val="0"/>
      </c:catAx>
    </c:plotArea>
    <c:legend>
      <c:legendPos val="r"/>
      <c:layout>
        <c:manualLayout>
          <c:xMode val="edge"/>
          <c:yMode val="edge"/>
          <c:x val="0.80947328691351594"/>
          <c:y val="0.1762967640501566"/>
          <c:w val="0.1711052559435873"/>
          <c:h val="0.4798140232470941"/>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D91C1-C9CF-48D0-94E9-A0ECB6832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65</Pages>
  <Words>17725</Words>
  <Characters>104583</Characters>
  <Application>Microsoft Office Word</Application>
  <DocSecurity>0</DocSecurity>
  <Lines>871</Lines>
  <Paragraphs>244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Dudek Pavel Mgr. (MPSV)</dc:creator>
  <cp:lastModifiedBy>Dudek Pavel Mgr. (MPSV)</cp:lastModifiedBy>
  <cp:revision>9</cp:revision>
  <cp:lastPrinted>2016-11-23T13:03:00Z</cp:lastPrinted>
  <dcterms:created xsi:type="dcterms:W3CDTF">2016-11-22T12:38:00Z</dcterms:created>
  <dcterms:modified xsi:type="dcterms:W3CDTF">2016-11-23T13:22:00Z</dcterms:modified>
</cp:coreProperties>
</file>