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rPr>
        <w:drawing>
          <wp:anchor distT="0" distB="0" distL="114300" distR="114300" simplePos="0" relativeHeight="251658240" behindDoc="0" locked="0" layoutInCell="1" allowOverlap="1">
            <wp:simplePos x="0" y="0"/>
            <wp:positionH relativeFrom="page">
              <wp:posOffset>270510</wp:posOffset>
            </wp:positionH>
            <wp:positionV relativeFrom="page">
              <wp:posOffset>227330</wp:posOffset>
            </wp:positionV>
            <wp:extent cx="1550670" cy="1101725"/>
            <wp:effectExtent l="0" t="0" r="0" b="3175"/>
            <wp:wrapNone/>
            <wp:docPr id="14"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_logo_RGB_hlpap-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67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9" w:type="dxa"/>
        <w:tblInd w:w="-356" w:type="dxa"/>
        <w:tblLayout w:type="fixed"/>
        <w:tblCellMar>
          <w:left w:w="70" w:type="dxa"/>
          <w:right w:w="70" w:type="dxa"/>
        </w:tblCellMar>
        <w:tblLook w:val="0000" w:firstRow="0" w:lastRow="0" w:firstColumn="0" w:lastColumn="0" w:noHBand="0" w:noVBand="0"/>
      </w:tblPr>
      <w:tblGrid>
        <w:gridCol w:w="372"/>
        <w:gridCol w:w="4602"/>
        <w:gridCol w:w="4665"/>
      </w:tblGrid>
      <w:tr>
        <w:trPr>
          <w:trHeight w:val="433"/>
        </w:trPr>
        <w:tc>
          <w:tcPr>
            <w:tcW w:w="4974" w:type="dxa"/>
            <w:gridSpan w:val="2"/>
            <w:tcBorders>
              <w:top w:val="nil"/>
              <w:left w:val="nil"/>
              <w:bottom w:val="nil"/>
              <w:right w:val="nil"/>
            </w:tcBorders>
            <w:noWrap/>
            <w:vAlign w:val="bottom"/>
          </w:tcPr>
          <w:p>
            <w:pPr>
              <w:pStyle w:val="Textvysvtlivek"/>
              <w:ind w:right="-71"/>
              <w:rPr>
                <w:noProof/>
                <w:szCs w:val="24"/>
              </w:rPr>
            </w:pPr>
          </w:p>
        </w:tc>
        <w:tc>
          <w:tcPr>
            <w:tcW w:w="4665" w:type="dxa"/>
            <w:tcBorders>
              <w:top w:val="single" w:sz="8" w:space="0" w:color="auto"/>
              <w:left w:val="single" w:sz="8" w:space="0" w:color="auto"/>
              <w:right w:val="single" w:sz="8" w:space="0" w:color="auto"/>
            </w:tcBorders>
            <w:shd w:val="clear" w:color="auto" w:fill="FFFFFF"/>
            <w:noWrap/>
            <w:tcMar>
              <w:top w:w="85" w:type="dxa"/>
            </w:tcMar>
          </w:tcPr>
          <w:p>
            <w:pPr>
              <w:rPr>
                <w:bCs/>
              </w:rPr>
            </w:pPr>
            <w:r>
              <w:rPr>
                <w:bCs/>
              </w:rPr>
              <w:t>Registrační číslo Úřadu práce ČR:</w:t>
            </w:r>
          </w:p>
          <w:p/>
          <w:p>
            <w:pPr>
              <w:pStyle w:val="Textvysvtlivek"/>
              <w:rPr>
                <w:szCs w:val="24"/>
              </w:rPr>
            </w:pPr>
          </w:p>
        </w:tc>
      </w:tr>
      <w:tr>
        <w:trPr>
          <w:cantSplit/>
          <w:trHeight w:val="230"/>
        </w:trPr>
        <w:tc>
          <w:tcPr>
            <w:tcW w:w="372" w:type="dxa"/>
            <w:vMerge w:val="restart"/>
            <w:tcBorders>
              <w:top w:val="nil"/>
              <w:left w:val="nil"/>
              <w:right w:val="nil"/>
            </w:tcBorders>
            <w:noWrap/>
          </w:tcPr>
          <w:p/>
        </w:tc>
        <w:tc>
          <w:tcPr>
            <w:tcW w:w="4602" w:type="dxa"/>
            <w:tcBorders>
              <w:top w:val="nil"/>
              <w:left w:val="nil"/>
              <w:bottom w:val="nil"/>
              <w:right w:val="nil"/>
            </w:tcBorders>
            <w:tcMar>
              <w:top w:w="28" w:type="dxa"/>
            </w:tcMar>
          </w:tcPr>
          <w:p>
            <w:pPr>
              <w:pStyle w:val="Zkratkavhlavice"/>
              <w:tabs>
                <w:tab w:val="clear" w:pos="2880"/>
                <w:tab w:val="center" w:pos="2539"/>
              </w:tabs>
              <w:jc w:val="left"/>
            </w:pPr>
          </w:p>
          <w:p>
            <w:pPr>
              <w:pStyle w:val="Zkratkavhlavice"/>
              <w:tabs>
                <w:tab w:val="clear" w:pos="2880"/>
                <w:tab w:val="center" w:pos="2539"/>
              </w:tabs>
              <w:jc w:val="left"/>
            </w:pPr>
            <w:r>
              <w:t>Příspěvek na zaměstnávání</w:t>
            </w:r>
            <w:r>
              <w:br/>
              <w:t>OZP na CHTP</w:t>
            </w:r>
          </w:p>
        </w:tc>
        <w:tc>
          <w:tcPr>
            <w:tcW w:w="4665" w:type="dxa"/>
            <w:vMerge w:val="restart"/>
            <w:tcBorders>
              <w:top w:val="nil"/>
              <w:left w:val="single" w:sz="8" w:space="0" w:color="auto"/>
              <w:right w:val="single" w:sz="8" w:space="0" w:color="auto"/>
            </w:tcBorders>
            <w:shd w:val="clear" w:color="auto" w:fill="FFFFFF"/>
            <w:noWrap/>
            <w:vAlign w:val="bottom"/>
          </w:tcPr>
          <w:p>
            <w:pPr>
              <w:pStyle w:val="Nadpis7"/>
              <w:rPr>
                <w:sz w:val="16"/>
                <w:szCs w:val="16"/>
              </w:rPr>
            </w:pPr>
          </w:p>
          <w:p>
            <w:pPr>
              <w:tabs>
                <w:tab w:val="left" w:pos="4041"/>
              </w:tabs>
              <w:jc w:val="right"/>
              <w:rPr>
                <w:b/>
                <w:bCs/>
                <w:color w:val="FF0000"/>
              </w:rPr>
            </w:pPr>
            <w:r>
              <w:rPr>
                <w:b/>
                <w:bCs/>
                <w:sz w:val="16"/>
                <w:szCs w:val="16"/>
              </w:rPr>
              <w:tab/>
            </w:r>
            <w:r>
              <w:rPr>
                <w:b/>
                <w:bCs/>
              </w:rPr>
              <w:t>S 15</w:t>
            </w:r>
          </w:p>
        </w:tc>
      </w:tr>
      <w:tr>
        <w:trPr>
          <w:cantSplit/>
          <w:trHeight w:val="230"/>
        </w:trPr>
        <w:tc>
          <w:tcPr>
            <w:tcW w:w="372" w:type="dxa"/>
            <w:vMerge/>
            <w:tcBorders>
              <w:left w:val="nil"/>
              <w:right w:val="nil"/>
            </w:tcBorders>
            <w:noWrap/>
          </w:tcPr>
          <w:p/>
        </w:tc>
        <w:tc>
          <w:tcPr>
            <w:tcW w:w="4602" w:type="dxa"/>
            <w:tcBorders>
              <w:top w:val="nil"/>
              <w:left w:val="nil"/>
              <w:bottom w:val="nil"/>
              <w:right w:val="nil"/>
            </w:tcBorders>
            <w:tcMar>
              <w:top w:w="28" w:type="dxa"/>
            </w:tcMar>
          </w:tcPr>
          <w:p>
            <w:pPr>
              <w:rPr>
                <w:sz w:val="16"/>
              </w:rPr>
            </w:pPr>
          </w:p>
        </w:tc>
        <w:tc>
          <w:tcPr>
            <w:tcW w:w="4665" w:type="dxa"/>
            <w:vMerge/>
            <w:tcBorders>
              <w:left w:val="single" w:sz="8" w:space="0" w:color="auto"/>
              <w:right w:val="single" w:sz="8" w:space="0" w:color="auto"/>
            </w:tcBorders>
            <w:shd w:val="clear" w:color="auto" w:fill="FFFFFF"/>
            <w:noWrap/>
            <w:vAlign w:val="bottom"/>
          </w:tcPr>
          <w:p>
            <w:pPr>
              <w:tabs>
                <w:tab w:val="left" w:pos="4041"/>
              </w:tabs>
              <w:rPr>
                <w:b/>
                <w:bCs/>
              </w:rPr>
            </w:pPr>
          </w:p>
        </w:tc>
      </w:tr>
      <w:tr>
        <w:trPr>
          <w:cantSplit/>
          <w:trHeight w:val="1084"/>
        </w:trPr>
        <w:tc>
          <w:tcPr>
            <w:tcW w:w="372" w:type="dxa"/>
            <w:vMerge/>
            <w:tcBorders>
              <w:left w:val="nil"/>
              <w:right w:val="nil"/>
            </w:tcBorders>
            <w:noWrap/>
          </w:tcPr>
          <w:p/>
        </w:tc>
        <w:tc>
          <w:tcPr>
            <w:tcW w:w="4602" w:type="dxa"/>
            <w:tcBorders>
              <w:top w:val="nil"/>
              <w:left w:val="nil"/>
              <w:bottom w:val="nil"/>
              <w:right w:val="nil"/>
            </w:tcBorders>
            <w:tcMar>
              <w:top w:w="28" w:type="dxa"/>
              <w:left w:w="0" w:type="dxa"/>
              <w:right w:w="0" w:type="dxa"/>
            </w:tcMar>
          </w:tcPr>
          <w:p>
            <w:pPr>
              <w:pStyle w:val="Malvhlavice"/>
              <w:jc w:val="left"/>
              <w:rPr>
                <w:color w:val="000000"/>
              </w:rPr>
            </w:pPr>
            <w:r>
              <w:rPr>
                <w:noProof/>
                <w:color w:val="FF0000"/>
                <w:sz w:val="20"/>
              </w:rPr>
              <mc:AlternateContent>
                <mc:Choice Requires="wps">
                  <w:drawing>
                    <wp:anchor distT="0" distB="0" distL="114300" distR="114300" simplePos="0" relativeHeight="251657216" behindDoc="1" locked="0" layoutInCell="1" allowOverlap="1">
                      <wp:simplePos x="0" y="0"/>
                      <wp:positionH relativeFrom="column">
                        <wp:posOffset>34290</wp:posOffset>
                      </wp:positionH>
                      <wp:positionV relativeFrom="paragraph">
                        <wp:posOffset>275590</wp:posOffset>
                      </wp:positionV>
                      <wp:extent cx="2171700" cy="229870"/>
                      <wp:effectExtent l="5715" t="5080" r="13335" b="1270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7pt;margin-top:21.7pt;width:171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A9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"/>
                  </w:pict>
                </mc:Fallback>
              </mc:AlternateContent>
            </w:r>
            <w:r>
              <w:rPr>
                <w:bCs/>
                <w:color w:val="FF0000"/>
                <w:szCs w:val="20"/>
              </w:rPr>
              <w:t xml:space="preserve">  </w:t>
            </w:r>
            <w:r>
              <w:rPr>
                <w:bCs/>
                <w:szCs w:val="20"/>
              </w:rPr>
              <w:t>Pracoviště Úřadu práce ČR</w:t>
            </w:r>
            <w:r>
              <w:rPr>
                <w:bCs/>
                <w:sz w:val="18"/>
                <w:szCs w:val="18"/>
                <w:vertAlign w:val="superscript"/>
              </w:rPr>
              <w:t>1</w:t>
            </w:r>
            <w:r>
              <w:rPr>
                <w:bCs/>
                <w:szCs w:val="20"/>
                <w:vertAlign w:val="superscript"/>
              </w:rPr>
              <w:t>)</w:t>
            </w:r>
            <w:r>
              <w:rPr>
                <w:bCs/>
                <w:szCs w:val="20"/>
              </w:rPr>
              <w:t>:</w:t>
            </w:r>
            <w:r>
              <w:rPr>
                <w:bCs/>
                <w:color w:val="000000"/>
                <w:szCs w:val="20"/>
              </w:rPr>
              <w:br/>
            </w:r>
            <w:r>
              <w:rPr>
                <w:bCs/>
                <w:color w:val="000000"/>
                <w:sz w:val="12"/>
                <w:szCs w:val="12"/>
              </w:rPr>
              <w:br/>
            </w:r>
            <w:r>
              <w:rPr>
                <w:bCs/>
                <w:color w:val="000000"/>
                <w:szCs w:val="20"/>
              </w:rPr>
              <w:b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bookmarkStart w:id="0" w:name="_GoBack"/>
            <w:r>
              <w:rPr>
                <w:b/>
                <w:sz w:val="20"/>
                <w:szCs w:val="20"/>
              </w:rPr>
              <w:t> </w:t>
            </w:r>
            <w:r>
              <w:rPr>
                <w:b/>
                <w:sz w:val="20"/>
                <w:szCs w:val="20"/>
              </w:rPr>
              <w:t> </w:t>
            </w:r>
            <w:r>
              <w:rPr>
                <w:b/>
                <w:sz w:val="20"/>
                <w:szCs w:val="20"/>
              </w:rPr>
              <w:t> </w:t>
            </w:r>
            <w:r>
              <w:rPr>
                <w:b/>
                <w:sz w:val="20"/>
                <w:szCs w:val="20"/>
              </w:rPr>
              <w:t> </w:t>
            </w:r>
            <w:r>
              <w:rPr>
                <w:b/>
                <w:sz w:val="20"/>
                <w:szCs w:val="20"/>
              </w:rPr>
              <w:t> </w:t>
            </w:r>
            <w:bookmarkEnd w:id="0"/>
            <w:r>
              <w:rPr>
                <w:b/>
                <w:sz w:val="20"/>
                <w:szCs w:val="20"/>
              </w:rPr>
              <w:fldChar w:fldCharType="end"/>
            </w:r>
          </w:p>
        </w:tc>
        <w:tc>
          <w:tcPr>
            <w:tcW w:w="4665" w:type="dxa"/>
            <w:vMerge/>
            <w:tcBorders>
              <w:left w:val="single" w:sz="8" w:space="0" w:color="auto"/>
              <w:bottom w:val="single" w:sz="4" w:space="0" w:color="auto"/>
              <w:right w:val="single" w:sz="8" w:space="0" w:color="auto"/>
            </w:tcBorders>
            <w:shd w:val="clear" w:color="auto" w:fill="FFFFFF"/>
            <w:noWrap/>
            <w:vAlign w:val="bottom"/>
          </w:tcPr>
          <w:p>
            <w:pPr>
              <w:tabs>
                <w:tab w:val="left" w:pos="4041"/>
              </w:tabs>
            </w:pPr>
          </w:p>
        </w:tc>
      </w:tr>
    </w:tbl>
    <w:p>
      <w:pPr>
        <w:pStyle w:val="Zkladntext"/>
      </w:pPr>
    </w:p>
    <w:p>
      <w:pPr>
        <w:pStyle w:val="Zkladntext"/>
      </w:pPr>
      <w:r>
        <w:t xml:space="preserve">Žádost o příspěvek na podporu zaměstnávání </w:t>
      </w:r>
      <w:r>
        <w:br/>
        <w:t>osob se zdravotním postižením (OZP)</w:t>
      </w:r>
      <w:r>
        <w:br/>
        <w:t>na chráněném trhu práce</w:t>
      </w:r>
    </w:p>
    <w:p>
      <w:pPr>
        <w:jc w:val="center"/>
        <w:rPr>
          <w:b/>
          <w:bCs/>
          <w:color w:val="000080"/>
          <w:sz w:val="22"/>
          <w:szCs w:val="22"/>
        </w:rPr>
      </w:pPr>
    </w:p>
    <w:p>
      <w:pPr>
        <w:pStyle w:val="Podnadpis"/>
        <w:tabs>
          <w:tab w:val="clear" w:pos="2880"/>
          <w:tab w:val="clear" w:pos="4140"/>
          <w:tab w:val="left" w:pos="-360"/>
        </w:tabs>
        <w:spacing w:before="0"/>
      </w:pPr>
      <w:r>
        <w:rPr>
          <w:b w:val="0"/>
          <w:bCs/>
          <w:color w:val="000080"/>
        </w:rPr>
        <w:t xml:space="preserve">  </w:t>
      </w:r>
      <w:r>
        <w:rPr>
          <w:bCs/>
        </w:rPr>
        <w:t>§ 78a zákona č. 435/2004 Sb., o zaměstnanosti,</w:t>
      </w:r>
      <w:r>
        <w:t xml:space="preserve"> ve znění pozdějších předpisů</w:t>
      </w:r>
    </w:p>
    <w:p>
      <w:pPr>
        <w:pStyle w:val="Sekce"/>
        <w:rPr>
          <w:b/>
        </w:rPr>
      </w:pPr>
      <w:r>
        <w:rPr>
          <w:b/>
        </w:rPr>
        <w:t>Rozhodné období:</w:t>
      </w:r>
    </w:p>
    <w:tbl>
      <w:tblPr>
        <w:tblW w:w="2860" w:type="pct"/>
        <w:tblLayout w:type="fixed"/>
        <w:tblCellMar>
          <w:left w:w="70" w:type="dxa"/>
          <w:right w:w="70" w:type="dxa"/>
        </w:tblCellMar>
        <w:tblLook w:val="0000" w:firstRow="0" w:lastRow="0" w:firstColumn="0" w:lastColumn="0" w:noHBand="0" w:noVBand="0"/>
      </w:tblPr>
      <w:tblGrid>
        <w:gridCol w:w="2480"/>
        <w:gridCol w:w="709"/>
        <w:gridCol w:w="1425"/>
        <w:gridCol w:w="979"/>
      </w:tblGrid>
      <w:tr>
        <w:trPr>
          <w:trHeight w:val="374"/>
        </w:trPr>
        <w:tc>
          <w:tcPr>
            <w:tcW w:w="2217" w:type="pct"/>
            <w:tcBorders>
              <w:top w:val="nil"/>
              <w:right w:val="single" w:sz="12" w:space="0" w:color="auto"/>
            </w:tcBorders>
            <w:noWrap/>
            <w:vAlign w:val="center"/>
          </w:tcPr>
          <w:p>
            <w:pPr>
              <w:rPr>
                <w:bCs/>
              </w:rPr>
            </w:pPr>
            <w:r>
              <w:t>Žádost je uplatňována za</w:t>
            </w:r>
          </w:p>
        </w:tc>
        <w:tc>
          <w:tcPr>
            <w:tcW w:w="634" w:type="pct"/>
            <w:tcBorders>
              <w:top w:val="single" w:sz="12" w:space="0" w:color="auto"/>
              <w:left w:val="single" w:sz="12" w:space="0" w:color="auto"/>
              <w:bottom w:val="single" w:sz="12" w:space="0" w:color="auto"/>
              <w:right w:val="single" w:sz="12" w:space="0" w:color="auto"/>
            </w:tcBorders>
            <w:vAlign w:val="center"/>
          </w:tcPr>
          <w:p>
            <w:pPr>
              <w:jc w:val="right"/>
              <w:rPr>
                <w:b/>
                <w:bCs/>
              </w:rPr>
            </w:pPr>
            <w:r>
              <w:rPr>
                <w:b/>
                <w:bCs/>
              </w:rPr>
              <w:fldChar w:fldCharType="begin">
                <w:ffData>
                  <w:name w:val="Text4"/>
                  <w:enabled/>
                  <w:calcOnExit w:val="0"/>
                  <w:textInput/>
                </w:ffData>
              </w:fldChar>
            </w:r>
            <w:bookmarkStart w:id="1" w:name="Text4"/>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1"/>
          </w:p>
        </w:tc>
        <w:tc>
          <w:tcPr>
            <w:tcW w:w="1274" w:type="pct"/>
            <w:tcBorders>
              <w:top w:val="nil"/>
              <w:left w:val="single" w:sz="12" w:space="0" w:color="auto"/>
              <w:right w:val="single" w:sz="12" w:space="0" w:color="000000"/>
            </w:tcBorders>
            <w:vAlign w:val="center"/>
          </w:tcPr>
          <w:p>
            <w:pPr>
              <w:rPr>
                <w:bCs/>
              </w:rPr>
            </w:pPr>
            <w:r>
              <w:t>. čtvrtletí roku</w:t>
            </w:r>
          </w:p>
        </w:tc>
        <w:tc>
          <w:tcPr>
            <w:tcW w:w="875" w:type="pct"/>
            <w:tcBorders>
              <w:top w:val="single" w:sz="12" w:space="0" w:color="000000"/>
              <w:left w:val="single" w:sz="12" w:space="0" w:color="000000"/>
              <w:bottom w:val="single" w:sz="12" w:space="0" w:color="000000"/>
              <w:right w:val="single" w:sz="12" w:space="0" w:color="000000"/>
            </w:tcBorders>
            <w:vAlign w:val="center"/>
          </w:tcPr>
          <w:p>
            <w:pPr>
              <w:jc w:val="right"/>
              <w:rPr>
                <w:b/>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bCs w:val="0"/>
        </w:rPr>
      </w:pPr>
      <w:r>
        <w:rPr>
          <w:b/>
          <w:bCs w:val="0"/>
        </w:rPr>
        <w:t>Identifikační údaje žadatele:</w:t>
      </w:r>
    </w:p>
    <w:tbl>
      <w:tblPr>
        <w:tblW w:w="5000" w:type="pct"/>
        <w:tblBorders>
          <w:top w:val="single" w:sz="18" w:space="0" w:color="000000"/>
          <w:left w:val="single" w:sz="18" w:space="0" w:color="000000"/>
          <w:bottom w:val="single" w:sz="18" w:space="0" w:color="000000"/>
          <w:right w:val="single" w:sz="18" w:space="0" w:color="000000"/>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864"/>
        <w:gridCol w:w="4914"/>
      </w:tblGrid>
      <w:tr>
        <w:trPr>
          <w:trHeight w:val="432"/>
        </w:trPr>
        <w:tc>
          <w:tcPr>
            <w:tcW w:w="5000" w:type="pct"/>
            <w:gridSpan w:val="2"/>
            <w:tcBorders>
              <w:top w:val="single" w:sz="12" w:space="0" w:color="000000"/>
              <w:left w:val="single" w:sz="12" w:space="0" w:color="000000"/>
              <w:bottom w:val="single" w:sz="4" w:space="0" w:color="000000"/>
              <w:right w:val="single" w:sz="12" w:space="0" w:color="000000"/>
            </w:tcBorders>
            <w:noWrap/>
            <w:vAlign w:val="center"/>
          </w:tcPr>
          <w:p>
            <w:pPr>
              <w:rPr>
                <w:bCs/>
                <w:szCs w:val="20"/>
              </w:rPr>
            </w:pPr>
            <w:r>
              <w:rPr>
                <w:bCs/>
                <w:szCs w:val="20"/>
              </w:rPr>
              <w:t>Název žadatele</w:t>
            </w:r>
            <w:r>
              <w:rPr>
                <w:bCs/>
                <w:szCs w:val="20"/>
                <w:vertAlign w:val="superscript"/>
              </w:rPr>
              <w:t>2)</w:t>
            </w:r>
            <w:r>
              <w:rPr>
                <w:bCs/>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432"/>
        </w:trPr>
        <w:tc>
          <w:tcPr>
            <w:tcW w:w="2487" w:type="pct"/>
            <w:tcBorders>
              <w:top w:val="single" w:sz="4" w:space="0" w:color="000000"/>
              <w:left w:val="single" w:sz="12" w:space="0" w:color="000000"/>
              <w:bottom w:val="single" w:sz="4" w:space="0" w:color="000000"/>
              <w:right w:val="single" w:sz="4" w:space="0" w:color="000000"/>
            </w:tcBorders>
            <w:noWrap/>
            <w:vAlign w:val="center"/>
          </w:tcPr>
          <w:p>
            <w:pPr>
              <w:rPr>
                <w:szCs w:val="20"/>
              </w:rPr>
            </w:pPr>
            <w:r>
              <w:rPr>
                <w:szCs w:val="20"/>
              </w:rPr>
              <w:t>IČO</w:t>
            </w:r>
            <w:r>
              <w:rPr>
                <w:szCs w:val="20"/>
                <w:vertAlign w:val="superscript"/>
              </w:rPr>
              <w:t>3)</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513" w:type="pct"/>
            <w:tcBorders>
              <w:top w:val="single" w:sz="4" w:space="0" w:color="000000"/>
              <w:left w:val="single" w:sz="4" w:space="0" w:color="000000"/>
              <w:bottom w:val="single" w:sz="4" w:space="0" w:color="000000"/>
              <w:right w:val="single" w:sz="12" w:space="0" w:color="000000"/>
            </w:tcBorders>
            <w:noWrap/>
            <w:vAlign w:val="center"/>
          </w:tcPr>
          <w:p>
            <w:pPr>
              <w:rPr>
                <w:szCs w:val="20"/>
              </w:rPr>
            </w:pPr>
            <w:r>
              <w:rPr>
                <w:szCs w:val="20"/>
              </w:rPr>
              <w:t>Rodné číslo</w:t>
            </w:r>
            <w:r>
              <w:rPr>
                <w:szCs w:val="20"/>
                <w:vertAlign w:val="superscript"/>
              </w:rPr>
              <w:t>4)</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432"/>
        </w:trPr>
        <w:tc>
          <w:tcPr>
            <w:tcW w:w="5000" w:type="pct"/>
            <w:gridSpan w:val="2"/>
            <w:tcBorders>
              <w:top w:val="single" w:sz="4" w:space="0" w:color="000000"/>
              <w:left w:val="single" w:sz="12" w:space="0" w:color="000000"/>
              <w:bottom w:val="single" w:sz="4" w:space="0" w:color="000000"/>
              <w:right w:val="single" w:sz="12" w:space="0" w:color="000000"/>
            </w:tcBorders>
            <w:noWrap/>
            <w:vAlign w:val="center"/>
          </w:tcPr>
          <w:p>
            <w:pPr>
              <w:rPr>
                <w:i/>
                <w:color w:val="FF0000"/>
                <w:szCs w:val="20"/>
              </w:rPr>
            </w:pPr>
            <w:r>
              <w:rPr>
                <w:szCs w:val="20"/>
              </w:rPr>
              <w:t>Právní forma žadatele</w:t>
            </w:r>
            <w:r>
              <w:rPr>
                <w:szCs w:val="20"/>
                <w:vertAlign w:val="superscript"/>
              </w:rPr>
              <w:t>5)</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Pr>
        <w:pStyle w:val="Sekce"/>
        <w:numPr>
          <w:ilvl w:val="0"/>
          <w:numId w:val="0"/>
        </w:numPr>
        <w:spacing w:before="240"/>
        <w:ind w:left="357"/>
        <w:rPr>
          <w:b/>
        </w:rPr>
      </w:pPr>
      <w:r>
        <w:rPr>
          <w:b/>
        </w:rPr>
        <w:t>Adresa sídla-právnická osoba (PO), adresa bydliště-fyzická osoba (FO):</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64"/>
        <w:gridCol w:w="1686"/>
        <w:gridCol w:w="1686"/>
        <w:gridCol w:w="1842"/>
      </w:tblGrid>
      <w:tr>
        <w:trPr>
          <w:trHeight w:val="397"/>
        </w:trPr>
        <w:tc>
          <w:tcPr>
            <w:tcW w:w="2334" w:type="pct"/>
            <w:tcBorders>
              <w:top w:val="single" w:sz="12" w:space="0" w:color="auto"/>
              <w:left w:val="single" w:sz="12" w:space="0" w:color="auto"/>
              <w:bottom w:val="single" w:sz="6" w:space="0" w:color="auto"/>
            </w:tcBorders>
            <w:noWrap/>
            <w:vAlign w:val="center"/>
          </w:tcPr>
          <w:p>
            <w:pPr>
              <w:keepNext/>
              <w:rPr>
                <w:szCs w:val="20"/>
              </w:rPr>
            </w:pPr>
            <w:r>
              <w:rPr>
                <w:szCs w:val="20"/>
              </w:rPr>
              <w:t xml:space="preserve">Obec: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66" w:type="pct"/>
            <w:gridSpan w:val="3"/>
            <w:tcBorders>
              <w:top w:val="single" w:sz="12" w:space="0" w:color="auto"/>
              <w:bottom w:val="single" w:sz="6" w:space="0" w:color="auto"/>
              <w:right w:val="single" w:sz="12" w:space="0" w:color="auto"/>
            </w:tcBorders>
            <w:vAlign w:val="center"/>
          </w:tcPr>
          <w:p>
            <w:pPr>
              <w:pStyle w:val="Textvysvtlivek"/>
              <w:keepNext/>
            </w:pPr>
            <w:r>
              <w:t xml:space="preserve">Část obce: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trHeight w:val="397"/>
        </w:trPr>
        <w:tc>
          <w:tcPr>
            <w:tcW w:w="2334" w:type="pct"/>
            <w:tcBorders>
              <w:top w:val="single" w:sz="6" w:space="0" w:color="auto"/>
              <w:left w:val="single" w:sz="12" w:space="0" w:color="auto"/>
              <w:bottom w:val="single" w:sz="6" w:space="0" w:color="auto"/>
            </w:tcBorders>
            <w:noWrap/>
            <w:vAlign w:val="center"/>
          </w:tcPr>
          <w:p>
            <w:pPr>
              <w:pStyle w:val="Textpoznpodarou"/>
              <w:keepNext/>
            </w:pPr>
            <w:r>
              <w:t xml:space="preserve">Ulice: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62" w:type="pct"/>
            <w:tcBorders>
              <w:top w:val="single" w:sz="6" w:space="0" w:color="auto"/>
              <w:bottom w:val="single" w:sz="6" w:space="0" w:color="auto"/>
            </w:tcBorders>
            <w:noWrap/>
            <w:vAlign w:val="center"/>
          </w:tcPr>
          <w:p>
            <w:pPr>
              <w:keepNext/>
              <w:rPr>
                <w:szCs w:val="20"/>
              </w:rPr>
            </w:pPr>
            <w:r>
              <w:rPr>
                <w:szCs w:val="20"/>
              </w:rPr>
              <w:t xml:space="preserve">Č. p.: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62" w:type="pct"/>
            <w:tcBorders>
              <w:top w:val="single" w:sz="6" w:space="0" w:color="auto"/>
              <w:bottom w:val="single" w:sz="6" w:space="0" w:color="auto"/>
            </w:tcBorders>
            <w:vAlign w:val="center"/>
          </w:tcPr>
          <w:p>
            <w:pPr>
              <w:keepNext/>
              <w:rPr>
                <w:szCs w:val="20"/>
              </w:rPr>
            </w:pPr>
            <w:r>
              <w:rPr>
                <w:szCs w:val="20"/>
              </w:rPr>
              <w:t xml:space="preserve">Č. orient.: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942" w:type="pct"/>
            <w:tcBorders>
              <w:top w:val="single" w:sz="6" w:space="0" w:color="auto"/>
              <w:bottom w:val="single" w:sz="6" w:space="0" w:color="auto"/>
              <w:right w:val="single" w:sz="12" w:space="0" w:color="auto"/>
            </w:tcBorders>
            <w:vAlign w:val="center"/>
          </w:tcPr>
          <w:p>
            <w:pPr>
              <w:keepNext/>
              <w:rPr>
                <w:szCs w:val="20"/>
              </w:rPr>
            </w:pPr>
            <w:r>
              <w:rPr>
                <w:szCs w:val="20"/>
              </w:rPr>
              <w:t xml:space="preserve">PSČ: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2334" w:type="pct"/>
            <w:tcBorders>
              <w:top w:val="single" w:sz="6" w:space="0" w:color="auto"/>
              <w:left w:val="single" w:sz="12" w:space="0" w:color="auto"/>
              <w:bottom w:val="single" w:sz="6" w:space="0" w:color="auto"/>
            </w:tcBorders>
            <w:noWrap/>
            <w:vAlign w:val="center"/>
          </w:tcPr>
          <w:p>
            <w:pPr>
              <w:keepNext/>
              <w:ind w:left="20"/>
              <w:rPr>
                <w:szCs w:val="20"/>
              </w:rPr>
            </w:pPr>
            <w:r>
              <w:rPr>
                <w:szCs w:val="20"/>
              </w:rPr>
              <w:t xml:space="preserve">Telefon: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66" w:type="pct"/>
            <w:gridSpan w:val="3"/>
            <w:tcBorders>
              <w:top w:val="single" w:sz="6" w:space="0" w:color="auto"/>
              <w:bottom w:val="single" w:sz="6" w:space="0" w:color="auto"/>
              <w:right w:val="single" w:sz="12" w:space="0" w:color="auto"/>
            </w:tcBorders>
            <w:noWrap/>
            <w:vAlign w:val="center"/>
          </w:tcPr>
          <w:p>
            <w:pPr>
              <w:keepNext/>
              <w:rPr>
                <w:szCs w:val="20"/>
              </w:rPr>
            </w:pPr>
            <w:r>
              <w:t xml:space="preserve">ID datové schránky*: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5000" w:type="pct"/>
            <w:gridSpan w:val="4"/>
            <w:tcBorders>
              <w:top w:val="single" w:sz="6" w:space="0" w:color="auto"/>
              <w:left w:val="single" w:sz="12" w:space="0" w:color="auto"/>
              <w:bottom w:val="single" w:sz="12" w:space="0" w:color="auto"/>
              <w:right w:val="single" w:sz="12" w:space="0" w:color="auto"/>
            </w:tcBorders>
            <w:noWrap/>
            <w:vAlign w:val="center"/>
          </w:tcPr>
          <w:p>
            <w:pPr>
              <w:keepNext/>
            </w:pPr>
            <w:r>
              <w:rPr>
                <w:szCs w:val="20"/>
              </w:rPr>
              <w:t>E-mail:</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cantSplit/>
          <w:trHeight w:val="170"/>
        </w:trPr>
        <w:tc>
          <w:tcPr>
            <w:tcW w:w="5000" w:type="pct"/>
            <w:gridSpan w:val="4"/>
            <w:tcBorders>
              <w:top w:val="single" w:sz="12" w:space="0" w:color="auto"/>
              <w:left w:val="nil"/>
              <w:bottom w:val="nil"/>
              <w:right w:val="nil"/>
            </w:tcBorders>
            <w:noWrap/>
            <w:vAlign w:val="center"/>
          </w:tcPr>
          <w:p>
            <w:pPr>
              <w:keepNext/>
              <w:rPr>
                <w:sz w:val="16"/>
                <w:szCs w:val="16"/>
              </w:rPr>
            </w:pPr>
            <w:r>
              <w:rPr>
                <w:sz w:val="16"/>
                <w:szCs w:val="16"/>
              </w:rPr>
              <w:t>*</w:t>
            </w:r>
            <w:r>
              <w:rPr>
                <w:sz w:val="18"/>
                <w:szCs w:val="18"/>
              </w:rPr>
              <w:t xml:space="preserve"> je-li zřízena</w:t>
            </w:r>
          </w:p>
        </w:tc>
      </w:tr>
    </w:tbl>
    <w:p>
      <w:pPr>
        <w:pStyle w:val="Sekce"/>
        <w:spacing w:before="240"/>
        <w:ind w:left="357" w:hanging="357"/>
      </w:pPr>
      <w:r>
        <w:rPr>
          <w:b/>
        </w:rPr>
        <w:t xml:space="preserve">Adresa pro doručování </w:t>
      </w:r>
      <w:r>
        <w:rPr>
          <w:sz w:val="16"/>
          <w:szCs w:val="16"/>
        </w:rPr>
        <w:t>(</w:t>
      </w:r>
      <w:r>
        <w:rPr>
          <w:rStyle w:val="Znakapoznpodarou"/>
          <w:sz w:val="16"/>
          <w:szCs w:val="16"/>
          <w:vertAlign w:val="baseline"/>
        </w:rPr>
        <w:t>N</w:t>
      </w:r>
      <w:r>
        <w:rPr>
          <w:rStyle w:val="Znakapoznpodarou"/>
          <w:sz w:val="16"/>
          <w:szCs w:val="24"/>
          <w:vertAlign w:val="baseline"/>
        </w:rPr>
        <w:t>evyplňujte, je-li shodná s adresou sídla</w:t>
      </w:r>
      <w:r>
        <w:rPr>
          <w:sz w:val="16"/>
          <w:szCs w:val="24"/>
        </w:rPr>
        <w:t>-PO, bydliště-FO)</w:t>
      </w:r>
      <w:r>
        <w:t>:</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74"/>
        <w:gridCol w:w="1684"/>
        <w:gridCol w:w="1690"/>
        <w:gridCol w:w="1830"/>
      </w:tblGrid>
      <w:tr>
        <w:trPr>
          <w:trHeight w:val="397"/>
        </w:trPr>
        <w:tc>
          <w:tcPr>
            <w:tcW w:w="2339" w:type="pct"/>
            <w:tcBorders>
              <w:top w:val="single" w:sz="12" w:space="0" w:color="auto"/>
              <w:left w:val="single" w:sz="12" w:space="0" w:color="auto"/>
              <w:bottom w:val="single" w:sz="6" w:space="0" w:color="auto"/>
            </w:tcBorders>
            <w:noWrap/>
            <w:vAlign w:val="center"/>
          </w:tcPr>
          <w:p>
            <w:pPr>
              <w:rPr>
                <w:szCs w:val="20"/>
              </w:rPr>
            </w:pPr>
            <w:r>
              <w:rPr>
                <w:szCs w:val="20"/>
              </w:rPr>
              <w:t xml:space="preserve">Obec: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61" w:type="pct"/>
            <w:gridSpan w:val="3"/>
            <w:tcBorders>
              <w:top w:val="single" w:sz="12" w:space="0" w:color="auto"/>
              <w:bottom w:val="single" w:sz="6" w:space="0" w:color="auto"/>
              <w:right w:val="single" w:sz="12" w:space="0" w:color="auto"/>
            </w:tcBorders>
            <w:vAlign w:val="center"/>
          </w:tcPr>
          <w:p>
            <w:pPr>
              <w:rPr>
                <w:szCs w:val="20"/>
              </w:rPr>
            </w:pPr>
            <w:r>
              <w:rPr>
                <w:szCs w:val="20"/>
              </w:rPr>
              <w:t xml:space="preserve">Část obce: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397"/>
        </w:trPr>
        <w:tc>
          <w:tcPr>
            <w:tcW w:w="2339" w:type="pct"/>
            <w:tcBorders>
              <w:top w:val="single" w:sz="6" w:space="0" w:color="auto"/>
              <w:left w:val="single" w:sz="12" w:space="0" w:color="auto"/>
              <w:bottom w:val="single" w:sz="12" w:space="0" w:color="auto"/>
            </w:tcBorders>
            <w:noWrap/>
            <w:vAlign w:val="center"/>
          </w:tcPr>
          <w:p>
            <w:pPr>
              <w:rPr>
                <w:szCs w:val="20"/>
              </w:rPr>
            </w:pPr>
            <w:r>
              <w:rPr>
                <w:szCs w:val="20"/>
              </w:rPr>
              <w:t xml:space="preserve">Ulice: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61" w:type="pct"/>
            <w:tcBorders>
              <w:top w:val="single" w:sz="6" w:space="0" w:color="auto"/>
              <w:bottom w:val="single" w:sz="12" w:space="0" w:color="auto"/>
            </w:tcBorders>
            <w:noWrap/>
            <w:vAlign w:val="center"/>
          </w:tcPr>
          <w:p>
            <w:pPr>
              <w:rPr>
                <w:szCs w:val="20"/>
              </w:rPr>
            </w:pPr>
            <w:r>
              <w:rPr>
                <w:szCs w:val="20"/>
              </w:rPr>
              <w:t xml:space="preserve">Č. p.: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64" w:type="pct"/>
            <w:tcBorders>
              <w:top w:val="single" w:sz="6" w:space="0" w:color="auto"/>
              <w:bottom w:val="single" w:sz="12" w:space="0" w:color="auto"/>
            </w:tcBorders>
            <w:vAlign w:val="center"/>
          </w:tcPr>
          <w:p>
            <w:pPr>
              <w:rPr>
                <w:szCs w:val="20"/>
              </w:rPr>
            </w:pPr>
            <w:r>
              <w:rPr>
                <w:szCs w:val="20"/>
              </w:rPr>
              <w:t xml:space="preserve">Č. orient.: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936" w:type="pct"/>
            <w:tcBorders>
              <w:top w:val="single" w:sz="6" w:space="0" w:color="auto"/>
              <w:bottom w:val="single" w:sz="12" w:space="0" w:color="auto"/>
              <w:right w:val="single" w:sz="12" w:space="0" w:color="auto"/>
            </w:tcBorders>
            <w:vAlign w:val="center"/>
          </w:tcPr>
          <w:p>
            <w:pPr>
              <w:rPr>
                <w:szCs w:val="20"/>
              </w:rPr>
            </w:pPr>
            <w:r>
              <w:rPr>
                <w:szCs w:val="20"/>
              </w:rPr>
              <w:t xml:space="preserve">PSČ: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397"/>
        </w:trPr>
        <w:tc>
          <w:tcPr>
            <w:tcW w:w="2339" w:type="pct"/>
            <w:tcBorders>
              <w:top w:val="single" w:sz="12" w:space="0" w:color="auto"/>
              <w:left w:val="nil"/>
              <w:bottom w:val="single" w:sz="4" w:space="0" w:color="auto"/>
              <w:right w:val="nil"/>
            </w:tcBorders>
            <w:noWrap/>
            <w:vAlign w:val="center"/>
          </w:tcPr>
          <w:p>
            <w:pPr>
              <w:rPr>
                <w:szCs w:val="20"/>
              </w:rPr>
            </w:pPr>
          </w:p>
        </w:tc>
        <w:tc>
          <w:tcPr>
            <w:tcW w:w="861" w:type="pct"/>
            <w:tcBorders>
              <w:top w:val="single" w:sz="12" w:space="0" w:color="auto"/>
              <w:left w:val="nil"/>
              <w:bottom w:val="nil"/>
              <w:right w:val="nil"/>
            </w:tcBorders>
            <w:noWrap/>
            <w:vAlign w:val="center"/>
          </w:tcPr>
          <w:p>
            <w:pPr>
              <w:rPr>
                <w:szCs w:val="20"/>
              </w:rPr>
            </w:pPr>
          </w:p>
        </w:tc>
        <w:tc>
          <w:tcPr>
            <w:tcW w:w="864" w:type="pct"/>
            <w:tcBorders>
              <w:top w:val="single" w:sz="12" w:space="0" w:color="auto"/>
              <w:left w:val="nil"/>
              <w:bottom w:val="nil"/>
              <w:right w:val="nil"/>
            </w:tcBorders>
            <w:vAlign w:val="center"/>
          </w:tcPr>
          <w:p>
            <w:pPr>
              <w:rPr>
                <w:szCs w:val="20"/>
              </w:rPr>
            </w:pPr>
          </w:p>
        </w:tc>
        <w:tc>
          <w:tcPr>
            <w:tcW w:w="936" w:type="pct"/>
            <w:tcBorders>
              <w:top w:val="single" w:sz="12" w:space="0" w:color="auto"/>
              <w:left w:val="nil"/>
              <w:bottom w:val="nil"/>
              <w:right w:val="nil"/>
            </w:tcBorders>
            <w:vAlign w:val="center"/>
          </w:tcPr>
          <w:p>
            <w:pPr>
              <w:rPr>
                <w:szCs w:val="20"/>
              </w:rPr>
            </w:pPr>
          </w:p>
        </w:tc>
      </w:tr>
      <w:tr>
        <w:trPr>
          <w:trHeight w:val="397"/>
        </w:trPr>
        <w:tc>
          <w:tcPr>
            <w:tcW w:w="2339" w:type="pct"/>
            <w:tcBorders>
              <w:top w:val="single" w:sz="4" w:space="0" w:color="auto"/>
              <w:left w:val="nil"/>
              <w:bottom w:val="nil"/>
              <w:right w:val="nil"/>
            </w:tcBorders>
            <w:noWrap/>
            <w:vAlign w:val="center"/>
          </w:tcPr>
          <w:p>
            <w:pPr>
              <w:rPr>
                <w:sz w:val="18"/>
                <w:szCs w:val="18"/>
              </w:rPr>
            </w:pPr>
            <w:r>
              <w:rPr>
                <w:sz w:val="18"/>
                <w:szCs w:val="18"/>
              </w:rPr>
              <w:t>Vysvětlivky k odkazům jsou uvedeny v závěru žádosti</w:t>
            </w:r>
          </w:p>
        </w:tc>
        <w:tc>
          <w:tcPr>
            <w:tcW w:w="861" w:type="pct"/>
            <w:tcBorders>
              <w:top w:val="nil"/>
              <w:left w:val="nil"/>
              <w:bottom w:val="nil"/>
              <w:right w:val="nil"/>
            </w:tcBorders>
            <w:noWrap/>
            <w:vAlign w:val="center"/>
          </w:tcPr>
          <w:p>
            <w:pPr>
              <w:rPr>
                <w:szCs w:val="20"/>
              </w:rPr>
            </w:pPr>
          </w:p>
        </w:tc>
        <w:tc>
          <w:tcPr>
            <w:tcW w:w="864" w:type="pct"/>
            <w:tcBorders>
              <w:top w:val="nil"/>
              <w:left w:val="nil"/>
              <w:bottom w:val="nil"/>
              <w:right w:val="nil"/>
            </w:tcBorders>
            <w:vAlign w:val="center"/>
          </w:tcPr>
          <w:p>
            <w:pPr>
              <w:rPr>
                <w:szCs w:val="20"/>
              </w:rPr>
            </w:pPr>
          </w:p>
        </w:tc>
        <w:tc>
          <w:tcPr>
            <w:tcW w:w="936" w:type="pct"/>
            <w:tcBorders>
              <w:top w:val="nil"/>
              <w:left w:val="nil"/>
              <w:bottom w:val="nil"/>
              <w:right w:val="nil"/>
            </w:tcBorders>
            <w:vAlign w:val="center"/>
          </w:tcPr>
          <w:p>
            <w:pPr>
              <w:rPr>
                <w:szCs w:val="20"/>
              </w:rPr>
            </w:pPr>
          </w:p>
        </w:tc>
      </w:tr>
    </w:tbl>
    <w:p>
      <w:pPr>
        <w:pStyle w:val="Sekce"/>
        <w:numPr>
          <w:ilvl w:val="0"/>
          <w:numId w:val="0"/>
        </w:numPr>
        <w:spacing w:before="0"/>
        <w:ind w:left="357"/>
        <w:rPr>
          <w:b/>
        </w:rPr>
      </w:pPr>
    </w:p>
    <w:p>
      <w:pPr>
        <w:pStyle w:val="Sekce"/>
        <w:numPr>
          <w:ilvl w:val="0"/>
          <w:numId w:val="0"/>
        </w:numPr>
        <w:spacing w:before="0"/>
        <w:ind w:left="357"/>
        <w:rPr>
          <w:b/>
        </w:rPr>
      </w:pPr>
    </w:p>
    <w:p>
      <w:pPr>
        <w:pStyle w:val="Sekce"/>
        <w:spacing w:before="0"/>
        <w:ind w:left="357" w:hanging="357"/>
        <w:rPr>
          <w:b/>
        </w:rPr>
      </w:pPr>
      <w:r>
        <w:rPr>
          <w:b/>
        </w:rPr>
        <w:t>Oprávněný zástupce žadatele:</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85"/>
        <w:gridCol w:w="3344"/>
        <w:gridCol w:w="1649"/>
      </w:tblGrid>
      <w:tr>
        <w:trPr>
          <w:trHeight w:val="397"/>
        </w:trPr>
        <w:tc>
          <w:tcPr>
            <w:tcW w:w="2447" w:type="pct"/>
            <w:tcBorders>
              <w:top w:val="single" w:sz="12" w:space="0" w:color="auto"/>
              <w:left w:val="single" w:sz="12" w:space="0" w:color="auto"/>
              <w:bottom w:val="single" w:sz="6" w:space="0" w:color="auto"/>
            </w:tcBorders>
            <w:noWrap/>
            <w:vAlign w:val="center"/>
          </w:tcPr>
          <w:p>
            <w:pPr>
              <w:keepNext/>
              <w:rPr>
                <w:b/>
                <w:bCs/>
                <w:szCs w:val="20"/>
              </w:rPr>
            </w:pPr>
            <w:r>
              <w:rPr>
                <w:szCs w:val="20"/>
              </w:rPr>
              <w:t xml:space="preserve">Příjmení: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10" w:type="pct"/>
            <w:tcBorders>
              <w:top w:val="single" w:sz="12" w:space="0" w:color="auto"/>
              <w:bottom w:val="single" w:sz="6" w:space="0" w:color="auto"/>
              <w:right w:val="single" w:sz="4" w:space="0" w:color="auto"/>
            </w:tcBorders>
            <w:noWrap/>
            <w:vAlign w:val="center"/>
          </w:tcPr>
          <w:p>
            <w:pPr>
              <w:keepNext/>
              <w:rPr>
                <w:szCs w:val="20"/>
              </w:rPr>
            </w:pPr>
            <w:r>
              <w:rPr>
                <w:szCs w:val="20"/>
              </w:rPr>
              <w:t xml:space="preserve">Jméno: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3" w:type="pct"/>
            <w:tcBorders>
              <w:top w:val="single" w:sz="12" w:space="0" w:color="auto"/>
              <w:left w:val="single" w:sz="4" w:space="0" w:color="auto"/>
              <w:bottom w:val="single" w:sz="6" w:space="0" w:color="auto"/>
              <w:right w:val="single" w:sz="12" w:space="0" w:color="auto"/>
            </w:tcBorders>
            <w:vAlign w:val="center"/>
          </w:tcPr>
          <w:p>
            <w:pPr>
              <w:keepNext/>
              <w:rPr>
                <w:szCs w:val="20"/>
              </w:rPr>
            </w:pPr>
            <w:r>
              <w:rPr>
                <w:szCs w:val="20"/>
              </w:rPr>
              <w:t xml:space="preserve">Titul: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cantSplit/>
          <w:trHeight w:val="397"/>
        </w:trPr>
        <w:tc>
          <w:tcPr>
            <w:tcW w:w="2447" w:type="pct"/>
            <w:tcBorders>
              <w:top w:val="single" w:sz="6" w:space="0" w:color="auto"/>
              <w:left w:val="single" w:sz="12" w:space="0" w:color="auto"/>
              <w:bottom w:val="single" w:sz="12" w:space="0" w:color="auto"/>
            </w:tcBorders>
            <w:noWrap/>
            <w:vAlign w:val="center"/>
          </w:tcPr>
          <w:p>
            <w:pPr>
              <w:keepNext/>
              <w:rPr>
                <w:szCs w:val="20"/>
              </w:rPr>
            </w:pPr>
            <w:r>
              <w:rPr>
                <w:szCs w:val="20"/>
              </w:rPr>
              <w:t xml:space="preserve">Telefon: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553" w:type="pct"/>
            <w:gridSpan w:val="2"/>
            <w:tcBorders>
              <w:top w:val="single" w:sz="6" w:space="0" w:color="auto"/>
              <w:bottom w:val="single" w:sz="12" w:space="0" w:color="auto"/>
              <w:right w:val="single" w:sz="12" w:space="0" w:color="auto"/>
            </w:tcBorders>
            <w:noWrap/>
            <w:vAlign w:val="center"/>
          </w:tcPr>
          <w:p>
            <w:pPr>
              <w:pStyle w:val="Textvysvtlivek"/>
              <w:keepNext/>
            </w:pPr>
            <w:r>
              <w:t xml:space="preserve">E-mail: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bCs w:val="0"/>
        </w:rPr>
      </w:pPr>
      <w:r>
        <w:rPr>
          <w:b/>
          <w:bCs w:val="0"/>
        </w:rPr>
        <w:t>Kontaktní osoba pro jednání s Úřadem práce ČR:</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503"/>
        <w:gridCol w:w="2312"/>
        <w:gridCol w:w="4963"/>
      </w:tblGrid>
      <w:tr>
        <w:trPr>
          <w:trHeight w:val="397"/>
        </w:trPr>
        <w:tc>
          <w:tcPr>
            <w:tcW w:w="2462" w:type="pct"/>
            <w:gridSpan w:val="2"/>
            <w:noWrap/>
            <w:vAlign w:val="center"/>
          </w:tcPr>
          <w:p>
            <w:pPr>
              <w:rPr>
                <w:b/>
                <w:bCs/>
                <w:szCs w:val="20"/>
              </w:rPr>
            </w:pPr>
            <w:r>
              <w:rPr>
                <w:szCs w:val="20"/>
              </w:rPr>
              <w:t xml:space="preserve">Příjmení: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38" w:type="pct"/>
            <w:noWrap/>
            <w:vAlign w:val="center"/>
          </w:tcPr>
          <w:p>
            <w:pPr>
              <w:rPr>
                <w:szCs w:val="20"/>
              </w:rPr>
            </w:pPr>
            <w:r>
              <w:rPr>
                <w:szCs w:val="20"/>
              </w:rPr>
              <w:t xml:space="preserve">Jméno: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trHeight w:val="397"/>
        </w:trPr>
        <w:tc>
          <w:tcPr>
            <w:tcW w:w="1280" w:type="pct"/>
            <w:noWrap/>
            <w:vAlign w:val="center"/>
          </w:tcPr>
          <w:p>
            <w:pPr>
              <w:rPr>
                <w:szCs w:val="20"/>
              </w:rPr>
            </w:pPr>
            <w:r>
              <w:rPr>
                <w:szCs w:val="20"/>
              </w:rPr>
              <w:t xml:space="preserve">Telefon: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82" w:type="pct"/>
            <w:vAlign w:val="center"/>
          </w:tcPr>
          <w:p>
            <w:pPr>
              <w:rPr>
                <w:szCs w:val="20"/>
              </w:rPr>
            </w:pPr>
            <w:r>
              <w:rPr>
                <w:szCs w:val="20"/>
              </w:rPr>
              <w:t xml:space="preserve">Fax: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38" w:type="pct"/>
            <w:noWrap/>
            <w:vAlign w:val="center"/>
          </w:tcPr>
          <w:p>
            <w:pPr>
              <w:rPr>
                <w:szCs w:val="20"/>
              </w:rPr>
            </w:pPr>
            <w:r>
              <w:rPr>
                <w:szCs w:val="20"/>
              </w:rPr>
              <w:t xml:space="preserve">E-mail: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rPr>
      </w:pPr>
      <w:r>
        <w:rPr>
          <w:b/>
        </w:rPr>
        <w:t xml:space="preserve">Bankovní spojení žadatele </w:t>
      </w:r>
      <w:r>
        <w:rPr>
          <w:b/>
          <w:bCs w:val="0"/>
        </w:rPr>
        <w:t>(účet u peněžního ústavu v ČR vedený v CZK):</w:t>
      </w:r>
    </w:p>
    <w:tbl>
      <w:tblPr>
        <w:tblW w:w="5000" w:type="pct"/>
        <w:tblBorders>
          <w:top w:val="single" w:sz="18" w:space="0" w:color="000000"/>
          <w:left w:val="single" w:sz="18" w:space="0" w:color="000000"/>
          <w:bottom w:val="single" w:sz="18" w:space="0" w:color="000000"/>
          <w:right w:val="single" w:sz="18" w:space="0" w:color="000000"/>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844"/>
        <w:gridCol w:w="1938"/>
        <w:gridCol w:w="2996"/>
      </w:tblGrid>
      <w:tr>
        <w:trPr>
          <w:cantSplit/>
          <w:trHeight w:val="397"/>
        </w:trPr>
        <w:tc>
          <w:tcPr>
            <w:tcW w:w="2477" w:type="pct"/>
            <w:tcBorders>
              <w:top w:val="single" w:sz="12" w:space="0" w:color="000000"/>
              <w:left w:val="single" w:sz="12" w:space="0" w:color="000000"/>
              <w:bottom w:val="single" w:sz="6" w:space="0" w:color="000000"/>
              <w:right w:val="single" w:sz="6" w:space="0" w:color="000000"/>
            </w:tcBorders>
            <w:noWrap/>
            <w:vAlign w:val="center"/>
          </w:tcPr>
          <w:p>
            <w:pPr>
              <w:keepLines/>
              <w:rPr>
                <w:szCs w:val="20"/>
              </w:rPr>
            </w:pPr>
            <w:r>
              <w:rPr>
                <w:szCs w:val="20"/>
              </w:rPr>
              <w:t xml:space="preserve">Číslo účtu: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91" w:type="pct"/>
            <w:tcBorders>
              <w:top w:val="single" w:sz="12" w:space="0" w:color="000000"/>
              <w:left w:val="single" w:sz="6" w:space="0" w:color="000000"/>
              <w:bottom w:val="single" w:sz="6" w:space="0" w:color="000000"/>
              <w:right w:val="single" w:sz="6" w:space="0" w:color="000000"/>
            </w:tcBorders>
            <w:vAlign w:val="center"/>
          </w:tcPr>
          <w:p>
            <w:pPr>
              <w:keepLines/>
              <w:rPr>
                <w:szCs w:val="20"/>
              </w:rPr>
            </w:pPr>
            <w:r>
              <w:rPr>
                <w:szCs w:val="20"/>
              </w:rPr>
              <w:t xml:space="preserve">Kód banky: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2" w:type="pct"/>
            <w:tcBorders>
              <w:top w:val="single" w:sz="12" w:space="0" w:color="000000"/>
              <w:left w:val="single" w:sz="6" w:space="0" w:color="000000"/>
              <w:bottom w:val="single" w:sz="6" w:space="0" w:color="000000"/>
              <w:right w:val="single" w:sz="12" w:space="0" w:color="000000"/>
            </w:tcBorders>
            <w:vAlign w:val="center"/>
          </w:tcPr>
          <w:p>
            <w:pPr>
              <w:keepLines/>
              <w:rPr>
                <w:szCs w:val="20"/>
              </w:rPr>
            </w:pPr>
            <w:r>
              <w:rPr>
                <w:szCs w:val="20"/>
              </w:rPr>
              <w:t xml:space="preserve">Specifický symbol: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cantSplit/>
          <w:trHeight w:val="397"/>
        </w:trPr>
        <w:tc>
          <w:tcPr>
            <w:tcW w:w="2477" w:type="pct"/>
            <w:tcBorders>
              <w:top w:val="single" w:sz="6" w:space="0" w:color="000000"/>
              <w:left w:val="single" w:sz="12" w:space="0" w:color="000000"/>
              <w:bottom w:val="single" w:sz="12" w:space="0" w:color="000000"/>
              <w:right w:val="single" w:sz="6" w:space="0" w:color="000000"/>
            </w:tcBorders>
            <w:noWrap/>
            <w:vAlign w:val="center"/>
          </w:tcPr>
          <w:p>
            <w:pPr>
              <w:keepLines/>
              <w:rPr>
                <w:szCs w:val="20"/>
              </w:rPr>
            </w:pPr>
            <w:r>
              <w:rPr>
                <w:szCs w:val="20"/>
              </w:rPr>
              <w:t xml:space="preserve">Variabilní symbol: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23" w:type="pct"/>
            <w:gridSpan w:val="2"/>
            <w:tcBorders>
              <w:top w:val="single" w:sz="6" w:space="0" w:color="000000"/>
              <w:left w:val="single" w:sz="6" w:space="0" w:color="000000"/>
              <w:bottom w:val="single" w:sz="12" w:space="0" w:color="000000"/>
              <w:right w:val="single" w:sz="12" w:space="0" w:color="000000"/>
            </w:tcBorders>
            <w:vAlign w:val="center"/>
          </w:tcPr>
          <w:p>
            <w:pPr>
              <w:keepLines/>
              <w:rPr>
                <w:szCs w:val="20"/>
              </w:rPr>
            </w:pPr>
            <w:r>
              <w:rPr>
                <w:szCs w:val="20"/>
              </w:rPr>
              <w:t xml:space="preserve">Název banky: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rPr>
      </w:pPr>
      <w:r>
        <w:rPr>
          <w:b/>
        </w:rPr>
        <w:t>Údaje o uplatňovaném příspěvku na skutečně vynaložené prostředky na mzdy nebo platy (mzdový příspěvek) - § 78a odst. 2 ZoZ:</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8482"/>
        <w:gridCol w:w="1372"/>
      </w:tblGrid>
      <w:tr>
        <w:trPr>
          <w:trHeight w:val="397"/>
        </w:trPr>
        <w:tc>
          <w:tcPr>
            <w:tcW w:w="4304" w:type="pct"/>
            <w:tcBorders>
              <w:top w:val="single" w:sz="12" w:space="0" w:color="000000"/>
              <w:bottom w:val="single" w:sz="12" w:space="0" w:color="000000"/>
              <w:right w:val="single" w:sz="12" w:space="0" w:color="000000"/>
            </w:tcBorders>
            <w:vAlign w:val="center"/>
          </w:tcPr>
          <w:p>
            <w:pPr>
              <w:pStyle w:val="Textpoznpodarou"/>
              <w:widowControl w:val="0"/>
              <w:numPr>
                <w:ilvl w:val="0"/>
                <w:numId w:val="58"/>
              </w:numPr>
              <w:spacing w:before="60" w:after="60"/>
              <w:ind w:left="357" w:hanging="357"/>
            </w:pPr>
            <w:r>
              <w:rPr>
                <w:b/>
              </w:rPr>
              <w:t xml:space="preserve">Celkový počet zaměstnanců - OZP, na které je požadován příspěvek </w:t>
            </w:r>
            <w:r>
              <w:rPr>
                <w:b/>
                <w:vertAlign w:val="superscript"/>
              </w:rPr>
              <w:t>6)</w:t>
            </w:r>
            <w:r>
              <w:rPr>
                <w:b/>
              </w:rPr>
              <w:t xml:space="preserve"> - uveďte fyzický počet:</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4" w:space="0" w:color="000000"/>
              <w:right w:val="single" w:sz="12" w:space="0" w:color="000000"/>
            </w:tcBorders>
            <w:vAlign w:val="center"/>
          </w:tcPr>
          <w:p>
            <w:pPr>
              <w:pStyle w:val="Textpoznpodarou"/>
              <w:widowControl w:val="0"/>
              <w:spacing w:before="60" w:after="60"/>
              <w:ind w:left="357"/>
            </w:pPr>
            <w:r>
              <w:t>Z toho:</w:t>
            </w:r>
          </w:p>
        </w:tc>
        <w:tc>
          <w:tcPr>
            <w:tcW w:w="696" w:type="pct"/>
            <w:tcBorders>
              <w:top w:val="single" w:sz="12" w:space="0" w:color="000000"/>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fldChar w:fldCharType="end"/>
            </w:r>
          </w:p>
        </w:tc>
      </w:tr>
      <w:tr>
        <w:trPr>
          <w:trHeight w:val="227"/>
        </w:trPr>
        <w:tc>
          <w:tcPr>
            <w:tcW w:w="4304" w:type="pct"/>
            <w:tcBorders>
              <w:top w:val="single" w:sz="4" w:space="0" w:color="000000"/>
              <w:right w:val="single" w:sz="12" w:space="0" w:color="000000"/>
            </w:tcBorders>
            <w:vAlign w:val="center"/>
          </w:tcPr>
          <w:p>
            <w:pPr>
              <w:pStyle w:val="Textpoznpodarou"/>
              <w:widowControl w:val="0"/>
              <w:spacing w:before="60" w:after="60"/>
              <w:ind w:left="369"/>
            </w:pPr>
            <w:r>
              <w:t xml:space="preserve">1.1 Počet zaměstnanců TZP: </w:t>
            </w:r>
          </w:p>
        </w:tc>
        <w:tc>
          <w:tcPr>
            <w:tcW w:w="696" w:type="pct"/>
            <w:tcBorders>
              <w:top w:val="single" w:sz="4" w:space="0" w:color="000000"/>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bottom w:val="single" w:sz="4" w:space="0" w:color="000000"/>
              <w:right w:val="single" w:sz="12" w:space="0" w:color="000000"/>
            </w:tcBorders>
            <w:vAlign w:val="center"/>
          </w:tcPr>
          <w:p>
            <w:pPr>
              <w:pStyle w:val="Textpoznpodarou"/>
              <w:widowControl w:val="0"/>
              <w:spacing w:before="60" w:after="60"/>
              <w:ind w:left="369"/>
            </w:pPr>
            <w:r>
              <w:t>1.2 Počet zaměstnanců OZP 1,2:</w:t>
            </w:r>
          </w:p>
        </w:tc>
        <w:tc>
          <w:tcPr>
            <w:tcW w:w="696" w:type="pct"/>
            <w:tcBorders>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12" w:space="0" w:color="000000"/>
              <w:right w:val="single" w:sz="12" w:space="0" w:color="000000"/>
            </w:tcBorders>
            <w:vAlign w:val="center"/>
          </w:tcPr>
          <w:p>
            <w:pPr>
              <w:pStyle w:val="Textpoznpodarou"/>
              <w:widowControl w:val="0"/>
              <w:spacing w:before="60" w:after="60"/>
              <w:ind w:left="369"/>
            </w:pPr>
            <w:r>
              <w:t>1.3 Počet zaměstnanců OZZ:</w:t>
            </w:r>
          </w:p>
        </w:tc>
        <w:tc>
          <w:tcPr>
            <w:tcW w:w="696" w:type="pct"/>
            <w:tcBorders>
              <w:top w:val="single" w:sz="4"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12" w:space="0" w:color="000000"/>
              <w:right w:val="single" w:sz="12" w:space="0" w:color="000000"/>
            </w:tcBorders>
            <w:vAlign w:val="center"/>
          </w:tcPr>
          <w:p>
            <w:pPr>
              <w:pStyle w:val="Textpoznpodarou"/>
              <w:widowControl w:val="0"/>
              <w:numPr>
                <w:ilvl w:val="0"/>
                <w:numId w:val="58"/>
              </w:numPr>
              <w:spacing w:before="60" w:after="60"/>
              <w:ind w:left="357" w:hanging="357"/>
            </w:pPr>
            <w:r>
              <w:rPr>
                <w:b/>
              </w:rPr>
              <w:t>Výše uplatňovaného příspěvku celkem v Kč:</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right w:val="single" w:sz="12" w:space="0" w:color="000000"/>
            </w:tcBorders>
            <w:vAlign w:val="center"/>
          </w:tcPr>
          <w:p>
            <w:pPr>
              <w:pStyle w:val="Textpoznpodarou"/>
              <w:widowControl w:val="0"/>
              <w:spacing w:before="60" w:after="60"/>
              <w:ind w:left="369"/>
            </w:pPr>
            <w:r>
              <w:t>Z toho:</w:t>
            </w:r>
          </w:p>
        </w:tc>
        <w:tc>
          <w:tcPr>
            <w:tcW w:w="696" w:type="pct"/>
            <w:tcBorders>
              <w:top w:val="single" w:sz="12" w:space="0" w:color="000000"/>
              <w:left w:val="single" w:sz="12" w:space="0" w:color="000000"/>
            </w:tcBorders>
            <w:vAlign w:val="center"/>
          </w:tcPr>
          <w:p>
            <w:pPr>
              <w:jc w:val="right"/>
              <w:rPr>
                <w:b/>
                <w:bCs/>
                <w:noProof/>
                <w:szCs w:val="20"/>
              </w:rPr>
            </w:pPr>
          </w:p>
        </w:tc>
      </w:tr>
      <w:tr>
        <w:trPr>
          <w:trHeight w:val="227"/>
        </w:trPr>
        <w:tc>
          <w:tcPr>
            <w:tcW w:w="4304" w:type="pct"/>
            <w:tcBorders>
              <w:right w:val="single" w:sz="12" w:space="0" w:color="000000"/>
            </w:tcBorders>
            <w:vAlign w:val="center"/>
          </w:tcPr>
          <w:p>
            <w:pPr>
              <w:pStyle w:val="Textpoznpodarou"/>
              <w:widowControl w:val="0"/>
              <w:spacing w:before="60" w:after="60"/>
              <w:ind w:left="369"/>
            </w:pPr>
            <w:r>
              <w:t>2.1 Příspěvek na zaměstnávání TZP celkem:</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right w:val="single" w:sz="12" w:space="0" w:color="000000"/>
            </w:tcBorders>
            <w:vAlign w:val="center"/>
          </w:tcPr>
          <w:p>
            <w:pPr>
              <w:pStyle w:val="Textpoznpodarou"/>
              <w:widowControl w:val="0"/>
              <w:spacing w:before="60" w:after="60"/>
              <w:ind w:left="369"/>
            </w:pPr>
            <w:r>
              <w:t>2.2 Příspěvek na zaměstnávání OZP 1,2 celkem:</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bottom w:val="single" w:sz="12" w:space="0" w:color="000000"/>
              <w:right w:val="single" w:sz="12" w:space="0" w:color="000000"/>
            </w:tcBorders>
            <w:vAlign w:val="center"/>
          </w:tcPr>
          <w:p>
            <w:pPr>
              <w:pStyle w:val="Textpoznpodarou"/>
              <w:widowControl w:val="0"/>
              <w:spacing w:before="60" w:after="60"/>
              <w:ind w:left="369"/>
            </w:pPr>
            <w:r>
              <w:t>2.3 Příspěvek na zaměstnávání OZZ celkem:</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bl>
    <w:p>
      <w:pPr>
        <w:pStyle w:val="Sekce"/>
        <w:numPr>
          <w:ilvl w:val="0"/>
          <w:numId w:val="0"/>
        </w:numPr>
        <w:spacing w:before="240"/>
        <w:ind w:left="357" w:hanging="357"/>
        <w:rPr>
          <w:b/>
          <w:bCs w:val="0"/>
        </w:rPr>
      </w:pPr>
      <w:r>
        <w:rPr>
          <w:b/>
          <w:bCs w:val="0"/>
        </w:rPr>
        <w:t xml:space="preserve">H. </w:t>
      </w:r>
      <w:r>
        <w:rPr>
          <w:b/>
          <w:bCs w:val="0"/>
        </w:rPr>
        <w:tab/>
        <w:t>Údaje o uplatňovaném zvýšení příspěvku o částku odpovídající dalším nákladům vynaloženým na zaměstnávání OZP - § 78a odst. 3 ZoZ:</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8482"/>
        <w:gridCol w:w="1372"/>
      </w:tblGrid>
      <w:tr>
        <w:trPr>
          <w:trHeight w:val="397"/>
        </w:trPr>
        <w:tc>
          <w:tcPr>
            <w:tcW w:w="4304" w:type="pct"/>
            <w:tcBorders>
              <w:top w:val="single" w:sz="12" w:space="0" w:color="000000"/>
              <w:bottom w:val="single" w:sz="12" w:space="0" w:color="000000"/>
              <w:right w:val="single" w:sz="12" w:space="0" w:color="000000"/>
            </w:tcBorders>
            <w:vAlign w:val="center"/>
          </w:tcPr>
          <w:p>
            <w:pPr>
              <w:pStyle w:val="Pouen"/>
              <w:numPr>
                <w:ilvl w:val="0"/>
                <w:numId w:val="51"/>
              </w:numPr>
              <w:spacing w:before="60" w:after="60"/>
              <w:ind w:left="357" w:hanging="357"/>
              <w:jc w:val="left"/>
              <w:rPr>
                <w:b/>
              </w:rPr>
            </w:pPr>
            <w:r>
              <w:rPr>
                <w:b/>
              </w:rPr>
              <w:t xml:space="preserve">Celkový počet zaměstnanců  - TZP + OZP 1,2, na které je požadováno zvýšení příspěvku </w:t>
            </w:r>
            <w:r>
              <w:rPr>
                <w:b/>
                <w:vertAlign w:val="superscript"/>
              </w:rPr>
              <w:t>6)</w:t>
            </w:r>
            <w:r>
              <w:rPr>
                <w:b/>
              </w:rPr>
              <w:t>- uveďte fyzický počet:</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4" w:space="0" w:color="000000"/>
              <w:right w:val="single" w:sz="12" w:space="0" w:color="000000"/>
            </w:tcBorders>
            <w:vAlign w:val="center"/>
          </w:tcPr>
          <w:p>
            <w:pPr>
              <w:pStyle w:val="Textpoznpodarou"/>
              <w:widowControl w:val="0"/>
              <w:spacing w:before="60" w:after="60"/>
              <w:ind w:left="357"/>
            </w:pPr>
            <w:r>
              <w:t>Z toho:</w:t>
            </w:r>
          </w:p>
        </w:tc>
        <w:tc>
          <w:tcPr>
            <w:tcW w:w="696" w:type="pct"/>
            <w:tcBorders>
              <w:top w:val="single" w:sz="12" w:space="0" w:color="000000"/>
              <w:left w:val="single" w:sz="12" w:space="0" w:color="000000"/>
            </w:tcBorders>
            <w:vAlign w:val="center"/>
          </w:tcPr>
          <w:p>
            <w:pPr>
              <w:jc w:val="right"/>
              <w:rPr>
                <w:b/>
                <w:bCs/>
                <w:noProof/>
                <w:szCs w:val="20"/>
              </w:rPr>
            </w:pPr>
          </w:p>
        </w:tc>
      </w:tr>
      <w:tr>
        <w:trPr>
          <w:trHeight w:val="227"/>
        </w:trPr>
        <w:tc>
          <w:tcPr>
            <w:tcW w:w="4304" w:type="pct"/>
            <w:tcBorders>
              <w:top w:val="single" w:sz="4" w:space="0" w:color="000000"/>
              <w:bottom w:val="single" w:sz="4" w:space="0" w:color="000000"/>
              <w:right w:val="single" w:sz="12" w:space="0" w:color="000000"/>
            </w:tcBorders>
            <w:vAlign w:val="center"/>
          </w:tcPr>
          <w:p>
            <w:pPr>
              <w:pStyle w:val="Textpoznpodarou"/>
              <w:widowControl w:val="0"/>
              <w:spacing w:before="60" w:after="60"/>
              <w:ind w:left="369"/>
            </w:pPr>
            <w:r>
              <w:t xml:space="preserve">1.1 Počet zaměstnanců TZP: </w:t>
            </w:r>
          </w:p>
        </w:tc>
        <w:tc>
          <w:tcPr>
            <w:tcW w:w="696" w:type="pct"/>
            <w:tcBorders>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12" w:space="0" w:color="000000"/>
              <w:right w:val="single" w:sz="12" w:space="0" w:color="000000"/>
            </w:tcBorders>
            <w:vAlign w:val="center"/>
          </w:tcPr>
          <w:p>
            <w:pPr>
              <w:pStyle w:val="Textpoznpodarou"/>
              <w:widowControl w:val="0"/>
              <w:spacing w:before="60" w:after="60"/>
              <w:ind w:left="369"/>
            </w:pPr>
            <w:r>
              <w:t>1.2 Počet zaměstnanců OZP 1,2:</w:t>
            </w:r>
          </w:p>
        </w:tc>
        <w:tc>
          <w:tcPr>
            <w:tcW w:w="696" w:type="pct"/>
            <w:tcBorders>
              <w:top w:val="single" w:sz="4" w:space="0" w:color="000000"/>
              <w:left w:val="single" w:sz="12" w:space="0" w:color="000000"/>
              <w:bottom w:val="single" w:sz="12" w:space="0" w:color="000000"/>
            </w:tcBorders>
            <w:vAlign w:val="center"/>
          </w:tcPr>
          <w:p>
            <w:pPr>
              <w:jc w:val="right"/>
              <w:rPr>
                <w:szCs w:val="20"/>
              </w:rPr>
            </w:pPr>
            <w:r>
              <w:rPr>
                <w:szCs w:val="20"/>
              </w:rPr>
              <w:fldChar w:fldCharType="begin">
                <w:ffData>
                  <w:name w:val=""/>
                  <w:enabled/>
                  <w:calcOnExit/>
                  <w:textInput>
                    <w:type w:val="number"/>
                    <w:forma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trPr>
          <w:trHeight w:val="227"/>
        </w:trPr>
        <w:tc>
          <w:tcPr>
            <w:tcW w:w="4304" w:type="pct"/>
            <w:tcBorders>
              <w:top w:val="single" w:sz="12" w:space="0" w:color="000000"/>
              <w:bottom w:val="single" w:sz="12" w:space="0" w:color="000000"/>
              <w:right w:val="single" w:sz="12" w:space="0" w:color="000000"/>
            </w:tcBorders>
            <w:vAlign w:val="center"/>
          </w:tcPr>
          <w:p>
            <w:pPr>
              <w:pStyle w:val="Pouen"/>
              <w:keepNext/>
              <w:keepLines/>
              <w:numPr>
                <w:ilvl w:val="0"/>
                <w:numId w:val="51"/>
              </w:numPr>
              <w:spacing w:before="60"/>
              <w:ind w:left="357" w:hanging="357"/>
              <w:jc w:val="left"/>
            </w:pPr>
            <w:r>
              <w:rPr>
                <w:b/>
              </w:rPr>
              <w:lastRenderedPageBreak/>
              <w:t>Výpočet koeficientu pro stanovení výše uplatňovaných nákladů provozních zaměstnanců a nákladů na dopravu</w:t>
            </w:r>
            <w:r>
              <w:rPr>
                <w:b/>
                <w:vertAlign w:val="superscript"/>
              </w:rPr>
              <w:t>9, 10)</w:t>
            </w:r>
            <w:r>
              <w:rPr>
                <w:b/>
              </w:rPr>
              <w:t>:</w:t>
            </w:r>
          </w:p>
          <w:p>
            <w:pPr>
              <w:pStyle w:val="Pouen"/>
              <w:keepNext/>
              <w:keepLines/>
              <w:spacing w:before="0" w:after="60"/>
              <w:ind w:left="357"/>
              <w:rPr>
                <w:sz w:val="18"/>
                <w:szCs w:val="18"/>
              </w:rPr>
            </w:pPr>
            <w:r>
              <w:rPr>
                <w:sz w:val="18"/>
                <w:szCs w:val="18"/>
              </w:rPr>
              <w:t xml:space="preserve">Použije se pouze při přepočtu nákladů na provozní zaměstnance a nákladů na dopravu ve formuláři jmenný seznam zaměstnanců, který je součástí této žádosti. Neuplatňujete-li náklady na provozní zaměstnance ani náklady na dopravu, není potřeba tuto část žádosti vyplňovat. </w:t>
            </w:r>
          </w:p>
        </w:tc>
        <w:tc>
          <w:tcPr>
            <w:tcW w:w="696" w:type="pct"/>
            <w:tcBorders>
              <w:top w:val="single" w:sz="12" w:space="0" w:color="000000"/>
              <w:left w:val="single" w:sz="12" w:space="0" w:color="000000"/>
              <w:bottom w:val="single" w:sz="12" w:space="0" w:color="000000"/>
            </w:tcBorders>
            <w:vAlign w:val="center"/>
          </w:tcPr>
          <w:p>
            <w:pPr>
              <w:keepNext/>
              <w:keepLines/>
              <w:jc w:val="right"/>
              <w:rPr>
                <w:b/>
                <w:bCs/>
                <w:noProof/>
                <w:szCs w:val="20"/>
              </w:rPr>
            </w:pPr>
          </w:p>
        </w:tc>
      </w:tr>
      <w:tr>
        <w:trPr>
          <w:trHeight w:val="227"/>
        </w:trPr>
        <w:tc>
          <w:tcPr>
            <w:tcW w:w="4304" w:type="pct"/>
            <w:tcBorders>
              <w:top w:val="single" w:sz="12" w:space="0" w:color="000000"/>
              <w:bottom w:val="single" w:sz="4" w:space="0" w:color="auto"/>
              <w:right w:val="single" w:sz="12" w:space="0" w:color="000000"/>
            </w:tcBorders>
            <w:vAlign w:val="center"/>
          </w:tcPr>
          <w:p>
            <w:pPr>
              <w:pStyle w:val="NormalLeft0cm"/>
              <w:numPr>
                <w:ilvl w:val="0"/>
                <w:numId w:val="0"/>
              </w:numPr>
              <w:spacing w:before="60" w:after="60"/>
              <w:ind w:left="426"/>
              <w:rPr>
                <w:rFonts w:cs="Arial"/>
                <w:b/>
                <w:bCs w:val="0"/>
              </w:rPr>
            </w:pPr>
            <w:r>
              <w:rPr>
                <w:szCs w:val="24"/>
              </w:rPr>
              <w:t>2.1 Průměrný čtvrtletní přepočtený počet všech zaměstnanců:</w:t>
            </w:r>
          </w:p>
        </w:tc>
        <w:tc>
          <w:tcPr>
            <w:tcW w:w="696" w:type="pct"/>
            <w:tcBorders>
              <w:top w:val="single" w:sz="12" w:space="0" w:color="000000"/>
              <w:left w:val="single" w:sz="12" w:space="0" w:color="000000"/>
              <w:bottom w:val="single" w:sz="4" w:space="0" w:color="auto"/>
            </w:tcBorders>
            <w:vAlign w:val="center"/>
          </w:tcPr>
          <w:p>
            <w:pPr>
              <w:keepNext/>
              <w:keepLines/>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auto"/>
              <w:bottom w:val="single" w:sz="4" w:space="0" w:color="auto"/>
              <w:right w:val="single" w:sz="12" w:space="0" w:color="000000"/>
            </w:tcBorders>
            <w:vAlign w:val="center"/>
          </w:tcPr>
          <w:p>
            <w:pPr>
              <w:pStyle w:val="NormalLeft0cm"/>
              <w:numPr>
                <w:ilvl w:val="0"/>
                <w:numId w:val="0"/>
              </w:numPr>
              <w:spacing w:before="60" w:after="60"/>
              <w:ind w:left="426"/>
              <w:rPr>
                <w:rFonts w:cs="Arial"/>
                <w:b/>
                <w:bCs w:val="0"/>
              </w:rPr>
            </w:pPr>
            <w:r>
              <w:rPr>
                <w:szCs w:val="24"/>
              </w:rPr>
              <w:t>2.2 Průměrný čtvrtletní přepočtený počet zaměstnanců, kteří jsou OZP, na které se vztahuje zvýšení příspěvku:</w:t>
            </w:r>
          </w:p>
        </w:tc>
        <w:tc>
          <w:tcPr>
            <w:tcW w:w="696" w:type="pct"/>
            <w:tcBorders>
              <w:top w:val="single" w:sz="4" w:space="0" w:color="auto"/>
              <w:left w:val="single" w:sz="12" w:space="0" w:color="000000"/>
              <w:bottom w:val="single" w:sz="4" w:space="0" w:color="auto"/>
            </w:tcBorders>
            <w:vAlign w:val="center"/>
          </w:tcPr>
          <w:p>
            <w:pPr>
              <w:keepNext/>
              <w:keepLines/>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auto"/>
              <w:bottom w:val="single" w:sz="12" w:space="0" w:color="000000"/>
              <w:right w:val="single" w:sz="12" w:space="0" w:color="000000"/>
            </w:tcBorders>
            <w:vAlign w:val="center"/>
          </w:tcPr>
          <w:p>
            <w:pPr>
              <w:pStyle w:val="NormalLeft0cm"/>
              <w:numPr>
                <w:ilvl w:val="0"/>
                <w:numId w:val="0"/>
              </w:numPr>
              <w:spacing w:before="60" w:after="60"/>
              <w:ind w:left="426"/>
              <w:rPr>
                <w:rFonts w:cs="Arial"/>
              </w:rPr>
            </w:pPr>
            <w:r>
              <w:rPr>
                <w:rFonts w:cs="Arial"/>
                <w:bCs w:val="0"/>
              </w:rPr>
              <w:t>2.3</w:t>
            </w:r>
            <w:r>
              <w:rPr>
                <w:rFonts w:cs="Arial"/>
                <w:b/>
                <w:bCs w:val="0"/>
              </w:rPr>
              <w:t xml:space="preserve"> </w:t>
            </w:r>
            <w:r>
              <w:rPr>
                <w:szCs w:val="24"/>
              </w:rPr>
              <w:t xml:space="preserve">Koeficient pro stanovení výše uplatňovaných nákladů: </w:t>
            </w:r>
            <w:r>
              <w:rPr>
                <w:b/>
                <w:szCs w:val="24"/>
              </w:rPr>
              <w:t>podíl 2.2 ku 2.1:</w:t>
            </w:r>
            <w:r>
              <w:rPr>
                <w:szCs w:val="24"/>
              </w:rPr>
              <w:br/>
            </w:r>
            <w:r>
              <w:rPr>
                <w:rFonts w:cs="Arial"/>
                <w:b/>
                <w:bCs w:val="0"/>
                <w:sz w:val="18"/>
                <w:szCs w:val="18"/>
              </w:rPr>
              <w:t>výsledek se uvádí na 2 platná desetinná místa</w:t>
            </w:r>
          </w:p>
        </w:tc>
        <w:tc>
          <w:tcPr>
            <w:tcW w:w="696" w:type="pct"/>
            <w:tcBorders>
              <w:top w:val="single" w:sz="4" w:space="0" w:color="auto"/>
              <w:left w:val="single" w:sz="12" w:space="0" w:color="000000"/>
              <w:bottom w:val="single" w:sz="12" w:space="0" w:color="000000"/>
            </w:tcBorders>
            <w:vAlign w:val="center"/>
          </w:tcPr>
          <w:p>
            <w:pPr>
              <w:keepNext/>
              <w:keepLines/>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624"/>
        </w:trPr>
        <w:tc>
          <w:tcPr>
            <w:tcW w:w="4304" w:type="pct"/>
            <w:tcBorders>
              <w:top w:val="single" w:sz="12" w:space="0" w:color="000000"/>
              <w:bottom w:val="single" w:sz="12" w:space="0" w:color="000000"/>
              <w:right w:val="single" w:sz="12" w:space="0" w:color="000000"/>
            </w:tcBorders>
            <w:vAlign w:val="center"/>
          </w:tcPr>
          <w:p>
            <w:pPr>
              <w:pStyle w:val="NormalLeft0cm"/>
              <w:numPr>
                <w:ilvl w:val="0"/>
                <w:numId w:val="51"/>
              </w:numPr>
              <w:spacing w:before="60" w:after="0"/>
              <w:ind w:left="351" w:hanging="357"/>
              <w:rPr>
                <w:rFonts w:cs="Arial"/>
                <w:b/>
              </w:rPr>
            </w:pPr>
            <w:r>
              <w:rPr>
                <w:rFonts w:cs="Arial"/>
                <w:b/>
              </w:rPr>
              <w:t>Skutečně vynaložené náklady (po případném přepočtu</w:t>
            </w:r>
            <w:r>
              <w:rPr>
                <w:rFonts w:cs="Arial"/>
                <w:b/>
                <w:vertAlign w:val="superscript"/>
              </w:rPr>
              <w:t>8, 9, 10</w:t>
            </w:r>
            <w:r>
              <w:rPr>
                <w:rFonts w:cs="Arial"/>
                <w:b/>
              </w:rPr>
              <w:t>) rozhodné pro stanovení částky uplatňovaného příspěvku v Kč:</w:t>
            </w:r>
          </w:p>
          <w:p>
            <w:pPr>
              <w:pStyle w:val="NormalLeft0cm"/>
              <w:numPr>
                <w:ilvl w:val="0"/>
                <w:numId w:val="0"/>
              </w:numPr>
              <w:spacing w:before="0" w:after="60"/>
              <w:ind w:left="357"/>
              <w:rPr>
                <w:rFonts w:cs="Arial"/>
                <w:sz w:val="18"/>
                <w:szCs w:val="18"/>
              </w:rPr>
            </w:pPr>
            <w:r>
              <w:rPr>
                <w:rFonts w:cs="Arial"/>
                <w:sz w:val="18"/>
                <w:szCs w:val="18"/>
              </w:rPr>
              <w:t>jedná se o součet nákladů uvedený ve formuláři jmenný seznam zaměstnanců, který je součástí této žádosti. – 2. list, tabulka „Součet nákladů uplatňovaných v jednotlivých měsících (v Kč)“, sloupec „celkem“</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4" w:space="0" w:color="000000"/>
              <w:right w:val="single" w:sz="12" w:space="0" w:color="000000"/>
            </w:tcBorders>
            <w:vAlign w:val="center"/>
          </w:tcPr>
          <w:p>
            <w:pPr>
              <w:pStyle w:val="NormalLeft0cm"/>
              <w:numPr>
                <w:ilvl w:val="0"/>
                <w:numId w:val="0"/>
              </w:numPr>
              <w:spacing w:before="60" w:after="60"/>
              <w:ind w:left="360" w:firstLine="66"/>
              <w:rPr>
                <w:rFonts w:cs="Arial"/>
              </w:rPr>
            </w:pPr>
            <w:r>
              <w:rPr>
                <w:rFonts w:cs="Arial"/>
              </w:rPr>
              <w:t>3.1 Na zvýšené správní náklady</w:t>
            </w:r>
            <w:r>
              <w:rPr>
                <w:rFonts w:cs="Arial"/>
                <w:vertAlign w:val="superscript"/>
              </w:rPr>
              <w:t>7)</w:t>
            </w:r>
            <w:r>
              <w:rPr>
                <w:rFonts w:cs="Arial"/>
              </w:rPr>
              <w:t>:</w:t>
            </w:r>
          </w:p>
        </w:tc>
        <w:tc>
          <w:tcPr>
            <w:tcW w:w="696" w:type="pct"/>
            <w:tcBorders>
              <w:top w:val="single" w:sz="12" w:space="0" w:color="000000"/>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4" w:space="0" w:color="000000"/>
              <w:right w:val="single" w:sz="12" w:space="0" w:color="000000"/>
            </w:tcBorders>
            <w:vAlign w:val="center"/>
          </w:tcPr>
          <w:p>
            <w:pPr>
              <w:spacing w:before="60" w:after="60"/>
              <w:ind w:firstLine="426"/>
            </w:pPr>
            <w:r>
              <w:rPr>
                <w:rFonts w:cs="Arial"/>
              </w:rPr>
              <w:t>3.2 Na náklady provozních zaměstnanců a pracovních asistentů</w:t>
            </w:r>
            <w:r>
              <w:rPr>
                <w:rFonts w:cs="Arial"/>
                <w:vertAlign w:val="superscript"/>
              </w:rPr>
              <w:t>8, 9)</w:t>
            </w:r>
            <w:r>
              <w:rPr>
                <w:rFonts w:cs="Arial"/>
              </w:rPr>
              <w:t>:</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4" w:space="0" w:color="000000"/>
              <w:right w:val="single" w:sz="12" w:space="0" w:color="000000"/>
            </w:tcBorders>
            <w:vAlign w:val="center"/>
          </w:tcPr>
          <w:p>
            <w:pPr>
              <w:pStyle w:val="NormalLeft0cm"/>
              <w:numPr>
                <w:ilvl w:val="0"/>
                <w:numId w:val="0"/>
              </w:numPr>
              <w:spacing w:before="60" w:after="60"/>
              <w:ind w:left="360" w:firstLine="66"/>
              <w:rPr>
                <w:rFonts w:cs="Arial"/>
              </w:rPr>
            </w:pPr>
            <w:r>
              <w:rPr>
                <w:rFonts w:cs="Arial"/>
              </w:rPr>
              <w:t>3.3 Na náklady na dopravu</w:t>
            </w:r>
            <w:r>
              <w:rPr>
                <w:rFonts w:cs="Arial"/>
                <w:vertAlign w:val="superscript"/>
              </w:rPr>
              <w:t xml:space="preserve">10) </w:t>
            </w:r>
            <w:r>
              <w:rPr>
                <w:rFonts w:cs="Arial"/>
              </w:rPr>
              <w:t>:</w:t>
            </w:r>
          </w:p>
        </w:tc>
        <w:tc>
          <w:tcPr>
            <w:tcW w:w="696" w:type="pct"/>
            <w:tcBorders>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12" w:space="0" w:color="000000"/>
              <w:right w:val="single" w:sz="12" w:space="0" w:color="000000"/>
            </w:tcBorders>
            <w:vAlign w:val="center"/>
          </w:tcPr>
          <w:p>
            <w:pPr>
              <w:pStyle w:val="NormalLeft0cm"/>
              <w:numPr>
                <w:ilvl w:val="0"/>
                <w:numId w:val="0"/>
              </w:numPr>
              <w:spacing w:before="60" w:after="60"/>
              <w:ind w:left="360" w:firstLine="66"/>
              <w:rPr>
                <w:rFonts w:cs="Arial"/>
              </w:rPr>
            </w:pPr>
            <w:r>
              <w:rPr>
                <w:rFonts w:cs="Arial"/>
              </w:rPr>
              <w:t>3.4 Na náklady na přizpůsobení provozovny</w:t>
            </w:r>
            <w:r>
              <w:rPr>
                <w:rFonts w:cs="Arial"/>
                <w:vertAlign w:val="superscript"/>
              </w:rPr>
              <w:t>11)</w:t>
            </w:r>
            <w:r>
              <w:rPr>
                <w:rFonts w:cs="Arial"/>
              </w:rPr>
              <w:t>:</w:t>
            </w:r>
          </w:p>
        </w:tc>
        <w:tc>
          <w:tcPr>
            <w:tcW w:w="696" w:type="pct"/>
            <w:tcBorders>
              <w:top w:val="single" w:sz="4"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624"/>
        </w:trPr>
        <w:tc>
          <w:tcPr>
            <w:tcW w:w="4304" w:type="pct"/>
            <w:tcBorders>
              <w:top w:val="single" w:sz="12" w:space="0" w:color="000000"/>
              <w:bottom w:val="single" w:sz="12" w:space="0" w:color="000000"/>
              <w:right w:val="single" w:sz="12" w:space="0" w:color="000000"/>
            </w:tcBorders>
            <w:vAlign w:val="center"/>
          </w:tcPr>
          <w:p>
            <w:pPr>
              <w:pStyle w:val="NormalLeft0cm"/>
              <w:numPr>
                <w:ilvl w:val="0"/>
                <w:numId w:val="51"/>
              </w:numPr>
              <w:spacing w:before="60" w:after="0"/>
              <w:ind w:left="357" w:hanging="357"/>
              <w:rPr>
                <w:rFonts w:cs="Arial"/>
                <w:b/>
                <w:bCs w:val="0"/>
              </w:rPr>
            </w:pPr>
            <w:r>
              <w:rPr>
                <w:rFonts w:cs="Arial"/>
                <w:b/>
                <w:bCs w:val="0"/>
              </w:rPr>
              <w:t>Výše uplatňovaného zvýšení příspěvku celkem v Kč:</w:t>
            </w:r>
          </w:p>
          <w:p>
            <w:pPr>
              <w:pStyle w:val="NormalLeft0cm"/>
              <w:numPr>
                <w:ilvl w:val="0"/>
                <w:numId w:val="0"/>
              </w:numPr>
              <w:spacing w:before="0" w:after="0"/>
              <w:ind w:left="357"/>
              <w:rPr>
                <w:rFonts w:cs="Arial"/>
                <w:bCs w:val="0"/>
                <w:sz w:val="18"/>
                <w:szCs w:val="18"/>
                <w:lang w:val="en-US"/>
              </w:rPr>
            </w:pPr>
            <w:r>
              <w:rPr>
                <w:rFonts w:cs="Arial"/>
                <w:bCs w:val="0"/>
                <w:sz w:val="18"/>
                <w:szCs w:val="18"/>
              </w:rPr>
              <w:t>jedná se o částku uvedenou ve formuláři jmenný seznam zaměstnanců, který je součástí této žádosti – 2. list, tabulka „Nárok na zvýšení příspěvku celkem (v Kč)“, položka celkem; částka nemusí odpovídat skutečně vynaloženým nákladům</w:t>
            </w:r>
          </w:p>
        </w:tc>
        <w:tc>
          <w:tcPr>
            <w:tcW w:w="696" w:type="pct"/>
            <w:tcBorders>
              <w:top w:val="single" w:sz="12" w:space="0" w:color="000000"/>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bl>
    <w:p>
      <w:pPr>
        <w:pStyle w:val="Sekce"/>
        <w:numPr>
          <w:ilvl w:val="0"/>
          <w:numId w:val="0"/>
        </w:numPr>
        <w:spacing w:before="240"/>
        <w:ind w:left="360" w:hanging="360"/>
        <w:rPr>
          <w:b/>
        </w:rPr>
      </w:pPr>
      <w:r>
        <w:rPr>
          <w:b/>
        </w:rPr>
        <w:t xml:space="preserve">I. </w:t>
      </w:r>
      <w:r>
        <w:rPr>
          <w:b/>
        </w:rPr>
        <w:tab/>
        <w:t xml:space="preserve">Paušální částka příspěvku v Kč: </w:t>
      </w:r>
    </w:p>
    <w:p>
      <w:pPr>
        <w:pStyle w:val="Sekce"/>
        <w:numPr>
          <w:ilvl w:val="0"/>
          <w:numId w:val="0"/>
        </w:numPr>
        <w:spacing w:before="0"/>
        <w:ind w:left="284"/>
        <w:rPr>
          <w:rFonts w:cs="Arial"/>
          <w:bCs w:val="0"/>
        </w:rPr>
      </w:pPr>
      <w:r>
        <w:rPr>
          <w:rFonts w:cs="Arial"/>
          <w:bCs w:val="0"/>
        </w:rPr>
        <w:t>paušální částku 1 000 Kč měsíčně lze uplatnit na každou OZP, která je v daném měsíci u žadatele v pracovním poměru; jedná se o částku uvedenou ve formuláři jmenný seznam zaměstnanců, který je součástí této žádosti – 1. list, část „Výše uplatňovaného paušálu celkem“</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54"/>
      </w:tblGrid>
      <w:tr>
        <w:trPr>
          <w:trHeight w:val="340"/>
        </w:trPr>
        <w:tc>
          <w:tcPr>
            <w:tcW w:w="5000" w:type="pct"/>
            <w:tcBorders>
              <w:top w:val="single" w:sz="12" w:space="0" w:color="000000"/>
              <w:left w:val="single" w:sz="12" w:space="0" w:color="000000"/>
              <w:bottom w:val="single" w:sz="12" w:space="0" w:color="000000"/>
              <w:right w:val="single" w:sz="12" w:space="0" w:color="000000"/>
            </w:tcBorders>
            <w:vAlign w:val="center"/>
          </w:tcPr>
          <w:p>
            <w:pPr>
              <w:spacing w:before="60"/>
              <w:jc w:val="right"/>
              <w:rPr>
                <w:rFonts w:cs="Arial"/>
                <w:bCs/>
                <w:position w:val="-6"/>
                <w:szCs w:val="20"/>
              </w:rPr>
            </w:pPr>
            <w:r>
              <w:rPr>
                <w:b/>
                <w:bCs/>
                <w:szCs w:val="20"/>
              </w:rPr>
              <w:fldChar w:fldCharType="begin">
                <w:ffData>
                  <w:name w:val=""/>
                  <w:enabled/>
                  <w:calcOnExit/>
                  <w:textInput>
                    <w:type w:val="number"/>
                    <w:format w:val="0"/>
                  </w:textInput>
                </w:ffData>
              </w:fldChar>
            </w:r>
            <w:r>
              <w:rPr>
                <w:b/>
                <w:bCs/>
                <w:szCs w:val="20"/>
              </w:rPr>
              <w:instrText xml:space="preserve"> FORMTEXT </w:instrText>
            </w:r>
            <w:r>
              <w:rPr>
                <w:b/>
                <w:bCs/>
                <w:szCs w:val="20"/>
              </w:rPr>
            </w:r>
            <w:r>
              <w:rPr>
                <w:b/>
                <w:bCs/>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szCs w:val="20"/>
              </w:rPr>
              <w:fldChar w:fldCharType="end"/>
            </w:r>
          </w:p>
        </w:tc>
      </w:tr>
    </w:tbl>
    <w:p>
      <w:pPr>
        <w:pStyle w:val="Sekce"/>
        <w:numPr>
          <w:ilvl w:val="0"/>
          <w:numId w:val="63"/>
        </w:numPr>
        <w:spacing w:before="240"/>
        <w:ind w:left="284" w:hanging="284"/>
        <w:rPr>
          <w:b/>
        </w:rPr>
      </w:pPr>
      <w:r>
        <w:rPr>
          <w:b/>
        </w:rPr>
        <w:t xml:space="preserve">Celková částka příspěvku v Kč: </w:t>
      </w:r>
    </w:p>
    <w:p>
      <w:pPr>
        <w:pStyle w:val="Sekce"/>
        <w:numPr>
          <w:ilvl w:val="0"/>
          <w:numId w:val="0"/>
        </w:numPr>
        <w:spacing w:before="0"/>
        <w:ind w:left="284"/>
        <w:rPr>
          <w:b/>
        </w:rPr>
      </w:pPr>
      <w:r>
        <w:t>(součet částek uplatňovaného příspěvku z části G.2., z části H.4. a z části I. žádosti; uveďte celkovou částku zaokrouhlenou na celé koruny nahoru)</w:t>
      </w:r>
      <w:r>
        <w:rPr>
          <w:b/>
        </w:rPr>
        <w:t>:</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54"/>
      </w:tblGrid>
      <w:tr>
        <w:trPr>
          <w:trHeight w:val="340"/>
        </w:trPr>
        <w:tc>
          <w:tcPr>
            <w:tcW w:w="5000" w:type="pct"/>
            <w:tcBorders>
              <w:top w:val="single" w:sz="12" w:space="0" w:color="000000"/>
              <w:left w:val="single" w:sz="12" w:space="0" w:color="000000"/>
              <w:bottom w:val="single" w:sz="12" w:space="0" w:color="000000"/>
              <w:right w:val="single" w:sz="12" w:space="0" w:color="000000"/>
            </w:tcBorders>
            <w:vAlign w:val="center"/>
          </w:tcPr>
          <w:p>
            <w:pPr>
              <w:spacing w:before="60"/>
              <w:jc w:val="right"/>
              <w:rPr>
                <w:rFonts w:cs="Arial"/>
                <w:bCs/>
                <w:position w:val="-6"/>
                <w:szCs w:val="20"/>
              </w:rPr>
            </w:pPr>
            <w:r>
              <w:rPr>
                <w:b/>
                <w:bCs/>
                <w:szCs w:val="20"/>
              </w:rPr>
              <w:fldChar w:fldCharType="begin">
                <w:ffData>
                  <w:name w:val=""/>
                  <w:enabled/>
                  <w:calcOnExit/>
                  <w:textInput>
                    <w:type w:val="number"/>
                    <w:format w:val="0"/>
                  </w:textInput>
                </w:ffData>
              </w:fldChar>
            </w:r>
            <w:r>
              <w:rPr>
                <w:b/>
                <w:bCs/>
                <w:szCs w:val="20"/>
              </w:rPr>
              <w:instrText xml:space="preserve"> FORMTEXT </w:instrText>
            </w:r>
            <w:r>
              <w:rPr>
                <w:b/>
                <w:bCs/>
                <w:szCs w:val="20"/>
              </w:rPr>
            </w:r>
            <w:r>
              <w:rPr>
                <w:b/>
                <w:bCs/>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szCs w:val="20"/>
              </w:rPr>
              <w:fldChar w:fldCharType="end"/>
            </w:r>
          </w:p>
        </w:tc>
      </w:tr>
    </w:tbl>
    <w:p>
      <w:pPr>
        <w:pStyle w:val="Sekce"/>
        <w:numPr>
          <w:ilvl w:val="0"/>
          <w:numId w:val="0"/>
        </w:numPr>
        <w:spacing w:before="120"/>
        <w:ind w:left="360" w:hanging="360"/>
        <w:rPr>
          <w:b/>
          <w:bCs w:val="0"/>
        </w:rPr>
      </w:pPr>
      <w:r>
        <w:rPr>
          <w:b/>
          <w:bCs w:val="0"/>
        </w:rPr>
        <w:br w:type="page"/>
      </w:r>
      <w:r>
        <w:rPr>
          <w:b/>
          <w:bCs w:val="0"/>
        </w:rPr>
        <w:lastRenderedPageBreak/>
        <w:t>K. Prohlášení žadatele:</w:t>
      </w:r>
    </w:p>
    <w:p>
      <w:pPr>
        <w:numPr>
          <w:ilvl w:val="0"/>
          <w:numId w:val="54"/>
        </w:numPr>
        <w:ind w:left="284" w:hanging="284"/>
        <w:jc w:val="both"/>
      </w:pPr>
      <w:r>
        <w:rPr>
          <w:bCs/>
        </w:rPr>
        <w:t>Žadatel prohlašuje</w:t>
      </w:r>
      <w:r>
        <w:t>, že u zdravotních pojišťoven, které nejsou označeny v části N, nejsou pojištěni žádní zaměstnanci žadatele (ani žadatel-fyzická osoba) a rovněž u nich žadatel nemá nedoplatek na pojistném a na penále na veřejné zdravotní pojištění.</w:t>
      </w:r>
    </w:p>
    <w:p>
      <w:pPr>
        <w:ind w:left="284" w:hanging="284"/>
        <w:jc w:val="both"/>
      </w:pPr>
    </w:p>
    <w:p>
      <w:pPr>
        <w:numPr>
          <w:ilvl w:val="0"/>
          <w:numId w:val="54"/>
        </w:numPr>
        <w:ind w:left="284" w:hanging="284"/>
        <w:jc w:val="both"/>
      </w:pPr>
      <w:r>
        <w:t>Žadatel prohlašuje, že údaje uvedené v žádosti a ve všech formulářích, které jsou součástí této žádosti, jsou pravdivé a odpovídají skutečnosti ke dni podání této žádosti.</w:t>
      </w:r>
    </w:p>
    <w:p>
      <w:pPr>
        <w:ind w:left="284" w:hanging="284"/>
        <w:jc w:val="both"/>
      </w:pPr>
    </w:p>
    <w:p>
      <w:pPr>
        <w:numPr>
          <w:ilvl w:val="0"/>
          <w:numId w:val="54"/>
        </w:numPr>
        <w:ind w:left="284" w:hanging="284"/>
        <w:jc w:val="both"/>
      </w:pPr>
      <w:r>
        <w:t xml:space="preserve">Žadatel prohlašuje, že hrubá mzda za </w:t>
      </w:r>
      <w:r>
        <w:rPr>
          <w:color w:val="000000"/>
        </w:rPr>
        <w:t xml:space="preserve">jednotlivé měsíce daného čtvrtletí uvedená ve jmenném seznamu zaměstnanců a hrubá mzda pracovních asistentů či provozních zaměstnanců byla zaměstnancům zúčtována k výplatě a po zákonných srážkách </w:t>
      </w:r>
      <w:r>
        <w:t>vyplacena, a to nejpozději ke dni doručení této žádosti. Dále prohlašuje, že částka pojistného na sociální zabezpečení, příspěvku na státní politiku zaměstnanosti a pojistného na veřejné zdravotní pojištění, které žadatel za sebe odvádí z vyměřovacího základu zaměstnanců, byla nejpozději ke dni doručení této žádosti odvedena.</w:t>
      </w:r>
    </w:p>
    <w:p>
      <w:pPr>
        <w:ind w:left="284" w:hanging="284"/>
        <w:jc w:val="both"/>
      </w:pPr>
    </w:p>
    <w:p>
      <w:pPr>
        <w:numPr>
          <w:ilvl w:val="0"/>
          <w:numId w:val="54"/>
        </w:numPr>
        <w:ind w:left="284" w:hanging="284"/>
        <w:jc w:val="both"/>
      </w:pPr>
      <w:r>
        <w:t>Žadatel prohlašuje, že zaměstnanci, na které požaduje poskytnutí příspěvku, souhlasí s provedením kontroly v místě výkonu práce, pokud nemají v pracovní smlouvě sjednáno místo výkonu práce na pracovišti žadatele (tzv. domácí zaměstnanci).</w:t>
      </w:r>
    </w:p>
    <w:p>
      <w:pPr>
        <w:jc w:val="both"/>
      </w:pPr>
    </w:p>
    <w:p>
      <w:pPr>
        <w:numPr>
          <w:ilvl w:val="0"/>
          <w:numId w:val="54"/>
        </w:numPr>
        <w:ind w:left="284" w:hanging="284"/>
        <w:jc w:val="both"/>
      </w:pPr>
      <w:r>
        <w:t>Žadatel prohlašuje, že v průběhu vykazovaného čtvrtletí:</w:t>
      </w:r>
    </w:p>
    <w:p>
      <w:pPr>
        <w:pStyle w:val="Zkladntextodsazen2"/>
        <w:ind w:left="624" w:hanging="340"/>
      </w:pPr>
      <w:r>
        <w:t xml:space="preserve">5.1 mu nebyl Úřadem práce ČR poskytnut na zaměstnance uvedeného v přiloženém jmenném seznamu příspěvek, jehož výše se stanoví na základě skutečně vyplacených mzdových nákladů na zaměstnance, včetně pojistného na sociální zabezpečení a příspěvku na státní politiku zaměstnanosti a pojistného na veřejné zdravotní pojištění, které žadatel za sebe odvedl z vyměřovacího základu tohoto zaměstnance, nebo příspěvek při přechodu na nový podnikatelský program. </w:t>
      </w:r>
    </w:p>
    <w:p>
      <w:pPr>
        <w:pStyle w:val="Zkladntextodsazen2"/>
        <w:ind w:left="284" w:firstLine="0"/>
      </w:pPr>
      <w:r>
        <w:t>5.2 nebyl žádný zaměstnanec, na kterého požaduje příspěvek, poživatelem starobního důchodu.</w:t>
      </w:r>
    </w:p>
    <w:p>
      <w:pPr>
        <w:pStyle w:val="Zkladntextodsazen2"/>
        <w:ind w:left="624" w:hanging="340"/>
      </w:pPr>
      <w:r>
        <w:t>5.3 nebyl na OZP, na niž je požadován příspěvek, poskytován příspěvek na úhradu provozních nákladů vynaložených v souvislosti se zaměstnáváním OZP dle § 76 zákona o zaměstnanosti.</w:t>
      </w:r>
    </w:p>
    <w:p>
      <w:pPr>
        <w:pStyle w:val="Zkladntextodsazen2"/>
        <w:ind w:left="624" w:hanging="340"/>
      </w:pPr>
      <w:r>
        <w:t>5.4 nebyl žádný zaměstnanec, na kterého požaduje příspěvek, dočasně přidělen k výkonu práce k uživateli.</w:t>
      </w:r>
    </w:p>
    <w:p>
      <w:pPr>
        <w:pStyle w:val="Zkladntextodsazen2"/>
        <w:ind w:left="284" w:hanging="284"/>
      </w:pPr>
    </w:p>
    <w:p>
      <w:pPr>
        <w:numPr>
          <w:ilvl w:val="0"/>
          <w:numId w:val="54"/>
        </w:numPr>
        <w:spacing w:before="80"/>
        <w:ind w:left="284" w:hanging="284"/>
        <w:jc w:val="both"/>
        <w:rPr>
          <w:color w:val="000000"/>
        </w:rPr>
      </w:pPr>
      <w:r>
        <w:rPr>
          <w:bCs/>
          <w:szCs w:val="20"/>
        </w:rPr>
        <w:t>Žadatel v</w:t>
      </w:r>
      <w:r>
        <w:rPr>
          <w:szCs w:val="20"/>
        </w:rPr>
        <w:t xml:space="preserve"> případě poskytnutí příspěvku souhlasí se zveřejněním identifikačních údajů: u právnické osoby název, IČO, sídlo; u fyzické osoby jméno, příjmení, IČO, bydliště a údaje o výši příspěvku </w:t>
      </w:r>
      <w:r>
        <w:rPr>
          <w:rStyle w:val="FontStyle19"/>
          <w:sz w:val="20"/>
          <w:szCs w:val="20"/>
        </w:rPr>
        <w:t>v informačních systémech týkajících se příjemců příspěvku</w:t>
      </w:r>
      <w:r>
        <w:t>.</w:t>
      </w:r>
    </w:p>
    <w:p>
      <w:pPr>
        <w:spacing w:before="80"/>
        <w:ind w:left="720"/>
        <w:jc w:val="both"/>
        <w:rPr>
          <w:color w:val="000000"/>
        </w:rPr>
      </w:pPr>
    </w:p>
    <w:p>
      <w:pPr>
        <w:spacing w:before="80"/>
        <w:ind w:left="720"/>
        <w:jc w:val="both"/>
        <w:rPr>
          <w:color w:val="000000"/>
        </w:rPr>
      </w:pPr>
    </w:p>
    <w:p>
      <w:pPr>
        <w:pStyle w:val="Textbubliny"/>
        <w:ind w:left="709"/>
        <w:jc w:val="both"/>
      </w:pPr>
    </w:p>
    <w:tbl>
      <w:tblPr>
        <w:tblW w:w="5000" w:type="pct"/>
        <w:tblLook w:val="01E0" w:firstRow="1" w:lastRow="1" w:firstColumn="1" w:lastColumn="1" w:noHBand="0" w:noVBand="0"/>
      </w:tblPr>
      <w:tblGrid>
        <w:gridCol w:w="356"/>
        <w:gridCol w:w="2242"/>
        <w:gridCol w:w="160"/>
        <w:gridCol w:w="550"/>
        <w:gridCol w:w="1567"/>
        <w:gridCol w:w="233"/>
        <w:gridCol w:w="4746"/>
      </w:tblGrid>
      <w:tr>
        <w:trPr>
          <w:cantSplit/>
          <w:trHeight w:hRule="exact" w:val="413"/>
        </w:trPr>
        <w:tc>
          <w:tcPr>
            <w:tcW w:w="181" w:type="pct"/>
            <w:tcBorders>
              <w:bottom w:val="single" w:sz="12" w:space="0" w:color="auto"/>
            </w:tcBorders>
            <w:vAlign w:val="center"/>
          </w:tcPr>
          <w:p>
            <w:pPr>
              <w:rPr>
                <w:sz w:val="22"/>
                <w:szCs w:val="20"/>
              </w:rPr>
            </w:pPr>
          </w:p>
        </w:tc>
        <w:tc>
          <w:tcPr>
            <w:tcW w:w="1138" w:type="pct"/>
            <w:tcBorders>
              <w:bottom w:val="single" w:sz="12" w:space="0" w:color="auto"/>
            </w:tcBorders>
            <w:vAlign w:val="center"/>
          </w:tcPr>
          <w:p>
            <w:pPr>
              <w:rPr>
                <w:sz w:val="22"/>
                <w:szCs w:val="20"/>
              </w:rPr>
            </w:pPr>
          </w:p>
        </w:tc>
        <w:tc>
          <w:tcPr>
            <w:tcW w:w="360" w:type="pct"/>
            <w:gridSpan w:val="2"/>
            <w:tcBorders>
              <w:bottom w:val="single" w:sz="12" w:space="0" w:color="auto"/>
            </w:tcBorders>
            <w:vAlign w:val="center"/>
          </w:tcPr>
          <w:p>
            <w:pPr>
              <w:rPr>
                <w:sz w:val="22"/>
                <w:szCs w:val="20"/>
              </w:rPr>
            </w:pPr>
          </w:p>
        </w:tc>
        <w:tc>
          <w:tcPr>
            <w:tcW w:w="795" w:type="pct"/>
            <w:tcBorders>
              <w:bottom w:val="single" w:sz="12" w:space="0" w:color="auto"/>
            </w:tcBorders>
            <w:vAlign w:val="center"/>
          </w:tcPr>
          <w:p>
            <w:pPr>
              <w:rPr>
                <w:szCs w:val="20"/>
              </w:rPr>
            </w:pPr>
          </w:p>
        </w:tc>
        <w:tc>
          <w:tcPr>
            <w:tcW w:w="118" w:type="pct"/>
            <w:tcBorders>
              <w:left w:val="nil"/>
              <w:right w:val="single" w:sz="12" w:space="0" w:color="auto"/>
            </w:tcBorders>
          </w:tcPr>
          <w:p>
            <w:pPr>
              <w:rPr>
                <w:szCs w:val="20"/>
              </w:rPr>
            </w:pPr>
          </w:p>
        </w:tc>
        <w:tc>
          <w:tcPr>
            <w:tcW w:w="2408" w:type="pct"/>
            <w:vMerge w:val="restart"/>
            <w:tcBorders>
              <w:top w:val="single" w:sz="12" w:space="0" w:color="auto"/>
              <w:left w:val="single" w:sz="12" w:space="0" w:color="auto"/>
              <w:right w:val="single" w:sz="12" w:space="0" w:color="auto"/>
            </w:tcBorders>
            <w:vAlign w:val="bottom"/>
          </w:tcPr>
          <w:p>
            <w:pPr>
              <w:jc w:val="center"/>
              <w:rPr>
                <w:b/>
                <w:bCs/>
                <w:szCs w:val="20"/>
                <w:highlight w:val="lightGray"/>
              </w:rPr>
            </w:pPr>
          </w:p>
          <w:p>
            <w:pPr>
              <w:jc w:val="center"/>
              <w:rPr>
                <w:b/>
                <w:bCs/>
                <w:szCs w:val="20"/>
                <w:highlight w:val="lightGray"/>
              </w:rPr>
            </w:pPr>
          </w:p>
          <w:p>
            <w:pPr>
              <w:jc w:val="center"/>
              <w:rPr>
                <w:b/>
                <w:bCs/>
                <w:szCs w:val="20"/>
                <w:highlight w:val="lightGray"/>
              </w:rPr>
            </w:pPr>
          </w:p>
          <w:p>
            <w:pPr>
              <w:jc w:val="center"/>
              <w:rPr>
                <w:b/>
                <w:bCs/>
                <w:szCs w:val="20"/>
                <w:highlight w:val="lightGray"/>
              </w:rPr>
            </w:pPr>
          </w:p>
          <w:p>
            <w:pPr>
              <w:jc w:val="center"/>
              <w:rPr>
                <w:b/>
                <w:bCs/>
                <w:szCs w:val="20"/>
                <w:highlight w:val="lightGray"/>
              </w:rPr>
            </w:pPr>
          </w:p>
          <w:p>
            <w:pPr>
              <w:rPr>
                <w:b/>
                <w:bCs/>
                <w:szCs w:val="20"/>
              </w:rPr>
            </w:pPr>
          </w:p>
          <w:p>
            <w:pPr>
              <w:rPr>
                <w:b/>
                <w:bCs/>
                <w:szCs w:val="20"/>
              </w:rPr>
            </w:pPr>
          </w:p>
          <w:p>
            <w:pPr>
              <w:jc w:val="center"/>
              <w:rPr>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cantSplit/>
          <w:trHeight w:val="476"/>
        </w:trPr>
        <w:tc>
          <w:tcPr>
            <w:tcW w:w="181" w:type="pct"/>
            <w:tcBorders>
              <w:top w:val="single" w:sz="12" w:space="0" w:color="auto"/>
              <w:left w:val="single" w:sz="12" w:space="0" w:color="auto"/>
              <w:bottom w:val="single" w:sz="12" w:space="0" w:color="auto"/>
            </w:tcBorders>
            <w:vAlign w:val="center"/>
          </w:tcPr>
          <w:p>
            <w:pPr>
              <w:rPr>
                <w:szCs w:val="20"/>
              </w:rPr>
            </w:pPr>
          </w:p>
          <w:p>
            <w:pPr>
              <w:rPr>
                <w:szCs w:val="20"/>
              </w:rPr>
            </w:pPr>
            <w:r>
              <w:rPr>
                <w:szCs w:val="20"/>
              </w:rPr>
              <w:t>V</w:t>
            </w:r>
          </w:p>
        </w:tc>
        <w:tc>
          <w:tcPr>
            <w:tcW w:w="1219" w:type="pct"/>
            <w:gridSpan w:val="2"/>
            <w:tcBorders>
              <w:top w:val="single" w:sz="12" w:space="0" w:color="auto"/>
              <w:bottom w:val="single" w:sz="12" w:space="0" w:color="auto"/>
            </w:tcBorders>
            <w:vAlign w:val="center"/>
          </w:tcPr>
          <w:p>
            <w:pPr>
              <w:rPr>
                <w:b/>
                <w:bCs/>
                <w:sz w:val="22"/>
                <w:szCs w:val="20"/>
              </w:rPr>
            </w:pPr>
          </w:p>
          <w:p>
            <w:pPr>
              <w:rPr>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 w:type="pct"/>
            <w:tcBorders>
              <w:top w:val="single" w:sz="12" w:space="0" w:color="auto"/>
              <w:bottom w:val="single" w:sz="12" w:space="0" w:color="auto"/>
            </w:tcBorders>
            <w:vAlign w:val="center"/>
          </w:tcPr>
          <w:p>
            <w:pPr>
              <w:rPr>
                <w:szCs w:val="20"/>
              </w:rPr>
            </w:pPr>
          </w:p>
          <w:p>
            <w:pPr>
              <w:rPr>
                <w:szCs w:val="20"/>
              </w:rPr>
            </w:pPr>
            <w:r>
              <w:rPr>
                <w:szCs w:val="20"/>
              </w:rPr>
              <w:t>dne</w:t>
            </w:r>
          </w:p>
        </w:tc>
        <w:tc>
          <w:tcPr>
            <w:tcW w:w="795" w:type="pct"/>
            <w:tcBorders>
              <w:top w:val="single" w:sz="12" w:space="0" w:color="auto"/>
              <w:bottom w:val="single" w:sz="12" w:space="0" w:color="auto"/>
              <w:right w:val="single" w:sz="12" w:space="0" w:color="auto"/>
            </w:tcBorders>
            <w:vAlign w:val="center"/>
          </w:tcPr>
          <w:p>
            <w:pPr>
              <w:rPr>
                <w:b/>
                <w:bCs/>
                <w:szCs w:val="20"/>
              </w:rPr>
            </w:pPr>
          </w:p>
          <w:p>
            <w:pPr>
              <w:rPr>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8" w:type="pct"/>
            <w:tcBorders>
              <w:left w:val="single" w:sz="12" w:space="0" w:color="auto"/>
              <w:right w:val="single" w:sz="12" w:space="0" w:color="auto"/>
            </w:tcBorders>
            <w:vAlign w:val="center"/>
          </w:tcPr>
          <w:p>
            <w:pPr>
              <w:rPr>
                <w:szCs w:val="20"/>
              </w:rPr>
            </w:pPr>
          </w:p>
        </w:tc>
        <w:tc>
          <w:tcPr>
            <w:tcW w:w="2408" w:type="pct"/>
            <w:vMerge/>
            <w:tcBorders>
              <w:left w:val="single" w:sz="12" w:space="0" w:color="auto"/>
              <w:right w:val="single" w:sz="12" w:space="0" w:color="auto"/>
            </w:tcBorders>
            <w:vAlign w:val="center"/>
          </w:tcPr>
          <w:p>
            <w:pPr>
              <w:rPr>
                <w:szCs w:val="20"/>
              </w:rPr>
            </w:pPr>
          </w:p>
        </w:tc>
      </w:tr>
      <w:tr>
        <w:trPr>
          <w:gridBefore w:val="2"/>
          <w:wBefore w:w="1319" w:type="pct"/>
          <w:trHeight w:val="570"/>
        </w:trPr>
        <w:tc>
          <w:tcPr>
            <w:tcW w:w="360" w:type="pct"/>
            <w:gridSpan w:val="2"/>
            <w:tcBorders>
              <w:bottom w:val="nil"/>
            </w:tcBorders>
          </w:tcPr>
          <w:p>
            <w:pPr>
              <w:rPr>
                <w:szCs w:val="20"/>
              </w:rPr>
            </w:pPr>
          </w:p>
        </w:tc>
        <w:tc>
          <w:tcPr>
            <w:tcW w:w="795" w:type="pct"/>
            <w:tcBorders>
              <w:bottom w:val="nil"/>
            </w:tcBorders>
          </w:tcPr>
          <w:p>
            <w:pPr>
              <w:pStyle w:val="Textpoznpodarou"/>
            </w:pPr>
          </w:p>
        </w:tc>
        <w:tc>
          <w:tcPr>
            <w:tcW w:w="118" w:type="pct"/>
            <w:tcBorders>
              <w:bottom w:val="nil"/>
              <w:right w:val="single" w:sz="12" w:space="0" w:color="auto"/>
            </w:tcBorders>
          </w:tcPr>
          <w:p>
            <w:pPr>
              <w:rPr>
                <w:szCs w:val="20"/>
              </w:rPr>
            </w:pPr>
          </w:p>
        </w:tc>
        <w:tc>
          <w:tcPr>
            <w:tcW w:w="2408" w:type="pct"/>
            <w:tcBorders>
              <w:left w:val="single" w:sz="12" w:space="0" w:color="auto"/>
              <w:bottom w:val="single" w:sz="12" w:space="0" w:color="auto"/>
              <w:right w:val="single" w:sz="12" w:space="0" w:color="auto"/>
            </w:tcBorders>
          </w:tcPr>
          <w:p>
            <w:pPr>
              <w:jc w:val="center"/>
              <w:rPr>
                <w:sz w:val="16"/>
                <w:szCs w:val="16"/>
              </w:rPr>
            </w:pPr>
            <w:r>
              <w:rPr>
                <w:sz w:val="16"/>
                <w:szCs w:val="16"/>
              </w:rPr>
              <w:t>Jméno, příjmení, funkce a podpis oprávněné osoby</w:t>
            </w:r>
            <w:r>
              <w:rPr>
                <w:sz w:val="16"/>
                <w:szCs w:val="16"/>
              </w:rPr>
              <w:br/>
              <w:t>(otisk razítka)</w:t>
            </w:r>
          </w:p>
          <w:p>
            <w:pPr>
              <w:rPr>
                <w:szCs w:val="20"/>
              </w:rPr>
            </w:pPr>
          </w:p>
        </w:tc>
      </w:tr>
    </w:tbl>
    <w:p>
      <w:pPr>
        <w:pStyle w:val="Pouen"/>
      </w:pPr>
    </w:p>
    <w:p>
      <w:pPr>
        <w:pStyle w:val="Pouen"/>
      </w:pPr>
    </w:p>
    <w:p>
      <w:pPr>
        <w:tabs>
          <w:tab w:val="left" w:pos="284"/>
          <w:tab w:val="left" w:pos="1440"/>
          <w:tab w:val="left" w:pos="2268"/>
        </w:tabs>
        <w:rPr>
          <w:b/>
          <w:szCs w:val="20"/>
        </w:rPr>
      </w:pPr>
      <w:r>
        <w:br w:type="page"/>
      </w:r>
      <w:r>
        <w:rPr>
          <w:b/>
          <w:bCs/>
          <w:szCs w:val="20"/>
        </w:rPr>
        <w:lastRenderedPageBreak/>
        <w:t xml:space="preserve">Žadatel </w:t>
      </w:r>
      <w:r>
        <w:rPr>
          <w:bCs/>
          <w:szCs w:val="20"/>
        </w:rPr>
        <w:t>(název žadatele)</w:t>
      </w:r>
      <w:r>
        <w:rPr>
          <w:b/>
        </w:rPr>
        <w:t>:</w:t>
      </w:r>
      <w: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pPr>
        <w:tabs>
          <w:tab w:val="left" w:pos="284"/>
          <w:tab w:val="left" w:pos="1440"/>
          <w:tab w:val="left" w:pos="2268"/>
        </w:tabs>
        <w:rPr>
          <w:b/>
          <w:szCs w:val="20"/>
        </w:rPr>
      </w:pPr>
      <w:r>
        <w:rPr>
          <w:szCs w:val="20"/>
        </w:rPr>
        <w:t>IČO:</w:t>
      </w:r>
      <w:r>
        <w:rPr>
          <w:b/>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pPr>
        <w:tabs>
          <w:tab w:val="left" w:pos="284"/>
          <w:tab w:val="left" w:pos="1440"/>
          <w:tab w:val="left" w:pos="2268"/>
        </w:tabs>
      </w:pPr>
      <w:r>
        <w:rPr>
          <w:szCs w:val="20"/>
        </w:rPr>
        <w:t>RČ (u FO):</w:t>
      </w:r>
      <w:r>
        <w:rPr>
          <w:b/>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pPr>
        <w:tabs>
          <w:tab w:val="left" w:pos="284"/>
          <w:tab w:val="left" w:pos="1440"/>
          <w:tab w:val="left" w:pos="2268"/>
        </w:tabs>
      </w:pPr>
    </w:p>
    <w:p>
      <w:pPr>
        <w:tabs>
          <w:tab w:val="left" w:pos="284"/>
          <w:tab w:val="left" w:pos="1440"/>
          <w:tab w:val="left" w:pos="2268"/>
        </w:tabs>
      </w:pPr>
      <w:r>
        <w:rPr>
          <w:b/>
        </w:rPr>
        <w:t xml:space="preserve">L.1  </w:t>
      </w:r>
      <w:sdt>
        <w:sdtPr>
          <w:rPr>
            <w:b/>
          </w:rPr>
          <w:id w:val="-183760460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bCs/>
          <w:szCs w:val="20"/>
        </w:rPr>
        <w:t xml:space="preserve"> NE</w:t>
      </w:r>
      <w:r>
        <w:rPr>
          <w:b/>
        </w:rPr>
        <w:t>ŽÁDÁ</w:t>
      </w:r>
      <w:r>
        <w:rPr>
          <w:rFonts w:cs="Arial"/>
          <w:b/>
          <w:szCs w:val="20"/>
        </w:rPr>
        <w:tab/>
      </w:r>
      <w:sdt>
        <w:sdtPr>
          <w:rPr>
            <w:rFonts w:cs="Arial"/>
            <w:b/>
            <w:szCs w:val="20"/>
          </w:rPr>
          <w:id w:val="1478027901"/>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r>
        <w:rPr>
          <w:rFonts w:cs="Arial"/>
          <w:b/>
          <w:szCs w:val="20"/>
        </w:rPr>
        <w:t xml:space="preserve"> </w:t>
      </w:r>
      <w:r>
        <w:rPr>
          <w:b/>
        </w:rPr>
        <w:t xml:space="preserve">ŽÁDÁ, </w:t>
      </w:r>
      <w:r>
        <w:t>aby Úřad práce ČR podle § 147b zákona o zaměstnanosti sám zjistil, zda nemá žadatel zachyceny v evidenci daní daňové nedoplatky u finančního úřadu a zprošťuje ho za tímto účelem povinnosti mlčenlivosti. Při zjištění nedoplatku souhlasí s uvedením výše nedoplatku.</w:t>
      </w:r>
    </w:p>
    <w:p>
      <w:pPr>
        <w:tabs>
          <w:tab w:val="left" w:pos="284"/>
          <w:tab w:val="left" w:pos="1440"/>
          <w:tab w:val="left" w:pos="2268"/>
        </w:tabs>
      </w:pPr>
    </w:p>
    <w:p>
      <w:pPr>
        <w:tabs>
          <w:tab w:val="left" w:pos="284"/>
          <w:tab w:val="left" w:pos="1440"/>
          <w:tab w:val="left" w:pos="2268"/>
        </w:tabs>
      </w:pPr>
      <w:r>
        <w:rPr>
          <w:b/>
        </w:rPr>
        <w:t xml:space="preserve">L.2 </w:t>
      </w:r>
      <w:sdt>
        <w:sdtPr>
          <w:rPr>
            <w:b/>
          </w:rPr>
          <w:id w:val="213652337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bCs/>
          <w:szCs w:val="20"/>
        </w:rPr>
        <w:t xml:space="preserve"> NE</w:t>
      </w:r>
      <w:r>
        <w:rPr>
          <w:b/>
        </w:rPr>
        <w:t>ŽÁDÁ</w:t>
      </w:r>
      <w:r>
        <w:rPr>
          <w:b/>
        </w:rPr>
        <w:tab/>
      </w:r>
      <w:r>
        <w:rPr>
          <w:rFonts w:cs="Arial"/>
          <w:b/>
          <w:szCs w:val="20"/>
        </w:rPr>
        <w:tab/>
      </w:r>
      <w:sdt>
        <w:sdtPr>
          <w:rPr>
            <w:rFonts w:cs="Arial"/>
            <w:b/>
            <w:szCs w:val="20"/>
          </w:rPr>
          <w:id w:val="842437107"/>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r>
        <w:rPr>
          <w:rFonts w:cs="Arial"/>
          <w:b/>
          <w:szCs w:val="20"/>
        </w:rPr>
        <w:t xml:space="preserve"> </w:t>
      </w:r>
      <w:r>
        <w:rPr>
          <w:b/>
        </w:rPr>
        <w:t xml:space="preserve">ŽÁDÁ, </w:t>
      </w:r>
      <w:r>
        <w:t>aby Úřad práce ČR podle § 147b zákona o zaměstnanosti sám zjistil, zda nemá žadatel zachyceny v evidenci daní daňové nedoplatky u celního úřadu a zprošťuje ho za tímto účelem povinnosti mlčenlivosti. Při zjištění nedoplatku souhlasí s uvedením výše nedoplatku.</w:t>
      </w:r>
    </w:p>
    <w:p/>
    <w:p>
      <w:pPr>
        <w:tabs>
          <w:tab w:val="left" w:pos="284"/>
          <w:tab w:val="left" w:pos="2268"/>
        </w:tabs>
      </w:pPr>
      <w:r>
        <w:rPr>
          <w:b/>
        </w:rPr>
        <w:t>M.</w:t>
      </w:r>
      <w:r>
        <w:tab/>
      </w:r>
      <w:sdt>
        <w:sdtPr>
          <w:id w:val="-1340539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bCs/>
          <w:szCs w:val="20"/>
        </w:rPr>
        <w:t>NE</w:t>
      </w:r>
      <w:r>
        <w:rPr>
          <w:b/>
        </w:rPr>
        <w:t>ŽÁDÁ</w:t>
      </w:r>
      <w:r>
        <w:rPr>
          <w:b/>
        </w:rPr>
        <w:tab/>
      </w:r>
      <w:sdt>
        <w:sdtPr>
          <w:rPr>
            <w:b/>
          </w:rPr>
          <w:id w:val="200632372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ŽÁDÁ, </w:t>
      </w:r>
      <w:r>
        <w:t>aby Úřad práce ČR podle § 147b zákona o zaměstnanosti sám zjistil, zda nemá žadatel zachyceny nedoplatky na pojistném a na penále na sociálním zabezpečení a příspěvku na státní politiku zaměstnanosti a zprošťuje ho za tímto účelem povinnosti mlčenlivosti. Při zjištění nedoplatku souhlasí s uvedením výše nedoplatku.</w:t>
      </w:r>
    </w:p>
    <w:p/>
    <w:p>
      <w:pPr>
        <w:tabs>
          <w:tab w:val="left" w:pos="284"/>
          <w:tab w:val="left" w:pos="2268"/>
        </w:tabs>
        <w:rPr>
          <w:b/>
        </w:rPr>
      </w:pPr>
      <w:r>
        <w:rPr>
          <w:b/>
        </w:rPr>
        <w:t>N.</w:t>
      </w:r>
      <w:r>
        <w:rPr>
          <w:b/>
        </w:rPr>
        <w:tab/>
      </w:r>
      <w:sdt>
        <w:sdtPr>
          <w:rPr>
            <w:b/>
          </w:rPr>
          <w:id w:val="75686439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bCs/>
          <w:szCs w:val="20"/>
        </w:rPr>
        <w:t xml:space="preserve"> NE</w:t>
      </w:r>
      <w:r>
        <w:rPr>
          <w:b/>
        </w:rPr>
        <w:t>ŽÁDÁ</w:t>
      </w:r>
      <w:r>
        <w:rPr>
          <w:rFonts w:cs="Arial"/>
          <w:b/>
          <w:szCs w:val="20"/>
        </w:rPr>
        <w:tab/>
      </w:r>
      <w:sdt>
        <w:sdtPr>
          <w:rPr>
            <w:rFonts w:cs="Arial"/>
            <w:b/>
            <w:szCs w:val="20"/>
          </w:rPr>
          <w:id w:val="503479561"/>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r>
        <w:rPr>
          <w:rFonts w:cs="Arial"/>
          <w:b/>
          <w:szCs w:val="20"/>
        </w:rPr>
        <w:t xml:space="preserve"> </w:t>
      </w:r>
      <w:r>
        <w:rPr>
          <w:b/>
        </w:rPr>
        <w:t xml:space="preserve">ŽÁDÁ, </w:t>
      </w:r>
      <w:r>
        <w:t>aby Úřad práce ČR podle § 147b zákona o zaměstnanosti sám zjistil, zda nemá žadatel zachyceny nedoplatky na pojistném a na penále na veřejné zdravotní pojištění a zprošťuje ho za tímto účelem povinnosti mlčenlivosti. Při zjištění nedoplatku souhlasí s uvedením výše nedoplatku.</w:t>
      </w:r>
    </w:p>
    <w:p/>
    <w:p>
      <w:pPr>
        <w:pStyle w:val="Sekce"/>
        <w:numPr>
          <w:ilvl w:val="0"/>
          <w:numId w:val="0"/>
        </w:numPr>
        <w:spacing w:before="0" w:after="0"/>
        <w:rPr>
          <w:bCs w:val="0"/>
        </w:rPr>
      </w:pPr>
      <w:r>
        <w:rPr>
          <w:bCs w:val="0"/>
        </w:rPr>
        <w:t>V seznamu zdravotních pojišťoven bude zaškrtnuto pole „ano“ a vyplněno územní pracoviště u těch zdravotních pojišťoven, u kterých jsou pojištěni zaměstnanci žadatele:</w:t>
      </w:r>
    </w:p>
    <w:p>
      <w:pPr>
        <w:pStyle w:val="Sekce"/>
        <w:numPr>
          <w:ilvl w:val="0"/>
          <w:numId w:val="0"/>
        </w:numPr>
        <w:spacing w:before="0" w:after="0"/>
      </w:pPr>
      <w:r>
        <w:t>(žadatel-fyzická osoba uvede i zdravotní pojišťovnu, u které je sám pojištěn)</w:t>
      </w:r>
    </w:p>
    <w:p>
      <w:pPr>
        <w:pStyle w:val="Sekce"/>
        <w:numPr>
          <w:ilvl w:val="0"/>
          <w:numId w:val="0"/>
        </w:numPr>
        <w:spacing w:before="0" w:after="0"/>
      </w:pPr>
    </w:p>
    <w:tbl>
      <w:tblPr>
        <w:tblStyle w:val="Mkatabulky"/>
        <w:tblW w:w="9923" w:type="dxa"/>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3"/>
        <w:gridCol w:w="4756"/>
        <w:gridCol w:w="1417"/>
        <w:gridCol w:w="2977"/>
      </w:tblGrid>
      <w:tr>
        <w:trPr>
          <w:trHeight w:val="454"/>
        </w:trPr>
        <w:tc>
          <w:tcPr>
            <w:tcW w:w="773" w:type="dxa"/>
            <w:tcBorders>
              <w:top w:val="single" w:sz="12" w:space="0" w:color="auto"/>
              <w:bottom w:val="single" w:sz="12" w:space="0" w:color="auto"/>
            </w:tcBorders>
            <w:vAlign w:val="center"/>
          </w:tcPr>
          <w:p>
            <w:pPr>
              <w:rPr>
                <w:rFonts w:cs="Arial"/>
              </w:rPr>
            </w:pPr>
            <w:r>
              <w:rPr>
                <w:rFonts w:cs="Arial"/>
              </w:rPr>
              <w:t xml:space="preserve">Kód </w:t>
            </w:r>
          </w:p>
        </w:tc>
        <w:tc>
          <w:tcPr>
            <w:tcW w:w="4756" w:type="dxa"/>
            <w:tcBorders>
              <w:top w:val="single" w:sz="12" w:space="0" w:color="auto"/>
              <w:bottom w:val="single" w:sz="12" w:space="0" w:color="auto"/>
            </w:tcBorders>
            <w:vAlign w:val="center"/>
          </w:tcPr>
          <w:p>
            <w:pPr>
              <w:jc w:val="center"/>
              <w:rPr>
                <w:rFonts w:cs="Arial"/>
              </w:rPr>
            </w:pPr>
            <w:r>
              <w:rPr>
                <w:rFonts w:cs="Arial"/>
              </w:rPr>
              <w:t>Název</w:t>
            </w:r>
          </w:p>
        </w:tc>
        <w:tc>
          <w:tcPr>
            <w:tcW w:w="1417" w:type="dxa"/>
            <w:tcBorders>
              <w:top w:val="single" w:sz="12" w:space="0" w:color="auto"/>
              <w:bottom w:val="single" w:sz="12" w:space="0" w:color="auto"/>
            </w:tcBorders>
            <w:vAlign w:val="center"/>
          </w:tcPr>
          <w:p>
            <w:pPr>
              <w:rPr>
                <w:rFonts w:cs="Arial"/>
              </w:rPr>
            </w:pPr>
          </w:p>
        </w:tc>
        <w:tc>
          <w:tcPr>
            <w:tcW w:w="2977" w:type="dxa"/>
            <w:tcBorders>
              <w:top w:val="single" w:sz="12" w:space="0" w:color="auto"/>
              <w:bottom w:val="single" w:sz="12" w:space="0" w:color="auto"/>
            </w:tcBorders>
            <w:vAlign w:val="center"/>
          </w:tcPr>
          <w:p>
            <w:pPr>
              <w:jc w:val="center"/>
              <w:rPr>
                <w:rFonts w:cs="Arial"/>
              </w:rPr>
            </w:pPr>
            <w:r>
              <w:rPr>
                <w:rFonts w:cs="Arial"/>
              </w:rPr>
              <w:t>Územní pracoviště v obci</w:t>
            </w:r>
          </w:p>
        </w:tc>
      </w:tr>
      <w:tr>
        <w:trPr>
          <w:trHeight w:val="454"/>
        </w:trPr>
        <w:tc>
          <w:tcPr>
            <w:tcW w:w="773" w:type="dxa"/>
            <w:tcBorders>
              <w:top w:val="single" w:sz="12" w:space="0" w:color="auto"/>
            </w:tcBorders>
            <w:vAlign w:val="center"/>
          </w:tcPr>
          <w:p>
            <w:pPr>
              <w:rPr>
                <w:rFonts w:cs="Arial"/>
              </w:rPr>
            </w:pPr>
            <w:r>
              <w:rPr>
                <w:rFonts w:cs="Arial"/>
              </w:rPr>
              <w:t>111</w:t>
            </w:r>
          </w:p>
        </w:tc>
        <w:tc>
          <w:tcPr>
            <w:tcW w:w="4756" w:type="dxa"/>
            <w:tcBorders>
              <w:top w:val="single" w:sz="12" w:space="0" w:color="auto"/>
            </w:tcBorders>
            <w:vAlign w:val="center"/>
          </w:tcPr>
          <w:p>
            <w:pPr>
              <w:rPr>
                <w:rFonts w:cs="Arial"/>
                <w:u w:val="single"/>
              </w:rPr>
            </w:pPr>
            <w:r>
              <w:rPr>
                <w:rFonts w:cs="Arial"/>
              </w:rPr>
              <w:t>Všeobecná zdravotní pojišťovna ČR</w:t>
            </w:r>
          </w:p>
        </w:tc>
        <w:tc>
          <w:tcPr>
            <w:tcW w:w="1417" w:type="dxa"/>
            <w:tcBorders>
              <w:top w:val="single" w:sz="12" w:space="0" w:color="auto"/>
            </w:tcBorders>
            <w:vAlign w:val="center"/>
          </w:tcPr>
          <w:p>
            <w:pPr>
              <w:rPr>
                <w:rFonts w:cs="Arial"/>
              </w:rPr>
            </w:pPr>
            <w:sdt>
              <w:sdtPr>
                <w:rPr>
                  <w:rFonts w:cs="Arial"/>
                  <w:b/>
                </w:rPr>
                <w:id w:val="-162260793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tcBorders>
              <w:top w:val="single" w:sz="12" w:space="0" w:color="auto"/>
            </w:tcBorders>
            <w:vAlign w:val="center"/>
          </w:tcPr>
          <w:p>
            <w:pPr>
              <w:rPr>
                <w:rFonts w:cs="Arial"/>
              </w:rPr>
            </w:pPr>
            <w:r>
              <w:rPr>
                <w:rFonts w:cs="Arial"/>
              </w:rPr>
              <w:fldChar w:fldCharType="begin">
                <w:ffData>
                  <w:name w:val="Text1"/>
                  <w:enabled/>
                  <w:calcOnExit w:val="0"/>
                  <w:textInput/>
                </w:ffData>
              </w:fldChar>
            </w:r>
            <w:bookmarkStart w:id="2"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trPr>
          <w:trHeight w:val="454"/>
        </w:trPr>
        <w:tc>
          <w:tcPr>
            <w:tcW w:w="773" w:type="dxa"/>
            <w:vAlign w:val="center"/>
          </w:tcPr>
          <w:p>
            <w:pPr>
              <w:rPr>
                <w:rFonts w:cs="Arial"/>
              </w:rPr>
            </w:pPr>
            <w:r>
              <w:rPr>
                <w:rFonts w:cs="Arial"/>
              </w:rPr>
              <w:t>201</w:t>
            </w:r>
          </w:p>
        </w:tc>
        <w:tc>
          <w:tcPr>
            <w:tcW w:w="4756" w:type="dxa"/>
            <w:vAlign w:val="center"/>
          </w:tcPr>
          <w:p>
            <w:pPr>
              <w:rPr>
                <w:rFonts w:cs="Arial"/>
              </w:rPr>
            </w:pPr>
            <w:r>
              <w:rPr>
                <w:rFonts w:cs="Arial"/>
              </w:rPr>
              <w:t>Vojenská zdravotní pojišťovna ČR</w:t>
            </w:r>
          </w:p>
        </w:tc>
        <w:tc>
          <w:tcPr>
            <w:tcW w:w="1417" w:type="dxa"/>
            <w:vAlign w:val="center"/>
          </w:tcPr>
          <w:p>
            <w:pPr>
              <w:rPr>
                <w:rFonts w:cs="Arial"/>
              </w:rPr>
            </w:pPr>
            <w:sdt>
              <w:sdtPr>
                <w:rPr>
                  <w:rFonts w:cs="Arial"/>
                  <w:b/>
                </w:rPr>
                <w:id w:val="-91824747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205</w:t>
            </w:r>
          </w:p>
        </w:tc>
        <w:tc>
          <w:tcPr>
            <w:tcW w:w="4756" w:type="dxa"/>
            <w:vAlign w:val="center"/>
          </w:tcPr>
          <w:p>
            <w:pPr>
              <w:rPr>
                <w:rFonts w:cs="Arial"/>
              </w:rPr>
            </w:pPr>
            <w:r>
              <w:rPr>
                <w:rFonts w:cs="Arial"/>
              </w:rPr>
              <w:t>Česká průmyslová zdravotní pojišťovna</w:t>
            </w:r>
          </w:p>
        </w:tc>
        <w:tc>
          <w:tcPr>
            <w:tcW w:w="1417" w:type="dxa"/>
            <w:vAlign w:val="center"/>
          </w:tcPr>
          <w:p>
            <w:pPr>
              <w:rPr>
                <w:rFonts w:cs="Arial"/>
              </w:rPr>
            </w:pPr>
            <w:sdt>
              <w:sdtPr>
                <w:rPr>
                  <w:rFonts w:cs="Arial"/>
                  <w:b/>
                </w:rPr>
                <w:id w:val="7178762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207</w:t>
            </w:r>
          </w:p>
        </w:tc>
        <w:tc>
          <w:tcPr>
            <w:tcW w:w="4756" w:type="dxa"/>
            <w:vAlign w:val="center"/>
          </w:tcPr>
          <w:p>
            <w:pPr>
              <w:rPr>
                <w:rFonts w:cs="Arial"/>
              </w:rPr>
            </w:pPr>
            <w:r>
              <w:rPr>
                <w:rFonts w:cs="Arial"/>
              </w:rPr>
              <w:t>Oborová zdravotní poj. zam. bank, poj. a stav.</w:t>
            </w:r>
          </w:p>
        </w:tc>
        <w:tc>
          <w:tcPr>
            <w:tcW w:w="1417" w:type="dxa"/>
            <w:vAlign w:val="center"/>
          </w:tcPr>
          <w:p>
            <w:pPr>
              <w:rPr>
                <w:rFonts w:cs="Arial"/>
              </w:rPr>
            </w:pPr>
            <w:sdt>
              <w:sdtPr>
                <w:rPr>
                  <w:rFonts w:cs="Arial"/>
                  <w:b/>
                </w:rPr>
                <w:id w:val="-131748759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209</w:t>
            </w:r>
          </w:p>
        </w:tc>
        <w:tc>
          <w:tcPr>
            <w:tcW w:w="4756" w:type="dxa"/>
            <w:vAlign w:val="center"/>
          </w:tcPr>
          <w:p>
            <w:pPr>
              <w:rPr>
                <w:rFonts w:cs="Arial"/>
              </w:rPr>
            </w:pPr>
            <w:r>
              <w:rPr>
                <w:rFonts w:cs="Arial"/>
              </w:rPr>
              <w:t>Zaměstnanecká pojišťovna Škoda</w:t>
            </w:r>
          </w:p>
        </w:tc>
        <w:tc>
          <w:tcPr>
            <w:tcW w:w="1417" w:type="dxa"/>
            <w:vAlign w:val="center"/>
          </w:tcPr>
          <w:p>
            <w:pPr>
              <w:rPr>
                <w:rFonts w:cs="Arial"/>
              </w:rPr>
            </w:pPr>
            <w:sdt>
              <w:sdtPr>
                <w:rPr>
                  <w:rFonts w:cs="Arial"/>
                  <w:b/>
                </w:rPr>
                <w:id w:val="-20641183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211</w:t>
            </w:r>
          </w:p>
        </w:tc>
        <w:tc>
          <w:tcPr>
            <w:tcW w:w="4756" w:type="dxa"/>
            <w:vAlign w:val="center"/>
          </w:tcPr>
          <w:p>
            <w:pPr>
              <w:rPr>
                <w:rFonts w:cs="Arial"/>
              </w:rPr>
            </w:pPr>
            <w:r>
              <w:rPr>
                <w:rFonts w:cs="Arial"/>
              </w:rPr>
              <w:t>Zdravotní pojišťovna ministerstva vnitra ČR</w:t>
            </w:r>
          </w:p>
        </w:tc>
        <w:tc>
          <w:tcPr>
            <w:tcW w:w="1417" w:type="dxa"/>
            <w:vAlign w:val="center"/>
          </w:tcPr>
          <w:p>
            <w:pPr>
              <w:rPr>
                <w:rFonts w:cs="Arial"/>
              </w:rPr>
            </w:pPr>
            <w:sdt>
              <w:sdtPr>
                <w:rPr>
                  <w:rFonts w:cs="Arial"/>
                  <w:b/>
                </w:rPr>
                <w:id w:val="75139901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213</w:t>
            </w:r>
          </w:p>
        </w:tc>
        <w:tc>
          <w:tcPr>
            <w:tcW w:w="4756" w:type="dxa"/>
            <w:vAlign w:val="center"/>
          </w:tcPr>
          <w:p>
            <w:pPr>
              <w:rPr>
                <w:rFonts w:cs="Arial"/>
              </w:rPr>
            </w:pPr>
            <w:r>
              <w:rPr>
                <w:rFonts w:cs="Arial"/>
              </w:rPr>
              <w:t>Revírní bratrská pokladna, zdrav. pojišťovna</w:t>
            </w:r>
          </w:p>
        </w:tc>
        <w:tc>
          <w:tcPr>
            <w:tcW w:w="1417" w:type="dxa"/>
            <w:vAlign w:val="center"/>
          </w:tcPr>
          <w:p>
            <w:pPr>
              <w:rPr>
                <w:rFonts w:cs="Arial"/>
              </w:rPr>
            </w:pPr>
            <w:sdt>
              <w:sdtPr>
                <w:rPr>
                  <w:rFonts w:cs="Arial"/>
                  <w:b/>
                </w:rPr>
                <w:id w:val="178553711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tbl>
      <w:tblPr>
        <w:tblpPr w:leftFromText="141" w:rightFromText="141" w:vertAnchor="text" w:horzAnchor="margin" w:tblpY="213"/>
        <w:tblW w:w="0" w:type="auto"/>
        <w:tblLook w:val="01E0" w:firstRow="1" w:lastRow="1" w:firstColumn="1" w:lastColumn="1" w:noHBand="0" w:noVBand="0"/>
      </w:tblPr>
      <w:tblGrid>
        <w:gridCol w:w="2200"/>
        <w:gridCol w:w="2200"/>
        <w:gridCol w:w="528"/>
        <w:gridCol w:w="4259"/>
      </w:tblGrid>
      <w:tr>
        <w:trPr>
          <w:cantSplit/>
          <w:trHeight w:hRule="exact" w:val="2299"/>
        </w:trPr>
        <w:tc>
          <w:tcPr>
            <w:tcW w:w="2200" w:type="dxa"/>
            <w:tcBorders>
              <w:top w:val="single" w:sz="12" w:space="0" w:color="auto"/>
              <w:left w:val="single" w:sz="12" w:space="0" w:color="auto"/>
              <w:bottom w:val="single" w:sz="12" w:space="0" w:color="auto"/>
            </w:tcBorders>
            <w:vAlign w:val="center"/>
          </w:tcPr>
          <w:p>
            <w:pPr>
              <w:keepNext/>
              <w:rPr>
                <w:szCs w:val="20"/>
              </w:rPr>
            </w:pPr>
          </w:p>
          <w:p>
            <w:pPr>
              <w:keepNext/>
              <w:rPr>
                <w:szCs w:val="20"/>
              </w:rPr>
            </w:pPr>
          </w:p>
          <w:p>
            <w:pPr>
              <w:keepNext/>
              <w:rPr>
                <w:szCs w:val="20"/>
              </w:rPr>
            </w:pPr>
          </w:p>
          <w:p>
            <w:pPr>
              <w:keepNext/>
              <w:rPr>
                <w:szCs w:val="20"/>
              </w:rPr>
            </w:pPr>
          </w:p>
          <w:p>
            <w:pPr>
              <w:keepNext/>
              <w:rPr>
                <w:szCs w:val="20"/>
              </w:rPr>
            </w:pPr>
          </w:p>
          <w:p>
            <w:pPr>
              <w:keepNext/>
              <w:rPr>
                <w:szCs w:val="20"/>
              </w:rPr>
            </w:pPr>
          </w:p>
          <w:p>
            <w:pPr>
              <w:keepNext/>
              <w:rPr>
                <w:szCs w:val="20"/>
              </w:rPr>
            </w:pPr>
            <w:r>
              <w:rPr>
                <w:szCs w:val="20"/>
              </w:rPr>
              <w:t xml:space="preserve">V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200" w:type="dxa"/>
            <w:tcBorders>
              <w:top w:val="single" w:sz="12" w:space="0" w:color="auto"/>
              <w:bottom w:val="single" w:sz="12" w:space="0" w:color="auto"/>
              <w:right w:val="single" w:sz="12" w:space="0" w:color="auto"/>
            </w:tcBorders>
            <w:vAlign w:val="center"/>
          </w:tcPr>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r>
              <w:rPr>
                <w:szCs w:val="20"/>
              </w:rPr>
              <w:t xml:space="preserve">dne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528" w:type="dxa"/>
            <w:tcBorders>
              <w:left w:val="single" w:sz="12" w:space="0" w:color="auto"/>
              <w:right w:val="single" w:sz="12" w:space="0" w:color="auto"/>
            </w:tcBorders>
            <w:vAlign w:val="center"/>
          </w:tcPr>
          <w:p>
            <w:pPr>
              <w:keepNext/>
              <w:rPr>
                <w:szCs w:val="20"/>
              </w:rPr>
            </w:pPr>
          </w:p>
        </w:tc>
        <w:tc>
          <w:tcPr>
            <w:tcW w:w="4259" w:type="dxa"/>
            <w:tcBorders>
              <w:top w:val="single" w:sz="12" w:space="0" w:color="auto"/>
              <w:left w:val="single" w:sz="12" w:space="0" w:color="auto"/>
              <w:bottom w:val="single" w:sz="12" w:space="0" w:color="auto"/>
              <w:right w:val="single" w:sz="12" w:space="0" w:color="auto"/>
            </w:tcBorders>
            <w:vAlign w:val="bottom"/>
          </w:tcPr>
          <w:p>
            <w:pPr>
              <w:pStyle w:val="Podpis1"/>
              <w:keepNext/>
              <w:rPr>
                <w:sz w:val="16"/>
              </w:rPr>
            </w:pP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pPr>
              <w:pStyle w:val="Podpis1"/>
              <w:keepNext/>
            </w:pPr>
            <w:r>
              <w:rPr>
                <w:sz w:val="16"/>
              </w:rPr>
              <w:t>Jméno, příjmení, funkce a podpis oprávněné osoby</w:t>
            </w:r>
            <w:r>
              <w:rPr>
                <w:sz w:val="16"/>
              </w:rPr>
              <w:br/>
              <w:t xml:space="preserve"> (otisk razítka)</w:t>
            </w:r>
          </w:p>
        </w:tc>
      </w:tr>
    </w:tbl>
    <w:p>
      <w:pPr>
        <w:pStyle w:val="Sekce"/>
        <w:numPr>
          <w:ilvl w:val="0"/>
          <w:numId w:val="0"/>
        </w:numPr>
        <w:spacing w:before="0" w:after="0"/>
      </w:pPr>
      <w:r>
        <w:t xml:space="preserve"> </w:t>
      </w:r>
      <w:r>
        <w:br w:type="page"/>
      </w:r>
      <w:r>
        <w:lastRenderedPageBreak/>
        <w:t xml:space="preserve"> </w:t>
      </w:r>
    </w:p>
    <w:p>
      <w:pPr>
        <w:pStyle w:val="NormalBold"/>
        <w:ind w:left="360" w:hanging="76"/>
        <w:jc w:val="both"/>
        <w:rPr>
          <w:u w:val="single"/>
        </w:rPr>
      </w:pPr>
      <w:r>
        <w:rPr>
          <w:u w:val="single"/>
        </w:rPr>
        <w:t>Součástí žádosti je:</w:t>
      </w:r>
    </w:p>
    <w:p>
      <w:pPr>
        <w:pStyle w:val="NormalBold"/>
        <w:ind w:left="360" w:hanging="360"/>
        <w:jc w:val="both"/>
        <w:rPr>
          <w:b w:val="0"/>
        </w:rPr>
      </w:pPr>
    </w:p>
    <w:p>
      <w:pPr>
        <w:pStyle w:val="NormalBold"/>
        <w:ind w:left="284" w:hanging="284"/>
        <w:jc w:val="both"/>
        <w:rPr>
          <w:b w:val="0"/>
        </w:rPr>
      </w:pPr>
      <w:r>
        <w:rPr>
          <w:b w:val="0"/>
        </w:rPr>
        <w:t xml:space="preserve">1. </w:t>
      </w:r>
      <w:r>
        <w:rPr>
          <w:b w:val="0"/>
          <w:spacing w:val="-4"/>
        </w:rPr>
        <w:t>Jmenný seznam zaměstnanců žadatele, na které je mzdový příspěvek požadován, s těmito údaji: Jméno</w:t>
      </w:r>
      <w:r>
        <w:rPr>
          <w:b w:val="0"/>
          <w:spacing w:val="-4"/>
        </w:rPr>
        <w:br/>
        <w:t xml:space="preserve">a příjmení zaměstnance, rodné číslo, status TZP/OZP 1,2/OZZ, data vzniku a skončení pracovního poměru, kód zdravotní pojišťovny, mzdové náklady včetně odvodů v příslušném měsíci (bez naturální mzdy), uplatňovaná výše příspěvku, uznání TZP/OZP 1,2/OZZ od-do. Formulář „Jmenný seznam“ zaměstnanců je možné přímo vyplnit a elektronicky odeslat na Úřad práce ČR z Integrovaného portálu MPSV, stránky </w:t>
      </w:r>
      <w:hyperlink r:id="rId10" w:history="1">
        <w:r>
          <w:rPr>
            <w:rStyle w:val="Hypertextovodkaz"/>
            <w:b w:val="0"/>
            <w:spacing w:val="-4"/>
          </w:rPr>
          <w:t>http://portal.mpsv.cz/sz/zamest/zamestnaniosob/prispeveknapodporu</w:t>
        </w:r>
      </w:hyperlink>
      <w:r>
        <w:rPr>
          <w:b w:val="0"/>
          <w:spacing w:val="-4"/>
        </w:rPr>
        <w:t xml:space="preserve"> </w:t>
      </w:r>
      <w:hyperlink r:id="rId11" w:history="1">
        <w:r>
          <w:rPr>
            <w:rStyle w:val="Hypertextovodkaz"/>
            <w:b w:val="0"/>
            <w:spacing w:val="-4"/>
          </w:rPr>
          <w:t>http://portal.mpsv.cz/sz/zamest/kestazeni</w:t>
        </w:r>
      </w:hyperlink>
      <w:r>
        <w:rPr>
          <w:b w:val="0"/>
          <w:spacing w:val="-4"/>
        </w:rPr>
        <w:t>,</w:t>
      </w:r>
      <w:r>
        <w:rPr>
          <w:b w:val="0"/>
          <w:spacing w:val="-4"/>
        </w:rPr>
        <w:br/>
        <w:t>případně je možné ho zde vytisknout nebo o jeho vytištění požádat Úřad práce ČR.</w:t>
      </w:r>
      <w:r>
        <w:rPr>
          <w:b w:val="0"/>
        </w:rPr>
        <w:t xml:space="preserve"> </w:t>
      </w:r>
    </w:p>
    <w:p>
      <w:pPr>
        <w:pStyle w:val="NormalBold"/>
        <w:ind w:left="360" w:hanging="360"/>
        <w:jc w:val="both"/>
        <w:rPr>
          <w:b w:val="0"/>
        </w:rPr>
      </w:pPr>
    </w:p>
    <w:p>
      <w:pPr>
        <w:pStyle w:val="Pouen"/>
        <w:numPr>
          <w:ilvl w:val="0"/>
          <w:numId w:val="48"/>
        </w:numPr>
        <w:spacing w:before="0"/>
      </w:pPr>
      <w:r>
        <w:t>Doložení skutečnosti, že zaměstnanec, na kterého je příspěvek požadován, je TZP/OZP 1,2/OZZ, a to pouze v případě, že došlo ke změně oproti skutečnostem již Úřadu práce ČR doloženým k žádosti</w:t>
      </w:r>
      <w:r>
        <w:br/>
        <w:t xml:space="preserve">o uzavření dohody o uznání zaměstnavatele za zaměstnavatele na chráněném trhu práce podle § 78 ZoZ. Dokládá se např. kopií dokladu o uznání zaměstnance OZP, na které žadatel </w:t>
      </w:r>
      <w:r>
        <w:rPr>
          <w:color w:val="000000"/>
        </w:rPr>
        <w:t>potvrdí, že kopie dokladu souhlasí s originálem, případně úředně ověřenou kopií.</w:t>
      </w:r>
    </w:p>
    <w:p>
      <w:pPr>
        <w:pStyle w:val="Pouen"/>
        <w:spacing w:before="0"/>
        <w:ind w:left="320"/>
      </w:pPr>
    </w:p>
    <w:p>
      <w:pPr>
        <w:pStyle w:val="NormalBold"/>
        <w:numPr>
          <w:ilvl w:val="0"/>
          <w:numId w:val="48"/>
        </w:numPr>
        <w:spacing w:after="120"/>
        <w:jc w:val="both"/>
        <w:outlineLvl w:val="0"/>
        <w:rPr>
          <w:b w:val="0"/>
        </w:rPr>
      </w:pPr>
      <w:r>
        <w:rPr>
          <w:b w:val="0"/>
        </w:rPr>
        <w:t xml:space="preserve">Doložení nákladů uvedených v části H / 3.1, 3.2, 3.3, 3.4 této žádosti (např. pracovní smlouvy pracovních asistentů a provozních zaměstnanců; faktury za dopravu, realizaci pracovní asistence; počítačové vybavení či pořízení komunikačních pomůcek; doklady prokazující nákup pohonných hmot apod. – blíže „Vysvětlivky“ body 8 - 11). Více informací o doložení těchto nákladů je uvedeno ve jmenném seznamu zaměstnanců, který je součástí této žádosti. </w:t>
      </w:r>
    </w:p>
    <w:p>
      <w:pPr>
        <w:pStyle w:val="NormalBold"/>
        <w:numPr>
          <w:ilvl w:val="0"/>
          <w:numId w:val="48"/>
        </w:numPr>
        <w:spacing w:after="120"/>
        <w:jc w:val="both"/>
        <w:outlineLvl w:val="0"/>
        <w:rPr>
          <w:b w:val="0"/>
        </w:rPr>
      </w:pPr>
      <w:r>
        <w:rPr>
          <w:rFonts w:cs="Arial"/>
          <w:b w:val="0"/>
        </w:rPr>
        <w:t xml:space="preserve">V případě, že žadatel nevyužije možnosti uvedené v části L, M a N této žádosti, dokládá Úřadu práce ČR, že nemá k poslednímu dni vykazovaného čtvrtletí: </w:t>
      </w:r>
    </w:p>
    <w:p>
      <w:pPr>
        <w:pStyle w:val="Textvysvtlivek"/>
        <w:numPr>
          <w:ilvl w:val="3"/>
          <w:numId w:val="61"/>
        </w:numPr>
        <w:spacing w:before="120"/>
        <w:ind w:left="567" w:hanging="283"/>
        <w:jc w:val="both"/>
        <w:rPr>
          <w:rFonts w:cs="Arial"/>
        </w:rPr>
      </w:pPr>
      <w:r>
        <w:rPr>
          <w:rFonts w:cs="Arial"/>
        </w:rPr>
        <w:t>v evidenci daní zachyceny</w:t>
      </w:r>
      <w:r>
        <w:rPr>
          <w:rFonts w:cs="Arial"/>
          <w:b/>
          <w:bCs/>
        </w:rPr>
        <w:t xml:space="preserve"> daňové nedoplatky u finančního a celního úřadu. </w:t>
      </w:r>
      <w:r>
        <w:rPr>
          <w:rFonts w:cs="Arial"/>
        </w:rPr>
        <w:t>Je-li žadatel právnickou osobou, dokládá bezdlužnost potvrzením, které je vystaveno na „identifikační číslo“, případně na „číslo plátce“. Je-li žadatel podnikající fyzickou osobou, dokládá bezdlužnost potvrzením, které je vystaveno na „jméno s uvedením rodného čísla, popř. data narození“</w:t>
      </w:r>
      <w:r>
        <w:rPr>
          <w:rStyle w:val="Znakapoznpodarou"/>
          <w:rFonts w:cs="Arial"/>
        </w:rPr>
        <w:t>12</w:t>
      </w:r>
      <w:r>
        <w:rPr>
          <w:rFonts w:cs="Arial"/>
          <w:vertAlign w:val="superscript"/>
        </w:rPr>
        <w:t>)</w:t>
      </w:r>
      <w:r>
        <w:rPr>
          <w:rFonts w:cs="Arial"/>
        </w:rPr>
        <w:t xml:space="preserve"> i na „identifikační číslo“, případně na „číslo plátce“. </w:t>
      </w:r>
    </w:p>
    <w:p>
      <w:pPr>
        <w:pStyle w:val="Textvysvtlivek"/>
        <w:numPr>
          <w:ilvl w:val="3"/>
          <w:numId w:val="61"/>
        </w:numPr>
        <w:spacing w:before="120"/>
        <w:ind w:left="567" w:hanging="283"/>
        <w:jc w:val="both"/>
        <w:rPr>
          <w:rFonts w:cs="Arial"/>
        </w:rPr>
      </w:pPr>
      <w:r>
        <w:rPr>
          <w:rFonts w:cs="Arial"/>
        </w:rPr>
        <w:t xml:space="preserve">nedoplatek na pojistném a na penále na </w:t>
      </w:r>
      <w:r>
        <w:rPr>
          <w:rFonts w:cs="Arial"/>
          <w:b/>
          <w:bCs/>
        </w:rPr>
        <w:t>veřejné zdravotní pojištění</w:t>
      </w:r>
      <w:r>
        <w:rPr>
          <w:rFonts w:cs="Arial"/>
        </w:rPr>
        <w:t>. Je-li žadatel právnickou osobou, dokládá bezdlužnost potvrzením, které je vystaveno na „identifikační číslo“, případně na „číslo plátce“. Je-li žadatel podnikající fyzickou osobou, dokládá bezdlužnost potvrzením od zdravotní pojišťovny, u které je sám pojištěn, vystavené na „jméno s uvedením rodného čísla, popř. data narození“</w:t>
      </w:r>
      <w:r>
        <w:rPr>
          <w:rFonts w:cs="Arial"/>
          <w:vertAlign w:val="superscript"/>
        </w:rPr>
        <w:t>12)</w:t>
      </w:r>
      <w:r>
        <w:rPr>
          <w:rFonts w:cs="Arial"/>
        </w:rPr>
        <w:t xml:space="preserve"> i na „identifikační číslo“; má-li zaměstnance, předkládá potvrzení i od zdravotních pojišťoven, u kterých jsou pojištěni jeho zaměstnanci, vystavená na „identifikační číslo“, případně na „číslo plátce“.</w:t>
      </w:r>
    </w:p>
    <w:p>
      <w:pPr>
        <w:pStyle w:val="Textvysvtlivek"/>
        <w:numPr>
          <w:ilvl w:val="3"/>
          <w:numId w:val="61"/>
        </w:numPr>
        <w:spacing w:before="120"/>
        <w:ind w:left="567" w:hanging="283"/>
        <w:jc w:val="both"/>
        <w:rPr>
          <w:rFonts w:cs="Arial"/>
        </w:rPr>
      </w:pPr>
      <w:r>
        <w:rPr>
          <w:rFonts w:cs="Arial"/>
        </w:rPr>
        <w:t xml:space="preserve">nedoplatek na pojistném a na penále na </w:t>
      </w:r>
      <w:r>
        <w:rPr>
          <w:rFonts w:cs="Arial"/>
          <w:b/>
          <w:bCs/>
        </w:rPr>
        <w:t>sociální zabezpečení a příspěvku na státní politiku zaměstnanosti</w:t>
      </w:r>
      <w:r>
        <w:rPr>
          <w:rFonts w:cs="Arial"/>
        </w:rPr>
        <w:t>. Je-li žadatel právnickou osobou, dokládá bezdlužnost potvrzením, které je vystaveno na „identifikační číslo“, případně na „číslo plátce“. Je-li žadatel podnikající fyzickou osobou, dokládá bezdlužnost potvrzením příslušné správy sociálního zabezpečení, které je vystaveno na „jméno s  uvedením rodného čísla, popř. data narození“</w:t>
      </w:r>
      <w:r>
        <w:rPr>
          <w:rFonts w:cs="Arial"/>
          <w:vertAlign w:val="superscript"/>
        </w:rPr>
        <w:t>12)</w:t>
      </w:r>
      <w:r>
        <w:rPr>
          <w:rFonts w:cs="Arial"/>
        </w:rPr>
        <w:t xml:space="preserve"> i na „identifikační číslo“, případně na „číslo plátce“.</w:t>
      </w:r>
    </w:p>
    <w:p>
      <w:pPr>
        <w:pStyle w:val="NormalBold"/>
        <w:tabs>
          <w:tab w:val="clear" w:pos="8481"/>
        </w:tabs>
        <w:ind w:left="567"/>
        <w:jc w:val="both"/>
        <w:rPr>
          <w:rFonts w:cs="Arial"/>
          <w:b w:val="0"/>
          <w:bCs w:val="0"/>
        </w:rPr>
      </w:pPr>
    </w:p>
    <w:p>
      <w:pPr>
        <w:pStyle w:val="NormalBold"/>
        <w:tabs>
          <w:tab w:val="clear" w:pos="8481"/>
        </w:tabs>
        <w:ind w:left="567"/>
        <w:jc w:val="both"/>
        <w:rPr>
          <w:rFonts w:cs="Arial"/>
          <w:b w:val="0"/>
        </w:rPr>
      </w:pPr>
      <w:r>
        <w:rPr>
          <w:rFonts w:cs="Arial"/>
          <w:b w:val="0"/>
          <w:bCs w:val="0"/>
        </w:rPr>
        <w:t>Má-li žadatel některý z výše uvedených nedoplatků a bylo mu povoleno</w:t>
      </w:r>
      <w:r>
        <w:rPr>
          <w:rFonts w:cs="Arial"/>
          <w:b w:val="0"/>
        </w:rPr>
        <w:t xml:space="preserve"> </w:t>
      </w:r>
      <w:r>
        <w:rPr>
          <w:rFonts w:cs="Arial"/>
          <w:b w:val="0"/>
          <w:bCs w:val="0"/>
        </w:rPr>
        <w:t xml:space="preserve">splácení </w:t>
      </w:r>
      <w:r>
        <w:rPr>
          <w:rFonts w:cs="Arial"/>
          <w:b w:val="0"/>
          <w:bCs w:val="0"/>
        </w:rPr>
        <w:br/>
        <w:t>ve splátkách,</w:t>
      </w:r>
      <w:r>
        <w:rPr>
          <w:rFonts w:cs="Arial"/>
          <w:b w:val="0"/>
        </w:rPr>
        <w:t xml:space="preserve"> lze příspěvek poskytnout, není-li v prodlení se splácením splátek. Příspěvek lze poskytnout žadateli i v případě, bylo-li mu povoleno </w:t>
      </w:r>
      <w:r>
        <w:rPr>
          <w:rFonts w:cs="Arial"/>
          <w:b w:val="0"/>
          <w:bCs w:val="0"/>
        </w:rPr>
        <w:t>posečkání daně</w:t>
      </w:r>
      <w:r>
        <w:rPr>
          <w:rFonts w:cs="Arial"/>
          <w:b w:val="0"/>
        </w:rPr>
        <w:t>. Tyto skutečnosti je žadatel rovněž povinen doložit.</w:t>
      </w:r>
    </w:p>
    <w:p>
      <w:pPr>
        <w:pStyle w:val="NormalBold"/>
        <w:tabs>
          <w:tab w:val="clear" w:pos="8481"/>
        </w:tabs>
        <w:ind w:left="567"/>
        <w:jc w:val="both"/>
        <w:rPr>
          <w:rFonts w:cs="Arial"/>
          <w:b w:val="0"/>
        </w:rPr>
      </w:pPr>
    </w:p>
    <w:p>
      <w:pPr>
        <w:pStyle w:val="NormalBold"/>
        <w:numPr>
          <w:ilvl w:val="0"/>
          <w:numId w:val="48"/>
        </w:numPr>
        <w:ind w:left="317" w:hanging="357"/>
        <w:jc w:val="both"/>
        <w:outlineLvl w:val="0"/>
        <w:rPr>
          <w:rFonts w:cs="Arial"/>
          <w:b w:val="0"/>
        </w:rPr>
      </w:pPr>
      <w:r>
        <w:rPr>
          <w:rFonts w:cs="Arial"/>
          <w:b w:val="0"/>
        </w:rPr>
        <w:t>U žadatele, který není veden ve veřejném rejstříku, doklad prokazující právní formu žadatele</w:t>
      </w:r>
      <w:r>
        <w:rPr>
          <w:rFonts w:cs="Arial"/>
          <w:b w:val="0"/>
        </w:rPr>
        <w:br/>
        <w:t>a doklad prokazující osobu statutárního zástupce a způsob zastupování; doklad prokazující osobu statutárního zástupce a způsob zastupování, pokud toto není v rejstříku nebo jiném dokladu o právní formě uvedeno. Při opakovaném poskytování příspěvku se doklady k těmto skutečnostem dokládají jen v případě změny těchto skutečností.</w:t>
      </w:r>
    </w:p>
    <w:p>
      <w:pPr>
        <w:pStyle w:val="NormalBold"/>
        <w:tabs>
          <w:tab w:val="clear" w:pos="8481"/>
        </w:tabs>
        <w:ind w:left="567"/>
        <w:jc w:val="both"/>
        <w:rPr>
          <w:rFonts w:cs="Arial"/>
          <w:b w:val="0"/>
        </w:rPr>
      </w:pPr>
    </w:p>
    <w:p>
      <w:pPr>
        <w:pStyle w:val="NormalBold"/>
        <w:numPr>
          <w:ilvl w:val="0"/>
          <w:numId w:val="48"/>
        </w:numPr>
        <w:spacing w:after="120"/>
        <w:jc w:val="both"/>
        <w:outlineLvl w:val="0"/>
        <w:rPr>
          <w:rFonts w:cs="Arial"/>
          <w:b w:val="0"/>
        </w:rPr>
      </w:pPr>
      <w:r>
        <w:rPr>
          <w:rFonts w:cs="Arial"/>
          <w:b w:val="0"/>
        </w:rPr>
        <w:t xml:space="preserve">Doklad o zřízení účtu u peněžního ústavu uvedeného v části F. Při opakovaném poskytování příspěvku se doklad o zřízení účtu dokládá jen v případě změny této skutečnosti. </w:t>
      </w:r>
    </w:p>
    <w:p>
      <w:pPr>
        <w:pStyle w:val="NormalBold"/>
        <w:ind w:left="360"/>
        <w:jc w:val="both"/>
      </w:pPr>
      <w:r>
        <w:rPr>
          <w:b w:val="0"/>
        </w:rPr>
        <w:br w:type="page"/>
      </w:r>
      <w:r>
        <w:lastRenderedPageBreak/>
        <w:t>Vysvětlivky:</w:t>
      </w:r>
    </w:p>
    <w:p>
      <w:pPr>
        <w:pStyle w:val="NormalBold"/>
        <w:ind w:left="0"/>
        <w:jc w:val="both"/>
        <w:outlineLvl w:val="0"/>
      </w:pPr>
    </w:p>
    <w:p>
      <w:pPr>
        <w:pStyle w:val="NormalBold"/>
        <w:numPr>
          <w:ilvl w:val="0"/>
          <w:numId w:val="64"/>
        </w:numPr>
        <w:spacing w:after="120"/>
        <w:jc w:val="both"/>
        <w:outlineLvl w:val="0"/>
        <w:rPr>
          <w:rFonts w:cs="Arial"/>
          <w:b w:val="0"/>
        </w:rPr>
      </w:pPr>
      <w:r>
        <w:rPr>
          <w:rFonts w:cs="Arial"/>
          <w:b w:val="0"/>
        </w:rPr>
        <w:t>Vyplňte příslušnou krajskou pobočku, popř. vybrané kontaktní pracoviště této krajské pobočky. Příslušnou krajskou pobočkou Úřadu práce ČR pro poskytování příspěvku je krajská pobočka, v jejímž obvodu má sídlo žadatel, který je právnickou osobou, nebo v jejímž obvodu má trvalé bydliště žadatel, který je fyzickou osobou.</w:t>
      </w:r>
    </w:p>
    <w:p>
      <w:pPr>
        <w:pStyle w:val="NormalBold"/>
        <w:numPr>
          <w:ilvl w:val="0"/>
          <w:numId w:val="64"/>
        </w:numPr>
        <w:spacing w:after="120"/>
        <w:jc w:val="both"/>
        <w:outlineLvl w:val="0"/>
        <w:rPr>
          <w:rFonts w:cs="Arial"/>
          <w:b w:val="0"/>
        </w:rPr>
      </w:pPr>
      <w:r>
        <w:rPr>
          <w:rFonts w:cs="Arial"/>
          <w:b w:val="0"/>
        </w:rPr>
        <w:t>Vyplňte název žadatele uvedený např. v živnostenském listě, obchodním rejstříku nebo zřizovací listině, popř. jméno a příjmení, je-li žadatelem fyzická osoba.</w:t>
      </w:r>
    </w:p>
    <w:p>
      <w:pPr>
        <w:pStyle w:val="NormalBold"/>
        <w:numPr>
          <w:ilvl w:val="0"/>
          <w:numId w:val="64"/>
        </w:numPr>
        <w:spacing w:after="120"/>
        <w:jc w:val="both"/>
        <w:outlineLvl w:val="0"/>
        <w:rPr>
          <w:rFonts w:cs="Arial"/>
          <w:b w:val="0"/>
        </w:rPr>
      </w:pPr>
      <w:r>
        <w:rPr>
          <w:rFonts w:cs="Arial"/>
          <w:b w:val="0"/>
        </w:rPr>
        <w:t>Vyplňte jen v případě, bylo-li přiděleno.</w:t>
      </w:r>
    </w:p>
    <w:p>
      <w:pPr>
        <w:pStyle w:val="NormalBold"/>
        <w:numPr>
          <w:ilvl w:val="0"/>
          <w:numId w:val="64"/>
        </w:numPr>
        <w:spacing w:after="120"/>
        <w:jc w:val="both"/>
        <w:outlineLvl w:val="0"/>
        <w:rPr>
          <w:rFonts w:cs="Arial"/>
          <w:b w:val="0"/>
        </w:rPr>
      </w:pPr>
      <w:r>
        <w:rPr>
          <w:rFonts w:cs="Arial"/>
          <w:b w:val="0"/>
        </w:rPr>
        <w:t>Vyplňte jen v případě, je-li žadatelem fyzická osoba.</w:t>
      </w:r>
    </w:p>
    <w:p>
      <w:pPr>
        <w:pStyle w:val="NormalBold"/>
        <w:numPr>
          <w:ilvl w:val="0"/>
          <w:numId w:val="64"/>
        </w:numPr>
        <w:spacing w:after="120"/>
        <w:jc w:val="both"/>
        <w:outlineLvl w:val="0"/>
        <w:rPr>
          <w:rFonts w:cs="Arial"/>
          <w:b w:val="0"/>
        </w:rPr>
      </w:pPr>
      <w:r>
        <w:rPr>
          <w:rFonts w:cs="Arial"/>
          <w:b w:val="0"/>
        </w:rPr>
        <w:t>Vyplňte právní formu žadatele uvedenou např. v obchodním rejstříku nebo zřizovací listině.</w:t>
      </w:r>
    </w:p>
    <w:p>
      <w:pPr>
        <w:pStyle w:val="NormalBold"/>
        <w:numPr>
          <w:ilvl w:val="0"/>
          <w:numId w:val="64"/>
        </w:numPr>
        <w:spacing w:after="120"/>
        <w:ind w:left="317" w:hanging="357"/>
        <w:jc w:val="both"/>
        <w:outlineLvl w:val="0"/>
        <w:rPr>
          <w:rFonts w:cs="Arial"/>
          <w:b w:val="0"/>
        </w:rPr>
      </w:pPr>
      <w:r>
        <w:rPr>
          <w:rFonts w:cs="Arial"/>
          <w:b w:val="0"/>
        </w:rPr>
        <w:t xml:space="preserve">Příspěvek se poskytuje pouze na zaměstnance v pracovním poměru. Zaměstnanci, na které je příspěvek požadován, jsou uvedeni ve druhé záložce jmenného seznamu zaměstnanců, který je součástí této žádosti. Pokud jde o zaměstnance, kteří jsou uznáni invalidními v 1., 2., nebo 3. stupni invalidity, žadatel ve jmenném seznamu primárně uplatňuje nárok na poskytnutí mzdové složky příspěvku. Až v případě, že žadateli v daném měsíci nevznikne na zaměstnance nárok na mzdový příspěvek ve výši 12 000 Kč, uplatňuje nárok na zvýšení příspěvku. Příspěvek ani jeho zvýšení nelze uplatnit na OZP, které byly dočasně přiděleny k výkonu práce u uživatele. Zvýšení příspěvku nelze uplatnit na OZP, které pracují mimo pracoviště žadatele. </w:t>
      </w:r>
    </w:p>
    <w:p>
      <w:pPr>
        <w:pStyle w:val="NormalBold"/>
        <w:numPr>
          <w:ilvl w:val="0"/>
          <w:numId w:val="64"/>
        </w:numPr>
        <w:ind w:left="317" w:hanging="357"/>
        <w:jc w:val="both"/>
        <w:outlineLvl w:val="0"/>
        <w:rPr>
          <w:rFonts w:cs="Arial"/>
          <w:b w:val="0"/>
        </w:rPr>
      </w:pPr>
      <w:r>
        <w:rPr>
          <w:rFonts w:cs="Arial"/>
          <w:b w:val="0"/>
        </w:rPr>
        <w:t>Ustanovení § 78a odst. 12 písm. a) ZoZ.:</w:t>
      </w:r>
    </w:p>
    <w:p>
      <w:pPr>
        <w:pStyle w:val="NormalBold"/>
        <w:spacing w:after="120"/>
        <w:ind w:left="320"/>
        <w:jc w:val="both"/>
        <w:outlineLvl w:val="0"/>
      </w:pPr>
      <w:r>
        <w:rPr>
          <w:rFonts w:cs="Arial"/>
          <w:b w:val="0"/>
        </w:rPr>
        <w:t xml:space="preserve">Příspěvek na zvýšené správní náklady může činit maximálně 4 % průměrné měsíční mzdy v národním hospodářství za první až třetí čtvrtletí předcházejícího kalendářního roku na jednu OZP. Vynaložení těchto nákladů je žadatel povinen prokázat způsobem uvedeným ve formuláři jmenný seznam zaměstnanců, který je součástí této žádosti. </w:t>
      </w:r>
    </w:p>
    <w:p>
      <w:pPr>
        <w:pStyle w:val="NormalBold"/>
        <w:numPr>
          <w:ilvl w:val="0"/>
          <w:numId w:val="64"/>
        </w:numPr>
        <w:ind w:left="317" w:hanging="357"/>
        <w:jc w:val="both"/>
        <w:outlineLvl w:val="0"/>
        <w:rPr>
          <w:rFonts w:cs="Arial"/>
          <w:b w:val="0"/>
        </w:rPr>
      </w:pPr>
      <w:r>
        <w:rPr>
          <w:rFonts w:cs="Arial"/>
          <w:b w:val="0"/>
        </w:rPr>
        <w:t>Ustanovení § 78a odst. 12 písm. b) ZoZ:</w:t>
      </w:r>
    </w:p>
    <w:p>
      <w:pPr>
        <w:pStyle w:val="NormalBold"/>
        <w:spacing w:after="120"/>
        <w:ind w:left="318"/>
        <w:jc w:val="both"/>
        <w:outlineLvl w:val="0"/>
      </w:pPr>
      <w:r>
        <w:rPr>
          <w:rFonts w:cs="Arial"/>
          <w:b w:val="0"/>
        </w:rPr>
        <w:t>Pro stanovení výše uznatelnosti tohoto nákladu je v případě pracovních asistentů rozhodující, zda jejich pracovní náplň obsahuje také další činnosti, které by s pomocí zaměstnancům OZP nesouvisely. Pokud ano, stanoví se uznatelnost mzdových nákladů v poměrné části dle počtu hodin (výše úvazku) odpracovaných při pomoci zaměstnancům OZP a počtu hodin (výše úvazku) odpracovaných v rámci dalších činností. Pokud pracovní asistence tvoří celou pracovní náplň, je uznatelných 100 % mzdových nákladů pracovních asistentů. Pokud pracovní asistence není zajišťována zaměstnanci žadatele, potom si může žadatel nárokovat náklady, které vynaložil na nákup pracovní asistence jako služby.</w:t>
      </w:r>
    </w:p>
    <w:p>
      <w:pPr>
        <w:pStyle w:val="NormalBold"/>
        <w:numPr>
          <w:ilvl w:val="0"/>
          <w:numId w:val="64"/>
        </w:numPr>
        <w:ind w:left="317" w:hanging="357"/>
        <w:jc w:val="both"/>
        <w:outlineLvl w:val="0"/>
        <w:rPr>
          <w:rFonts w:cs="Arial"/>
          <w:b w:val="0"/>
        </w:rPr>
      </w:pPr>
      <w:r>
        <w:rPr>
          <w:rFonts w:cs="Arial"/>
          <w:b w:val="0"/>
        </w:rPr>
        <w:t>V případě provozních zaměstnanců se uznatelnost mzdových nákladů stanoví takto: pokud je pracovní náplní přímá pomoc OZP, jsou uznatelné mzdové náklady za dobu této pomoci; pokud provozní zaměstnanec vykonává činnost související se zaměstnáváním OZP (přidělování úkolů, kontrola práce, vyplňování výkazů práce apod.), stanoví se uznatelnost mzdových nákladů v poměrné části pomocí koeficientu (průměrný přepočtený počet zaměstnanců se zdravotním postižením, na které se vztahuje zvýšení příspěvku, k průměrnému přepočtenému počtu všech zaměstnanců žadatele).</w:t>
      </w:r>
    </w:p>
    <w:p>
      <w:pPr>
        <w:pStyle w:val="NormalBold"/>
        <w:spacing w:after="120"/>
        <w:ind w:left="318"/>
        <w:jc w:val="both"/>
        <w:outlineLvl w:val="0"/>
        <w:rPr>
          <w:rFonts w:cs="Arial"/>
          <w:b w:val="0"/>
        </w:rPr>
      </w:pPr>
      <w:r>
        <w:rPr>
          <w:rFonts w:cs="Arial"/>
          <w:b w:val="0"/>
        </w:rPr>
        <w:t>Uznatelné jsou náklady s datem zdanitelného plnění v příslušném kalendářním čtvrtletí, a které byly zároveň uhrazeny do dne podání žádosti (tj. náklady se musí vztahovat k danému čtvrtletí a zároveň musí být vynaloženy do dne podání žádosti).</w:t>
      </w:r>
    </w:p>
    <w:p>
      <w:pPr>
        <w:pStyle w:val="NormalBold"/>
        <w:ind w:left="318" w:hanging="318"/>
        <w:contextualSpacing/>
        <w:jc w:val="both"/>
        <w:outlineLvl w:val="0"/>
        <w:rPr>
          <w:rFonts w:cs="Arial"/>
          <w:b w:val="0"/>
        </w:rPr>
      </w:pPr>
      <w:r>
        <w:rPr>
          <w:rFonts w:cs="Arial"/>
          <w:b w:val="0"/>
        </w:rPr>
        <w:t>10. Ustanovení § 78a odst. 12 písm. c) ZoZ.:</w:t>
      </w:r>
    </w:p>
    <w:p>
      <w:pPr>
        <w:pStyle w:val="NormalBold"/>
        <w:ind w:left="318"/>
        <w:contextualSpacing/>
        <w:jc w:val="both"/>
        <w:outlineLvl w:val="0"/>
        <w:rPr>
          <w:rFonts w:cs="Arial"/>
          <w:b w:val="0"/>
        </w:rPr>
      </w:pPr>
      <w:r>
        <w:rPr>
          <w:rFonts w:cs="Arial"/>
          <w:b w:val="0"/>
        </w:rPr>
        <w:t>Jedná se o náklady na dopravu zaměstnanců, kteří jsou OZP, na pracoviště a z pracoviště a náklady na dopravu materiálu a hotových výrobků. Uznatelné jsou takové náklady, které přímo souvisí se zaměstnáváním OZP, resp. s dopravou těchto osob na pracoviště nebo z pracoviště a s dopravou materiálu a hotových výrobků, na jejichž výrobě a zpracování se OZP podílí (pohonné hmoty, mzda řidiče, náhrada jízdních výdajů zaměstnance apod.). Uznatelné nejsou náklady, které mají investiční charakter a náklady, u kterých nelze prokázat vztah těchto nákladů ke konkrétní jízdě. Pokud žadatel může předloženými doklady prokázat, že náklad souvisí výhradně s dopravou zaměstnanců se zdravotním postižením na pracoviště a z pracoviště nebo s dopravou materiálu a hotových výrobků, na jejichž výrobě se podílí pouze zaměstnanci se zdravotním postižením, může si uplatnit celou částku vynaložených nákladů. Pokud se doprava týká OZP i zaměstnanců bez zdravotního postižení, stanoví se uznatelnost nákladů v poměrné části pomocí koeficientu (průměrný přepočtený počet zaměstnanců se zdravotním postižením, na které se vztahuje zvýšení příspěvku, k průměrnému přepočtenému počtu všech zaměstnanců žadatele) Žadatel dále doloží vyúčtování vynaložených dopravních nákladů, které bude obsahovat seznam dopravovaných OZP, seznam dopravovaných osob, které nejsou OZP, informaci o  přepravovaném materiálu či hotových výrobcích, odkud kam byly osoby či materiál a výrobky dopravovány a vyčíslení částky, která byla na tuto dopravu žadatelem vynaložena. Toto vyúčtování bude doloženo doklady.</w:t>
      </w:r>
    </w:p>
    <w:p>
      <w:pPr>
        <w:pStyle w:val="NormalBold"/>
        <w:ind w:left="318"/>
        <w:contextualSpacing/>
        <w:jc w:val="both"/>
        <w:outlineLvl w:val="0"/>
        <w:rPr>
          <w:rFonts w:cs="Arial"/>
          <w:b w:val="0"/>
        </w:rPr>
      </w:pPr>
    </w:p>
    <w:p>
      <w:pPr>
        <w:ind w:left="720"/>
        <w:jc w:val="both"/>
      </w:pPr>
    </w:p>
    <w:p>
      <w:pPr>
        <w:pStyle w:val="NormalBold"/>
        <w:ind w:left="-40"/>
        <w:jc w:val="both"/>
        <w:outlineLvl w:val="0"/>
        <w:rPr>
          <w:rFonts w:cs="Arial"/>
          <w:b w:val="0"/>
        </w:rPr>
      </w:pPr>
      <w:r>
        <w:rPr>
          <w:rFonts w:cs="Arial"/>
          <w:b w:val="0"/>
        </w:rPr>
        <w:lastRenderedPageBreak/>
        <w:t>11. Ustanovení § 78a odst. 12 písm. d) ZoZ:</w:t>
      </w:r>
    </w:p>
    <w:p>
      <w:pPr>
        <w:pStyle w:val="NormalBold"/>
        <w:spacing w:after="120"/>
        <w:ind w:left="318"/>
        <w:jc w:val="both"/>
        <w:outlineLvl w:val="0"/>
        <w:rPr>
          <w:rFonts w:cs="Arial"/>
          <w:b w:val="0"/>
        </w:rPr>
      </w:pPr>
      <w:r>
        <w:rPr>
          <w:rFonts w:cs="Arial"/>
          <w:b w:val="0"/>
        </w:rPr>
        <w:t>Náklady na přizpůsobení provozovny jsou uznatelné v případě, kdy jejich vynaložení prokazatelně souvisí se zaměstnáváním OZP. Uznatelnost těchto nákladů je potřeba konzultovat s Úřadem práce před realizací záměru (bude posuzováno v kontextu druhu zdravotního postižení a vykonávané práce; uznatelné jsou náklady dodatečné k těm, které by vznikly podniku při zaměstnávání pracovníků, kteří nejsou zdravotně postižení). Uznatelné jsou náklady s datem zdanitelného plnění v příslušném kalendářním čtvrtletí, a  které byly zároveň uhrazeny do dne podání žádosti (tj. náklady se musí vztahovat k danému čtvrtletí a  zároveň musí být vynaloženy do dne podání žádosti).</w:t>
      </w:r>
    </w:p>
    <w:p>
      <w:pPr>
        <w:pStyle w:val="NormalBold"/>
        <w:ind w:left="426" w:hanging="466"/>
        <w:jc w:val="both"/>
        <w:outlineLvl w:val="0"/>
        <w:rPr>
          <w:rFonts w:cs="Arial"/>
          <w:b w:val="0"/>
        </w:rPr>
      </w:pPr>
      <w:r>
        <w:rPr>
          <w:b w:val="0"/>
        </w:rPr>
        <w:t>12. Je-li žadatelem cizinec bez přiděleného rodného čísla, dokládá potvrzení vystavená na vlastní číslo plátce, pod kterým je u příslušné instituce veden.</w:t>
      </w:r>
    </w:p>
    <w:p>
      <w:pPr>
        <w:ind w:left="709"/>
        <w:jc w:val="both"/>
        <w:rPr>
          <w:szCs w:val="20"/>
        </w:rPr>
      </w:pPr>
    </w:p>
    <w:p>
      <w:pPr>
        <w:pStyle w:val="Pouen"/>
        <w:spacing w:before="0"/>
        <w:outlineLvl w:val="0"/>
        <w:rPr>
          <w:b/>
        </w:rPr>
      </w:pPr>
    </w:p>
    <w:p>
      <w:pPr>
        <w:pStyle w:val="Pouen"/>
        <w:spacing w:before="0"/>
        <w:outlineLvl w:val="0"/>
        <w:rPr>
          <w:b/>
        </w:rPr>
      </w:pPr>
      <w:r>
        <w:rPr>
          <w:b/>
        </w:rPr>
        <w:t>Další informace:</w:t>
      </w:r>
    </w:p>
    <w:p>
      <w:pPr>
        <w:pStyle w:val="Pouen"/>
        <w:numPr>
          <w:ilvl w:val="0"/>
          <w:numId w:val="44"/>
        </w:numPr>
        <w:spacing w:before="0"/>
      </w:pPr>
      <w:r>
        <w:t>Zkratkou „ZoZ“ se rozumí zákon č. 435/2004 Sb., o zaměstnanosti, ve znění pozdějších předpisů.</w:t>
      </w:r>
    </w:p>
    <w:p>
      <w:pPr>
        <w:pStyle w:val="Pouen"/>
        <w:numPr>
          <w:ilvl w:val="0"/>
          <w:numId w:val="44"/>
        </w:numPr>
        <w:spacing w:before="0"/>
      </w:pPr>
      <w:r>
        <w:t xml:space="preserve">Příspěvek se poskytuje čtvrtletně zpětně na základě žádosti žadatele. </w:t>
      </w:r>
      <w:r>
        <w:rPr>
          <w:bCs/>
        </w:rPr>
        <w:t xml:space="preserve">Žádost musí být doručena Úřadu práce ČR nejpozději do konce kalendářního měsíce následujícího po uplynutí kalendářního čtvrtletí, za které je příspěvek požadován. </w:t>
      </w:r>
      <w:r>
        <w:t>V případě nesplnění této podmínky nebude příspěvek poskytnut. O poskytnutí nebo neposkytnutí příspěvku rozhoduje Úřad práce ČR ve správním řízení.</w:t>
      </w:r>
    </w:p>
    <w:p>
      <w:pPr>
        <w:pStyle w:val="Pouen"/>
        <w:numPr>
          <w:ilvl w:val="0"/>
          <w:numId w:val="44"/>
        </w:numPr>
        <w:spacing w:before="0"/>
      </w:pPr>
      <w:r>
        <w:t xml:space="preserve">Při vykazování mzdových nákladů zaměstnance ve jmenném seznamu zaměstnanců postupujte v souladu s ustanovením § 3 odst. 7 zákona č. 592/1992 Sb., o pojistném na všeobecné zdravotní pojištění: </w:t>
      </w:r>
      <w:r>
        <w:rPr>
          <w:i/>
        </w:rPr>
        <w:t>„Je-li zaměstnancem zaměstnavatele zaměstnávajícího více než 50 % OZP z celkového průměrného přepočteného počtu svých zaměstnanců osoba, které byl přiznán invalidní nebo částečný invalidní důchod, je u ní vyměřovacím základem částka přesahující částku, která je vyměřovacím základem u osoby, za kterou je plátcem pojistného stát.“</w:t>
      </w:r>
    </w:p>
    <w:p>
      <w:pPr>
        <w:pStyle w:val="Pouen"/>
        <w:numPr>
          <w:ilvl w:val="0"/>
          <w:numId w:val="44"/>
        </w:numPr>
        <w:spacing w:before="0"/>
      </w:pPr>
      <w:r>
        <w:t>Žádost a jmenný seznam je možné podat rovněž v elektronické podobě podepsané zaručeným elektronickým podpisem.</w:t>
      </w:r>
    </w:p>
    <w:p>
      <w:pPr>
        <w:pStyle w:val="Pouen"/>
        <w:numPr>
          <w:ilvl w:val="0"/>
          <w:numId w:val="44"/>
        </w:numPr>
        <w:spacing w:before="0"/>
      </w:pPr>
      <w:r>
        <w:t xml:space="preserve">Z důvodu elektronického zpracování údajů doporučujeme předkládat jmenný seznam v souboru označeném koncovkou xls, a to buď v elektronické podobě podepsané zaručeným elektronickým podpisem, nebo na datovém nosiči, ke kterému je však třeba přiložit písemnou verzi s podpisem oprávněné osoby. </w:t>
      </w:r>
    </w:p>
    <w:p>
      <w:pPr>
        <w:pStyle w:val="Pouen"/>
        <w:numPr>
          <w:ilvl w:val="0"/>
          <w:numId w:val="44"/>
        </w:numPr>
        <w:spacing w:before="0"/>
        <w:ind w:left="714" w:hanging="357"/>
      </w:pPr>
      <w:r>
        <w:t xml:space="preserve">Mzdový příspěvek uplatňujte v části G. této žádosti a ve jmenném seznamu zaměstnanců bez: </w:t>
      </w:r>
    </w:p>
    <w:p>
      <w:pPr>
        <w:pStyle w:val="Pouen"/>
        <w:spacing w:before="0"/>
        <w:ind w:left="357" w:firstLine="352"/>
      </w:pPr>
      <w:r>
        <w:t xml:space="preserve">- částky odpovídající výši poskytnuté naturální mzdy, </w:t>
      </w:r>
    </w:p>
    <w:p>
      <w:pPr>
        <w:pStyle w:val="Pouen"/>
        <w:spacing w:before="0"/>
        <w:ind w:left="709"/>
      </w:pPr>
      <w:r>
        <w:t xml:space="preserve">- částky odpovídající výši srážky ze mzdy určené k uspokojení plnění žadatele podle občanského zákoníku (s výjimkou srážky k uhrazení škody, za kterou odpovídá zaměstnanec a příspěvku na závodní stravování dle § 236 zákoníku práce), </w:t>
      </w:r>
    </w:p>
    <w:p>
      <w:pPr>
        <w:pStyle w:val="Pouen"/>
        <w:spacing w:before="0"/>
        <w:ind w:left="709"/>
      </w:pPr>
      <w:r>
        <w:t>- částky odpovídající výši náhrady mzdy poskytnutou zaměstnanci při překážkách v práci na straně žadatele.</w:t>
      </w:r>
    </w:p>
    <w:p>
      <w:pPr>
        <w:pStyle w:val="Pouen"/>
        <w:numPr>
          <w:ilvl w:val="0"/>
          <w:numId w:val="62"/>
        </w:numPr>
        <w:spacing w:before="0"/>
        <w:ind w:left="709" w:hanging="283"/>
      </w:pPr>
      <w:r>
        <w:t xml:space="preserve">Poskytnutý příspěvek nebo jeho poměrnou část je žadatel povinen prostřednictvím Úřadu práce ČR ve stanovené lhůtě odvést do státního rozpočtu, jestliže mu byl na základě nesprávných údajů vyplacen neprávem nebo v nesprávné výši; obdobně je žadatel povinen vrátit příspěvek nebo jeho poměrnou část v případě, že mu byl poskytnut v období 12 měsíců přede dnem nabytí právní moci rozhodnutí o uložení pokuty za umožnění výkonu nelegální práce nebo v případě, že bylo Úřadem práce zjištěno, že zaměstnavatel přestal splňovat některou z podmínek stanovených pro uzavření dohody o uznání zaměstnavatele za zaměstnavatele na chráněném trhu práce podle § 78 ZoZ. O povinnosti vrátit poskytnutý příspěvek nebo jeho poměrné části vydá krajská pobočka Úřadu práce ČR rozhodnutí. </w:t>
      </w:r>
    </w:p>
    <w:p>
      <w:pPr>
        <w:pStyle w:val="Pouen"/>
        <w:numPr>
          <w:ilvl w:val="0"/>
          <w:numId w:val="44"/>
        </w:numPr>
        <w:spacing w:before="120"/>
        <w:ind w:left="714" w:hanging="288"/>
      </w:pPr>
      <w:r>
        <w:t>V případě potřeby bližších informací se můžete obrátit na Úřad práce ČR.</w:t>
      </w:r>
    </w:p>
    <w:sectPr>
      <w:footerReference w:type="even" r:id="rId12"/>
      <w:footerReference w:type="default" r:id="rId13"/>
      <w:headerReference w:type="first" r:id="rId14"/>
      <w:footerReference w:type="first" r:id="rId15"/>
      <w:pgSz w:w="11906" w:h="16838" w:code="9"/>
      <w:pgMar w:top="851" w:right="1134" w:bottom="709" w:left="1134"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tabs>
        <w:tab w:val="clear" w:pos="4536"/>
        <w:tab w:val="clear" w:pos="9072"/>
        <w:tab w:val="center" w:pos="4819"/>
        <w:tab w:val="right" w:pos="9638"/>
      </w:tabs>
      <w:rPr>
        <w:sz w:val="16"/>
        <w:szCs w:val="16"/>
      </w:rPr>
    </w:pP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8</w:t>
    </w:r>
    <w:r>
      <w:rPr>
        <w:sz w:val="16"/>
        <w:szCs w:val="16"/>
      </w:rPr>
      <w:fldChar w:fldCharType="end"/>
    </w:r>
    <w:r>
      <w:rPr>
        <w:sz w:val="16"/>
        <w:szCs w:val="16"/>
      </w:rPr>
      <w:t xml:space="preserve">/8 </w:t>
    </w:r>
    <w:r>
      <w:rPr>
        <w:sz w:val="16"/>
        <w:szCs w:val="16"/>
      </w:rPr>
      <w:tab/>
      <w:t>OSÚ</w:t>
    </w:r>
  </w:p>
  <w:p>
    <w:pPr>
      <w:pStyle w:val="Zpa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tabs>
        <w:tab w:val="clear" w:pos="9072"/>
        <w:tab w:val="right" w:pos="9070"/>
      </w:tabs>
      <w:rPr>
        <w:sz w:val="16"/>
        <w:szCs w:val="16"/>
      </w:rPr>
    </w:pPr>
    <w:r>
      <w:rPr>
        <w:sz w:val="16"/>
        <w:szCs w:val="16"/>
      </w:rPr>
      <w:t>Platnost tiskopisu od 1.4.2019</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1</w:t>
    </w:r>
    <w:r>
      <w:rPr>
        <w:sz w:val="16"/>
        <w:szCs w:val="16"/>
      </w:rPr>
      <w:fldChar w:fldCharType="end"/>
    </w:r>
    <w:r>
      <w:rPr>
        <w:sz w:val="16"/>
        <w:szCs w:val="16"/>
      </w:rPr>
      <w:t>/8</w:t>
    </w:r>
    <w:r>
      <w:rPr>
        <w:sz w:val="16"/>
        <w:szCs w:val="16"/>
      </w:rPr>
      <w:tab/>
      <w:t>OSÚ</w:t>
    </w:r>
  </w:p>
  <w:p>
    <w:pPr>
      <w:pStyle w:val="Zpat"/>
      <w:tabs>
        <w:tab w:val="clear" w:pos="4536"/>
        <w:tab w:val="clear" w:pos="9072"/>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tabs>
        <w:tab w:val="clear" w:pos="4536"/>
        <w:tab w:val="clear" w:pos="9072"/>
        <w:tab w:val="center" w:pos="4819"/>
        <w:tab w:val="right" w:pos="9638"/>
      </w:tabs>
      <w:rPr>
        <w:sz w:val="18"/>
        <w:szCs w:val="18"/>
      </w:rPr>
    </w:pPr>
    <w:r>
      <w:t>[Zadejte text.]</w:t>
    </w:r>
    <w:r>
      <w:tab/>
    </w:r>
    <w:r>
      <w:rPr>
        <w:sz w:val="16"/>
        <w:szCs w:val="16"/>
      </w:rPr>
      <w:t>1/8</w:t>
    </w:r>
    <w:r>
      <w:tab/>
    </w:r>
    <w:r>
      <w:rPr>
        <w:sz w:val="16"/>
        <w:szCs w:val="16"/>
      </w:rPr>
      <w:t>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p>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1C4"/>
    <w:multiLevelType w:val="hybridMultilevel"/>
    <w:tmpl w:val="E0BE7F7A"/>
    <w:lvl w:ilvl="0" w:tplc="1BEEE918">
      <w:start w:val="1"/>
      <w:numFmt w:val="decimal"/>
      <w:lvlText w:val="%1."/>
      <w:lvlJc w:val="left"/>
      <w:pPr>
        <w:tabs>
          <w:tab w:val="num" w:pos="320"/>
        </w:tabs>
        <w:ind w:left="3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11D6F"/>
    <w:multiLevelType w:val="hybridMultilevel"/>
    <w:tmpl w:val="C04228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5F74AE"/>
    <w:multiLevelType w:val="hybridMultilevel"/>
    <w:tmpl w:val="2E4EC13C"/>
    <w:lvl w:ilvl="0" w:tplc="743ED3B2">
      <w:start w:val="1"/>
      <w:numFmt w:val="upperLetter"/>
      <w:lvlText w:val="%1."/>
      <w:lvlJc w:val="left"/>
      <w:pPr>
        <w:tabs>
          <w:tab w:val="num" w:pos="360"/>
        </w:tabs>
        <w:ind w:left="360"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675AB2"/>
    <w:multiLevelType w:val="hybridMultilevel"/>
    <w:tmpl w:val="44027A46"/>
    <w:lvl w:ilvl="0" w:tplc="F4B8C212">
      <w:start w:val="1"/>
      <w:numFmt w:val="decimal"/>
      <w:lvlText w:val="%1."/>
      <w:lvlJc w:val="left"/>
      <w:pPr>
        <w:tabs>
          <w:tab w:val="num" w:pos="357"/>
        </w:tabs>
        <w:ind w:left="357" w:hanging="360"/>
      </w:pPr>
      <w:rPr>
        <w:rFonts w:ascii="Arial" w:hAnsi="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930EFB"/>
    <w:multiLevelType w:val="multilevel"/>
    <w:tmpl w:val="9B3CB6D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9CE5FD3"/>
    <w:multiLevelType w:val="multilevel"/>
    <w:tmpl w:val="E55C8DD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F85216"/>
    <w:multiLevelType w:val="hybridMultilevel"/>
    <w:tmpl w:val="AD88D72C"/>
    <w:lvl w:ilvl="0" w:tplc="1E8AF1BA">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505185"/>
    <w:multiLevelType w:val="hybridMultilevel"/>
    <w:tmpl w:val="B9F2F8F2"/>
    <w:lvl w:ilvl="0" w:tplc="188E4790">
      <w:start w:val="2"/>
      <w:numFmt w:val="decimal"/>
      <w:lvlText w:val="%1."/>
      <w:lvlJc w:val="left"/>
      <w:pPr>
        <w:tabs>
          <w:tab w:val="num" w:pos="320"/>
        </w:tabs>
        <w:ind w:left="320" w:hanging="360"/>
      </w:pPr>
      <w:rPr>
        <w:rFonts w:hint="default"/>
      </w:rPr>
    </w:lvl>
    <w:lvl w:ilvl="1" w:tplc="04050019" w:tentative="1">
      <w:start w:val="1"/>
      <w:numFmt w:val="lowerLetter"/>
      <w:lvlText w:val="%2."/>
      <w:lvlJc w:val="left"/>
      <w:pPr>
        <w:tabs>
          <w:tab w:val="num" w:pos="1040"/>
        </w:tabs>
        <w:ind w:left="1040" w:hanging="360"/>
      </w:pPr>
    </w:lvl>
    <w:lvl w:ilvl="2" w:tplc="0405001B" w:tentative="1">
      <w:start w:val="1"/>
      <w:numFmt w:val="lowerRoman"/>
      <w:lvlText w:val="%3."/>
      <w:lvlJc w:val="right"/>
      <w:pPr>
        <w:tabs>
          <w:tab w:val="num" w:pos="1760"/>
        </w:tabs>
        <w:ind w:left="1760" w:hanging="180"/>
      </w:pPr>
    </w:lvl>
    <w:lvl w:ilvl="3" w:tplc="0405000F" w:tentative="1">
      <w:start w:val="1"/>
      <w:numFmt w:val="decimal"/>
      <w:lvlText w:val="%4."/>
      <w:lvlJc w:val="left"/>
      <w:pPr>
        <w:tabs>
          <w:tab w:val="num" w:pos="2480"/>
        </w:tabs>
        <w:ind w:left="2480" w:hanging="360"/>
      </w:pPr>
    </w:lvl>
    <w:lvl w:ilvl="4" w:tplc="04050019" w:tentative="1">
      <w:start w:val="1"/>
      <w:numFmt w:val="lowerLetter"/>
      <w:lvlText w:val="%5."/>
      <w:lvlJc w:val="left"/>
      <w:pPr>
        <w:tabs>
          <w:tab w:val="num" w:pos="3200"/>
        </w:tabs>
        <w:ind w:left="3200" w:hanging="360"/>
      </w:pPr>
    </w:lvl>
    <w:lvl w:ilvl="5" w:tplc="0405001B" w:tentative="1">
      <w:start w:val="1"/>
      <w:numFmt w:val="lowerRoman"/>
      <w:lvlText w:val="%6."/>
      <w:lvlJc w:val="right"/>
      <w:pPr>
        <w:tabs>
          <w:tab w:val="num" w:pos="3920"/>
        </w:tabs>
        <w:ind w:left="3920" w:hanging="180"/>
      </w:pPr>
    </w:lvl>
    <w:lvl w:ilvl="6" w:tplc="0405000F" w:tentative="1">
      <w:start w:val="1"/>
      <w:numFmt w:val="decimal"/>
      <w:lvlText w:val="%7."/>
      <w:lvlJc w:val="left"/>
      <w:pPr>
        <w:tabs>
          <w:tab w:val="num" w:pos="4640"/>
        </w:tabs>
        <w:ind w:left="4640" w:hanging="360"/>
      </w:pPr>
    </w:lvl>
    <w:lvl w:ilvl="7" w:tplc="04050019" w:tentative="1">
      <w:start w:val="1"/>
      <w:numFmt w:val="lowerLetter"/>
      <w:lvlText w:val="%8."/>
      <w:lvlJc w:val="left"/>
      <w:pPr>
        <w:tabs>
          <w:tab w:val="num" w:pos="5360"/>
        </w:tabs>
        <w:ind w:left="5360" w:hanging="360"/>
      </w:pPr>
    </w:lvl>
    <w:lvl w:ilvl="8" w:tplc="0405001B" w:tentative="1">
      <w:start w:val="1"/>
      <w:numFmt w:val="lowerRoman"/>
      <w:lvlText w:val="%9."/>
      <w:lvlJc w:val="right"/>
      <w:pPr>
        <w:tabs>
          <w:tab w:val="num" w:pos="6080"/>
        </w:tabs>
        <w:ind w:left="6080" w:hanging="180"/>
      </w:pPr>
    </w:lvl>
  </w:abstractNum>
  <w:abstractNum w:abstractNumId="8">
    <w:nsid w:val="0FF903C6"/>
    <w:multiLevelType w:val="hybridMultilevel"/>
    <w:tmpl w:val="F3443D84"/>
    <w:lvl w:ilvl="0" w:tplc="0405000F">
      <w:start w:val="1"/>
      <w:numFmt w:val="decimal"/>
      <w:lvlText w:val="%1."/>
      <w:lvlJc w:val="left"/>
      <w:pPr>
        <w:tabs>
          <w:tab w:val="num" w:pos="790"/>
        </w:tabs>
        <w:ind w:left="790" w:hanging="360"/>
      </w:pPr>
    </w:lvl>
    <w:lvl w:ilvl="1" w:tplc="04050019" w:tentative="1">
      <w:start w:val="1"/>
      <w:numFmt w:val="lowerLetter"/>
      <w:lvlText w:val="%2."/>
      <w:lvlJc w:val="left"/>
      <w:pPr>
        <w:tabs>
          <w:tab w:val="num" w:pos="1510"/>
        </w:tabs>
        <w:ind w:left="1510" w:hanging="360"/>
      </w:pPr>
    </w:lvl>
    <w:lvl w:ilvl="2" w:tplc="0405001B" w:tentative="1">
      <w:start w:val="1"/>
      <w:numFmt w:val="lowerRoman"/>
      <w:lvlText w:val="%3."/>
      <w:lvlJc w:val="right"/>
      <w:pPr>
        <w:tabs>
          <w:tab w:val="num" w:pos="2230"/>
        </w:tabs>
        <w:ind w:left="2230" w:hanging="180"/>
      </w:pPr>
    </w:lvl>
    <w:lvl w:ilvl="3" w:tplc="0405000F" w:tentative="1">
      <w:start w:val="1"/>
      <w:numFmt w:val="decimal"/>
      <w:lvlText w:val="%4."/>
      <w:lvlJc w:val="left"/>
      <w:pPr>
        <w:tabs>
          <w:tab w:val="num" w:pos="2950"/>
        </w:tabs>
        <w:ind w:left="2950" w:hanging="360"/>
      </w:pPr>
    </w:lvl>
    <w:lvl w:ilvl="4" w:tplc="04050019" w:tentative="1">
      <w:start w:val="1"/>
      <w:numFmt w:val="lowerLetter"/>
      <w:lvlText w:val="%5."/>
      <w:lvlJc w:val="left"/>
      <w:pPr>
        <w:tabs>
          <w:tab w:val="num" w:pos="3670"/>
        </w:tabs>
        <w:ind w:left="3670" w:hanging="360"/>
      </w:pPr>
    </w:lvl>
    <w:lvl w:ilvl="5" w:tplc="0405001B" w:tentative="1">
      <w:start w:val="1"/>
      <w:numFmt w:val="lowerRoman"/>
      <w:lvlText w:val="%6."/>
      <w:lvlJc w:val="right"/>
      <w:pPr>
        <w:tabs>
          <w:tab w:val="num" w:pos="4390"/>
        </w:tabs>
        <w:ind w:left="4390" w:hanging="180"/>
      </w:pPr>
    </w:lvl>
    <w:lvl w:ilvl="6" w:tplc="0405000F" w:tentative="1">
      <w:start w:val="1"/>
      <w:numFmt w:val="decimal"/>
      <w:lvlText w:val="%7."/>
      <w:lvlJc w:val="left"/>
      <w:pPr>
        <w:tabs>
          <w:tab w:val="num" w:pos="5110"/>
        </w:tabs>
        <w:ind w:left="5110" w:hanging="360"/>
      </w:pPr>
    </w:lvl>
    <w:lvl w:ilvl="7" w:tplc="04050019" w:tentative="1">
      <w:start w:val="1"/>
      <w:numFmt w:val="lowerLetter"/>
      <w:lvlText w:val="%8."/>
      <w:lvlJc w:val="left"/>
      <w:pPr>
        <w:tabs>
          <w:tab w:val="num" w:pos="5830"/>
        </w:tabs>
        <w:ind w:left="5830" w:hanging="360"/>
      </w:pPr>
    </w:lvl>
    <w:lvl w:ilvl="8" w:tplc="0405001B" w:tentative="1">
      <w:start w:val="1"/>
      <w:numFmt w:val="lowerRoman"/>
      <w:lvlText w:val="%9."/>
      <w:lvlJc w:val="right"/>
      <w:pPr>
        <w:tabs>
          <w:tab w:val="num" w:pos="6550"/>
        </w:tabs>
        <w:ind w:left="6550" w:hanging="180"/>
      </w:pPr>
    </w:lvl>
  </w:abstractNum>
  <w:abstractNum w:abstractNumId="9">
    <w:nsid w:val="102E5806"/>
    <w:multiLevelType w:val="hybridMultilevel"/>
    <w:tmpl w:val="2E5E481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1DE1750"/>
    <w:multiLevelType w:val="multilevel"/>
    <w:tmpl w:val="F6FA97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4E11FA3"/>
    <w:multiLevelType w:val="hybridMultilevel"/>
    <w:tmpl w:val="F3CEBC9C"/>
    <w:lvl w:ilvl="0" w:tplc="DF487D9C">
      <w:start w:val="10"/>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224A30"/>
    <w:multiLevelType w:val="hybridMultilevel"/>
    <w:tmpl w:val="C6B48A5C"/>
    <w:lvl w:ilvl="0" w:tplc="646AB15E">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363"/>
        </w:tabs>
        <w:ind w:left="363" w:hanging="360"/>
      </w:pPr>
    </w:lvl>
    <w:lvl w:ilvl="2" w:tplc="0405001B" w:tentative="1">
      <w:start w:val="1"/>
      <w:numFmt w:val="lowerRoman"/>
      <w:lvlText w:val="%3."/>
      <w:lvlJc w:val="right"/>
      <w:pPr>
        <w:tabs>
          <w:tab w:val="num" w:pos="1083"/>
        </w:tabs>
        <w:ind w:left="1083" w:hanging="180"/>
      </w:pPr>
    </w:lvl>
    <w:lvl w:ilvl="3" w:tplc="0405000F" w:tentative="1">
      <w:start w:val="1"/>
      <w:numFmt w:val="decimal"/>
      <w:lvlText w:val="%4."/>
      <w:lvlJc w:val="left"/>
      <w:pPr>
        <w:tabs>
          <w:tab w:val="num" w:pos="1803"/>
        </w:tabs>
        <w:ind w:left="1803" w:hanging="360"/>
      </w:pPr>
    </w:lvl>
    <w:lvl w:ilvl="4" w:tplc="04050019" w:tentative="1">
      <w:start w:val="1"/>
      <w:numFmt w:val="lowerLetter"/>
      <w:lvlText w:val="%5."/>
      <w:lvlJc w:val="left"/>
      <w:pPr>
        <w:tabs>
          <w:tab w:val="num" w:pos="2523"/>
        </w:tabs>
        <w:ind w:left="2523" w:hanging="360"/>
      </w:pPr>
    </w:lvl>
    <w:lvl w:ilvl="5" w:tplc="0405001B" w:tentative="1">
      <w:start w:val="1"/>
      <w:numFmt w:val="lowerRoman"/>
      <w:lvlText w:val="%6."/>
      <w:lvlJc w:val="right"/>
      <w:pPr>
        <w:tabs>
          <w:tab w:val="num" w:pos="3243"/>
        </w:tabs>
        <w:ind w:left="3243" w:hanging="180"/>
      </w:pPr>
    </w:lvl>
    <w:lvl w:ilvl="6" w:tplc="0405000F" w:tentative="1">
      <w:start w:val="1"/>
      <w:numFmt w:val="decimal"/>
      <w:lvlText w:val="%7."/>
      <w:lvlJc w:val="left"/>
      <w:pPr>
        <w:tabs>
          <w:tab w:val="num" w:pos="3963"/>
        </w:tabs>
        <w:ind w:left="3963" w:hanging="360"/>
      </w:pPr>
    </w:lvl>
    <w:lvl w:ilvl="7" w:tplc="04050019" w:tentative="1">
      <w:start w:val="1"/>
      <w:numFmt w:val="lowerLetter"/>
      <w:lvlText w:val="%8."/>
      <w:lvlJc w:val="left"/>
      <w:pPr>
        <w:tabs>
          <w:tab w:val="num" w:pos="4683"/>
        </w:tabs>
        <w:ind w:left="4683" w:hanging="360"/>
      </w:pPr>
    </w:lvl>
    <w:lvl w:ilvl="8" w:tplc="0405001B" w:tentative="1">
      <w:start w:val="1"/>
      <w:numFmt w:val="lowerRoman"/>
      <w:lvlText w:val="%9."/>
      <w:lvlJc w:val="right"/>
      <w:pPr>
        <w:tabs>
          <w:tab w:val="num" w:pos="5403"/>
        </w:tabs>
        <w:ind w:left="5403" w:hanging="180"/>
      </w:pPr>
    </w:lvl>
  </w:abstractNum>
  <w:abstractNum w:abstractNumId="13">
    <w:nsid w:val="16FD1766"/>
    <w:multiLevelType w:val="multilevel"/>
    <w:tmpl w:val="AD1C7EA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9B151FE"/>
    <w:multiLevelType w:val="hybridMultilevel"/>
    <w:tmpl w:val="A746C214"/>
    <w:lvl w:ilvl="0" w:tplc="04050005">
      <w:start w:val="1"/>
      <w:numFmt w:val="bullet"/>
      <w:lvlText w:val=""/>
      <w:lvlJc w:val="left"/>
      <w:pPr>
        <w:tabs>
          <w:tab w:val="num" w:pos="780"/>
        </w:tabs>
        <w:ind w:left="780" w:hanging="360"/>
      </w:pPr>
      <w:rPr>
        <w:rFonts w:ascii="Wingdings" w:hAnsi="Wingdings" w:hint="default"/>
      </w:rPr>
    </w:lvl>
    <w:lvl w:ilvl="1" w:tplc="F4B8C212">
      <w:start w:val="1"/>
      <w:numFmt w:val="decimal"/>
      <w:lvlText w:val="%2."/>
      <w:lvlJc w:val="left"/>
      <w:pPr>
        <w:tabs>
          <w:tab w:val="num" w:pos="1500"/>
        </w:tabs>
        <w:ind w:left="1500" w:hanging="360"/>
      </w:pPr>
      <w:rPr>
        <w:rFonts w:ascii="Arial" w:hAnsi="Arial" w:hint="default"/>
        <w:b w:val="0"/>
        <w:i w:val="0"/>
        <w:sz w:val="20"/>
        <w:szCs w:val="20"/>
      </w:rPr>
    </w:lvl>
    <w:lvl w:ilvl="2" w:tplc="25DE2A42">
      <w:start w:val="4"/>
      <w:numFmt w:val="decimal"/>
      <w:lvlText w:val="%3)"/>
      <w:lvlJc w:val="left"/>
      <w:pPr>
        <w:tabs>
          <w:tab w:val="num" w:pos="2220"/>
        </w:tabs>
        <w:ind w:left="2220" w:hanging="360"/>
      </w:pPr>
      <w:rPr>
        <w:rFonts w:hint="default"/>
        <w:sz w:val="20"/>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nsid w:val="1A8F0AE7"/>
    <w:multiLevelType w:val="hybridMultilevel"/>
    <w:tmpl w:val="DFC2D67A"/>
    <w:lvl w:ilvl="0" w:tplc="AA900C20">
      <w:start w:val="1"/>
      <w:numFmt w:val="upperRoman"/>
      <w:pStyle w:val="Nadpis3"/>
      <w:lvlText w:val="%1."/>
      <w:lvlJc w:val="left"/>
      <w:pPr>
        <w:tabs>
          <w:tab w:val="num" w:pos="1320"/>
        </w:tabs>
        <w:ind w:left="1320" w:hanging="720"/>
      </w:pPr>
      <w:rPr>
        <w:rFonts w:hint="default"/>
      </w:r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16">
    <w:nsid w:val="1B8A45A4"/>
    <w:multiLevelType w:val="hybridMultilevel"/>
    <w:tmpl w:val="005073F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BA83B90"/>
    <w:multiLevelType w:val="multilevel"/>
    <w:tmpl w:val="F6FA97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D160AC2"/>
    <w:multiLevelType w:val="hybridMultilevel"/>
    <w:tmpl w:val="CF7C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960F3C"/>
    <w:multiLevelType w:val="hybridMultilevel"/>
    <w:tmpl w:val="24009DF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FE67E68"/>
    <w:multiLevelType w:val="multilevel"/>
    <w:tmpl w:val="AD1C7EA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36932B5"/>
    <w:multiLevelType w:val="hybridMultilevel"/>
    <w:tmpl w:val="B35A2B86"/>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4AE5755"/>
    <w:multiLevelType w:val="hybridMultilevel"/>
    <w:tmpl w:val="3110AF4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4B15CCA"/>
    <w:multiLevelType w:val="multilevel"/>
    <w:tmpl w:val="14F67A90"/>
    <w:lvl w:ilvl="0">
      <w:start w:val="2"/>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nsid w:val="2739658A"/>
    <w:multiLevelType w:val="hybridMultilevel"/>
    <w:tmpl w:val="4D88E1F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nsid w:val="29456BD3"/>
    <w:multiLevelType w:val="hybridMultilevel"/>
    <w:tmpl w:val="7B12080C"/>
    <w:lvl w:ilvl="0" w:tplc="760A01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9E74164"/>
    <w:multiLevelType w:val="hybridMultilevel"/>
    <w:tmpl w:val="52829D2E"/>
    <w:lvl w:ilvl="0" w:tplc="0A56DFD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2B447FC4"/>
    <w:multiLevelType w:val="hybridMultilevel"/>
    <w:tmpl w:val="5AA012A8"/>
    <w:lvl w:ilvl="0" w:tplc="4D984EDC">
      <w:start w:val="4"/>
      <w:numFmt w:val="decimal"/>
      <w:lvlText w:val="%1."/>
      <w:lvlJc w:val="left"/>
      <w:pPr>
        <w:tabs>
          <w:tab w:val="num" w:pos="780"/>
        </w:tabs>
        <w:ind w:left="780" w:hanging="360"/>
      </w:pPr>
      <w:rPr>
        <w:rFonts w:hint="default"/>
      </w:rPr>
    </w:lvl>
    <w:lvl w:ilvl="1" w:tplc="2EA48E94">
      <w:start w:val="1"/>
      <w:numFmt w:val="lowerLetter"/>
      <w:lvlText w:val="%2)"/>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8">
    <w:nsid w:val="2C917A92"/>
    <w:multiLevelType w:val="hybridMultilevel"/>
    <w:tmpl w:val="97586F9C"/>
    <w:lvl w:ilvl="0" w:tplc="F4B8C212">
      <w:start w:val="1"/>
      <w:numFmt w:val="decimal"/>
      <w:lvlText w:val="%1."/>
      <w:lvlJc w:val="left"/>
      <w:pPr>
        <w:tabs>
          <w:tab w:val="num" w:pos="357"/>
        </w:tabs>
        <w:ind w:left="357" w:hanging="360"/>
      </w:pPr>
      <w:rPr>
        <w:rFonts w:ascii="Arial" w:hAnsi="Arial" w:hint="default"/>
        <w:b w:val="0"/>
        <w:i w:val="0"/>
        <w:sz w:val="20"/>
        <w:szCs w:val="20"/>
      </w:rPr>
    </w:lvl>
    <w:lvl w:ilvl="1" w:tplc="F4B8C212">
      <w:start w:val="1"/>
      <w:numFmt w:val="decimal"/>
      <w:lvlText w:val="%2."/>
      <w:lvlJc w:val="left"/>
      <w:pPr>
        <w:tabs>
          <w:tab w:val="num" w:pos="1437"/>
        </w:tabs>
        <w:ind w:left="1437" w:hanging="360"/>
      </w:pPr>
      <w:rPr>
        <w:rFonts w:ascii="Arial" w:hAnsi="Arial" w:hint="default"/>
        <w:b w:val="0"/>
        <w:i w:val="0"/>
        <w:sz w:val="20"/>
        <w:szCs w:val="20"/>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9">
    <w:nsid w:val="2DF83ADB"/>
    <w:multiLevelType w:val="hybridMultilevel"/>
    <w:tmpl w:val="22962DA0"/>
    <w:lvl w:ilvl="0" w:tplc="04050001">
      <w:start w:val="1"/>
      <w:numFmt w:val="bullet"/>
      <w:lvlText w:val=""/>
      <w:lvlJc w:val="left"/>
      <w:pPr>
        <w:ind w:left="1015" w:hanging="360"/>
      </w:pPr>
      <w:rPr>
        <w:rFonts w:ascii="Symbol" w:hAnsi="Symbol" w:hint="default"/>
      </w:rPr>
    </w:lvl>
    <w:lvl w:ilvl="1" w:tplc="04050003" w:tentative="1">
      <w:start w:val="1"/>
      <w:numFmt w:val="bullet"/>
      <w:lvlText w:val="o"/>
      <w:lvlJc w:val="left"/>
      <w:pPr>
        <w:ind w:left="1735" w:hanging="360"/>
      </w:pPr>
      <w:rPr>
        <w:rFonts w:ascii="Courier New" w:hAnsi="Courier New" w:cs="Courier New" w:hint="default"/>
      </w:rPr>
    </w:lvl>
    <w:lvl w:ilvl="2" w:tplc="04050005" w:tentative="1">
      <w:start w:val="1"/>
      <w:numFmt w:val="bullet"/>
      <w:lvlText w:val=""/>
      <w:lvlJc w:val="left"/>
      <w:pPr>
        <w:ind w:left="2455" w:hanging="360"/>
      </w:pPr>
      <w:rPr>
        <w:rFonts w:ascii="Wingdings" w:hAnsi="Wingdings" w:hint="default"/>
      </w:rPr>
    </w:lvl>
    <w:lvl w:ilvl="3" w:tplc="04050001">
      <w:start w:val="1"/>
      <w:numFmt w:val="bullet"/>
      <w:lvlText w:val=""/>
      <w:lvlJc w:val="left"/>
      <w:pPr>
        <w:ind w:left="3175" w:hanging="360"/>
      </w:pPr>
      <w:rPr>
        <w:rFonts w:ascii="Symbol" w:hAnsi="Symbol" w:hint="default"/>
      </w:rPr>
    </w:lvl>
    <w:lvl w:ilvl="4" w:tplc="04050003" w:tentative="1">
      <w:start w:val="1"/>
      <w:numFmt w:val="bullet"/>
      <w:lvlText w:val="o"/>
      <w:lvlJc w:val="left"/>
      <w:pPr>
        <w:ind w:left="3895" w:hanging="360"/>
      </w:pPr>
      <w:rPr>
        <w:rFonts w:ascii="Courier New" w:hAnsi="Courier New" w:cs="Courier New" w:hint="default"/>
      </w:rPr>
    </w:lvl>
    <w:lvl w:ilvl="5" w:tplc="04050005" w:tentative="1">
      <w:start w:val="1"/>
      <w:numFmt w:val="bullet"/>
      <w:lvlText w:val=""/>
      <w:lvlJc w:val="left"/>
      <w:pPr>
        <w:ind w:left="4615" w:hanging="360"/>
      </w:pPr>
      <w:rPr>
        <w:rFonts w:ascii="Wingdings" w:hAnsi="Wingdings" w:hint="default"/>
      </w:rPr>
    </w:lvl>
    <w:lvl w:ilvl="6" w:tplc="04050001" w:tentative="1">
      <w:start w:val="1"/>
      <w:numFmt w:val="bullet"/>
      <w:lvlText w:val=""/>
      <w:lvlJc w:val="left"/>
      <w:pPr>
        <w:ind w:left="5335" w:hanging="360"/>
      </w:pPr>
      <w:rPr>
        <w:rFonts w:ascii="Symbol" w:hAnsi="Symbol" w:hint="default"/>
      </w:rPr>
    </w:lvl>
    <w:lvl w:ilvl="7" w:tplc="04050003" w:tentative="1">
      <w:start w:val="1"/>
      <w:numFmt w:val="bullet"/>
      <w:lvlText w:val="o"/>
      <w:lvlJc w:val="left"/>
      <w:pPr>
        <w:ind w:left="6055" w:hanging="360"/>
      </w:pPr>
      <w:rPr>
        <w:rFonts w:ascii="Courier New" w:hAnsi="Courier New" w:cs="Courier New" w:hint="default"/>
      </w:rPr>
    </w:lvl>
    <w:lvl w:ilvl="8" w:tplc="04050005" w:tentative="1">
      <w:start w:val="1"/>
      <w:numFmt w:val="bullet"/>
      <w:lvlText w:val=""/>
      <w:lvlJc w:val="left"/>
      <w:pPr>
        <w:ind w:left="6775" w:hanging="360"/>
      </w:pPr>
      <w:rPr>
        <w:rFonts w:ascii="Wingdings" w:hAnsi="Wingdings" w:hint="default"/>
      </w:rPr>
    </w:lvl>
  </w:abstractNum>
  <w:abstractNum w:abstractNumId="30">
    <w:nsid w:val="2F5746D6"/>
    <w:multiLevelType w:val="hybridMultilevel"/>
    <w:tmpl w:val="9AF677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35F1309"/>
    <w:multiLevelType w:val="hybridMultilevel"/>
    <w:tmpl w:val="FBD84AA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376A27B1"/>
    <w:multiLevelType w:val="multilevel"/>
    <w:tmpl w:val="FBD84A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37DB7A2E"/>
    <w:multiLevelType w:val="hybridMultilevel"/>
    <w:tmpl w:val="17D6DB94"/>
    <w:lvl w:ilvl="0" w:tplc="646AB15E">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363"/>
        </w:tabs>
        <w:ind w:left="363" w:hanging="360"/>
      </w:pPr>
    </w:lvl>
    <w:lvl w:ilvl="2" w:tplc="0405001B" w:tentative="1">
      <w:start w:val="1"/>
      <w:numFmt w:val="lowerRoman"/>
      <w:lvlText w:val="%3."/>
      <w:lvlJc w:val="right"/>
      <w:pPr>
        <w:tabs>
          <w:tab w:val="num" w:pos="1083"/>
        </w:tabs>
        <w:ind w:left="1083" w:hanging="180"/>
      </w:pPr>
    </w:lvl>
    <w:lvl w:ilvl="3" w:tplc="0405000F" w:tentative="1">
      <w:start w:val="1"/>
      <w:numFmt w:val="decimal"/>
      <w:lvlText w:val="%4."/>
      <w:lvlJc w:val="left"/>
      <w:pPr>
        <w:tabs>
          <w:tab w:val="num" w:pos="1803"/>
        </w:tabs>
        <w:ind w:left="1803" w:hanging="360"/>
      </w:pPr>
    </w:lvl>
    <w:lvl w:ilvl="4" w:tplc="04050019" w:tentative="1">
      <w:start w:val="1"/>
      <w:numFmt w:val="lowerLetter"/>
      <w:lvlText w:val="%5."/>
      <w:lvlJc w:val="left"/>
      <w:pPr>
        <w:tabs>
          <w:tab w:val="num" w:pos="2523"/>
        </w:tabs>
        <w:ind w:left="2523" w:hanging="360"/>
      </w:pPr>
    </w:lvl>
    <w:lvl w:ilvl="5" w:tplc="0405001B" w:tentative="1">
      <w:start w:val="1"/>
      <w:numFmt w:val="lowerRoman"/>
      <w:lvlText w:val="%6."/>
      <w:lvlJc w:val="right"/>
      <w:pPr>
        <w:tabs>
          <w:tab w:val="num" w:pos="3243"/>
        </w:tabs>
        <w:ind w:left="3243" w:hanging="180"/>
      </w:pPr>
    </w:lvl>
    <w:lvl w:ilvl="6" w:tplc="0405000F" w:tentative="1">
      <w:start w:val="1"/>
      <w:numFmt w:val="decimal"/>
      <w:lvlText w:val="%7."/>
      <w:lvlJc w:val="left"/>
      <w:pPr>
        <w:tabs>
          <w:tab w:val="num" w:pos="3963"/>
        </w:tabs>
        <w:ind w:left="3963" w:hanging="360"/>
      </w:pPr>
    </w:lvl>
    <w:lvl w:ilvl="7" w:tplc="04050019" w:tentative="1">
      <w:start w:val="1"/>
      <w:numFmt w:val="lowerLetter"/>
      <w:lvlText w:val="%8."/>
      <w:lvlJc w:val="left"/>
      <w:pPr>
        <w:tabs>
          <w:tab w:val="num" w:pos="4683"/>
        </w:tabs>
        <w:ind w:left="4683" w:hanging="360"/>
      </w:pPr>
    </w:lvl>
    <w:lvl w:ilvl="8" w:tplc="0405001B" w:tentative="1">
      <w:start w:val="1"/>
      <w:numFmt w:val="lowerRoman"/>
      <w:lvlText w:val="%9."/>
      <w:lvlJc w:val="right"/>
      <w:pPr>
        <w:tabs>
          <w:tab w:val="num" w:pos="5403"/>
        </w:tabs>
        <w:ind w:left="5403" w:hanging="180"/>
      </w:pPr>
    </w:lvl>
  </w:abstractNum>
  <w:abstractNum w:abstractNumId="34">
    <w:nsid w:val="3AF5056D"/>
    <w:multiLevelType w:val="hybridMultilevel"/>
    <w:tmpl w:val="CC28BDA0"/>
    <w:lvl w:ilvl="0" w:tplc="C96229B6">
      <w:start w:val="1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CE156E6"/>
    <w:multiLevelType w:val="hybridMultilevel"/>
    <w:tmpl w:val="D60C31CE"/>
    <w:lvl w:ilvl="0" w:tplc="04050001">
      <w:start w:val="1"/>
      <w:numFmt w:val="bullet"/>
      <w:lvlText w:val=""/>
      <w:lvlJc w:val="left"/>
      <w:pPr>
        <w:tabs>
          <w:tab w:val="num" w:pos="1430"/>
        </w:tabs>
        <w:ind w:left="1430" w:hanging="360"/>
      </w:pPr>
      <w:rPr>
        <w:rFonts w:ascii="Symbol" w:hAnsi="Symbol" w:hint="default"/>
      </w:rPr>
    </w:lvl>
    <w:lvl w:ilvl="1" w:tplc="04050003" w:tentative="1">
      <w:start w:val="1"/>
      <w:numFmt w:val="bullet"/>
      <w:lvlText w:val="o"/>
      <w:lvlJc w:val="left"/>
      <w:pPr>
        <w:tabs>
          <w:tab w:val="num" w:pos="2150"/>
        </w:tabs>
        <w:ind w:left="2150" w:hanging="360"/>
      </w:pPr>
      <w:rPr>
        <w:rFonts w:ascii="Courier New" w:hAnsi="Courier New" w:hint="default"/>
      </w:rPr>
    </w:lvl>
    <w:lvl w:ilvl="2" w:tplc="04050005" w:tentative="1">
      <w:start w:val="1"/>
      <w:numFmt w:val="bullet"/>
      <w:lvlText w:val=""/>
      <w:lvlJc w:val="left"/>
      <w:pPr>
        <w:tabs>
          <w:tab w:val="num" w:pos="2870"/>
        </w:tabs>
        <w:ind w:left="2870" w:hanging="360"/>
      </w:pPr>
      <w:rPr>
        <w:rFonts w:ascii="Wingdings" w:hAnsi="Wingdings" w:hint="default"/>
      </w:rPr>
    </w:lvl>
    <w:lvl w:ilvl="3" w:tplc="04050001" w:tentative="1">
      <w:start w:val="1"/>
      <w:numFmt w:val="bullet"/>
      <w:lvlText w:val=""/>
      <w:lvlJc w:val="left"/>
      <w:pPr>
        <w:tabs>
          <w:tab w:val="num" w:pos="3590"/>
        </w:tabs>
        <w:ind w:left="3590" w:hanging="360"/>
      </w:pPr>
      <w:rPr>
        <w:rFonts w:ascii="Symbol" w:hAnsi="Symbol" w:hint="default"/>
      </w:rPr>
    </w:lvl>
    <w:lvl w:ilvl="4" w:tplc="04050003" w:tentative="1">
      <w:start w:val="1"/>
      <w:numFmt w:val="bullet"/>
      <w:lvlText w:val="o"/>
      <w:lvlJc w:val="left"/>
      <w:pPr>
        <w:tabs>
          <w:tab w:val="num" w:pos="4310"/>
        </w:tabs>
        <w:ind w:left="4310" w:hanging="360"/>
      </w:pPr>
      <w:rPr>
        <w:rFonts w:ascii="Courier New" w:hAnsi="Courier New" w:hint="default"/>
      </w:rPr>
    </w:lvl>
    <w:lvl w:ilvl="5" w:tplc="04050005" w:tentative="1">
      <w:start w:val="1"/>
      <w:numFmt w:val="bullet"/>
      <w:lvlText w:val=""/>
      <w:lvlJc w:val="left"/>
      <w:pPr>
        <w:tabs>
          <w:tab w:val="num" w:pos="5030"/>
        </w:tabs>
        <w:ind w:left="5030" w:hanging="360"/>
      </w:pPr>
      <w:rPr>
        <w:rFonts w:ascii="Wingdings" w:hAnsi="Wingdings" w:hint="default"/>
      </w:rPr>
    </w:lvl>
    <w:lvl w:ilvl="6" w:tplc="04050001" w:tentative="1">
      <w:start w:val="1"/>
      <w:numFmt w:val="bullet"/>
      <w:lvlText w:val=""/>
      <w:lvlJc w:val="left"/>
      <w:pPr>
        <w:tabs>
          <w:tab w:val="num" w:pos="5750"/>
        </w:tabs>
        <w:ind w:left="5750" w:hanging="360"/>
      </w:pPr>
      <w:rPr>
        <w:rFonts w:ascii="Symbol" w:hAnsi="Symbol" w:hint="default"/>
      </w:rPr>
    </w:lvl>
    <w:lvl w:ilvl="7" w:tplc="04050003" w:tentative="1">
      <w:start w:val="1"/>
      <w:numFmt w:val="bullet"/>
      <w:lvlText w:val="o"/>
      <w:lvlJc w:val="left"/>
      <w:pPr>
        <w:tabs>
          <w:tab w:val="num" w:pos="6470"/>
        </w:tabs>
        <w:ind w:left="6470" w:hanging="360"/>
      </w:pPr>
      <w:rPr>
        <w:rFonts w:ascii="Courier New" w:hAnsi="Courier New" w:hint="default"/>
      </w:rPr>
    </w:lvl>
    <w:lvl w:ilvl="8" w:tplc="04050005" w:tentative="1">
      <w:start w:val="1"/>
      <w:numFmt w:val="bullet"/>
      <w:lvlText w:val=""/>
      <w:lvlJc w:val="left"/>
      <w:pPr>
        <w:tabs>
          <w:tab w:val="num" w:pos="7190"/>
        </w:tabs>
        <w:ind w:left="7190" w:hanging="360"/>
      </w:pPr>
      <w:rPr>
        <w:rFonts w:ascii="Wingdings" w:hAnsi="Wingdings" w:hint="default"/>
      </w:rPr>
    </w:lvl>
  </w:abstractNum>
  <w:abstractNum w:abstractNumId="36">
    <w:nsid w:val="41952B7C"/>
    <w:multiLevelType w:val="hybridMultilevel"/>
    <w:tmpl w:val="FD4C106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1C5713D"/>
    <w:multiLevelType w:val="hybridMultilevel"/>
    <w:tmpl w:val="13C6072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5947916"/>
    <w:multiLevelType w:val="hybridMultilevel"/>
    <w:tmpl w:val="2926F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99E7A8F"/>
    <w:multiLevelType w:val="hybridMultilevel"/>
    <w:tmpl w:val="3940CE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4BE31B5D"/>
    <w:multiLevelType w:val="hybridMultilevel"/>
    <w:tmpl w:val="3F4A63CA"/>
    <w:lvl w:ilvl="0" w:tplc="61D46F4C">
      <w:start w:val="4"/>
      <w:numFmt w:val="decimal"/>
      <w:lvlText w:val="%1."/>
      <w:lvlJc w:val="left"/>
      <w:pPr>
        <w:tabs>
          <w:tab w:val="num" w:pos="320"/>
        </w:tabs>
        <w:ind w:left="320" w:hanging="360"/>
      </w:pPr>
      <w:rPr>
        <w:rFonts w:hint="default"/>
        <w:color w:val="auto"/>
      </w:rPr>
    </w:lvl>
    <w:lvl w:ilvl="1" w:tplc="04050019" w:tentative="1">
      <w:start w:val="1"/>
      <w:numFmt w:val="lowerLetter"/>
      <w:lvlText w:val="%2."/>
      <w:lvlJc w:val="left"/>
      <w:pPr>
        <w:tabs>
          <w:tab w:val="num" w:pos="1040"/>
        </w:tabs>
        <w:ind w:left="1040" w:hanging="360"/>
      </w:pPr>
    </w:lvl>
    <w:lvl w:ilvl="2" w:tplc="0405001B" w:tentative="1">
      <w:start w:val="1"/>
      <w:numFmt w:val="lowerRoman"/>
      <w:lvlText w:val="%3."/>
      <w:lvlJc w:val="right"/>
      <w:pPr>
        <w:tabs>
          <w:tab w:val="num" w:pos="1760"/>
        </w:tabs>
        <w:ind w:left="1760" w:hanging="180"/>
      </w:pPr>
    </w:lvl>
    <w:lvl w:ilvl="3" w:tplc="0405000F" w:tentative="1">
      <w:start w:val="1"/>
      <w:numFmt w:val="decimal"/>
      <w:lvlText w:val="%4."/>
      <w:lvlJc w:val="left"/>
      <w:pPr>
        <w:tabs>
          <w:tab w:val="num" w:pos="2480"/>
        </w:tabs>
        <w:ind w:left="2480" w:hanging="360"/>
      </w:pPr>
    </w:lvl>
    <w:lvl w:ilvl="4" w:tplc="04050019" w:tentative="1">
      <w:start w:val="1"/>
      <w:numFmt w:val="lowerLetter"/>
      <w:lvlText w:val="%5."/>
      <w:lvlJc w:val="left"/>
      <w:pPr>
        <w:tabs>
          <w:tab w:val="num" w:pos="3200"/>
        </w:tabs>
        <w:ind w:left="3200" w:hanging="360"/>
      </w:pPr>
    </w:lvl>
    <w:lvl w:ilvl="5" w:tplc="0405001B" w:tentative="1">
      <w:start w:val="1"/>
      <w:numFmt w:val="lowerRoman"/>
      <w:lvlText w:val="%6."/>
      <w:lvlJc w:val="right"/>
      <w:pPr>
        <w:tabs>
          <w:tab w:val="num" w:pos="3920"/>
        </w:tabs>
        <w:ind w:left="3920" w:hanging="180"/>
      </w:pPr>
    </w:lvl>
    <w:lvl w:ilvl="6" w:tplc="0405000F" w:tentative="1">
      <w:start w:val="1"/>
      <w:numFmt w:val="decimal"/>
      <w:lvlText w:val="%7."/>
      <w:lvlJc w:val="left"/>
      <w:pPr>
        <w:tabs>
          <w:tab w:val="num" w:pos="4640"/>
        </w:tabs>
        <w:ind w:left="4640" w:hanging="360"/>
      </w:pPr>
    </w:lvl>
    <w:lvl w:ilvl="7" w:tplc="04050019" w:tentative="1">
      <w:start w:val="1"/>
      <w:numFmt w:val="lowerLetter"/>
      <w:lvlText w:val="%8."/>
      <w:lvlJc w:val="left"/>
      <w:pPr>
        <w:tabs>
          <w:tab w:val="num" w:pos="5360"/>
        </w:tabs>
        <w:ind w:left="5360" w:hanging="360"/>
      </w:pPr>
    </w:lvl>
    <w:lvl w:ilvl="8" w:tplc="0405001B" w:tentative="1">
      <w:start w:val="1"/>
      <w:numFmt w:val="lowerRoman"/>
      <w:lvlText w:val="%9."/>
      <w:lvlJc w:val="right"/>
      <w:pPr>
        <w:tabs>
          <w:tab w:val="num" w:pos="6080"/>
        </w:tabs>
        <w:ind w:left="6080" w:hanging="180"/>
      </w:pPr>
    </w:lvl>
  </w:abstractNum>
  <w:abstractNum w:abstractNumId="41">
    <w:nsid w:val="4C6C2358"/>
    <w:multiLevelType w:val="hybridMultilevel"/>
    <w:tmpl w:val="5DA27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D450D79"/>
    <w:multiLevelType w:val="hybridMultilevel"/>
    <w:tmpl w:val="0C46368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nsid w:val="53674C51"/>
    <w:multiLevelType w:val="multilevel"/>
    <w:tmpl w:val="FC2A767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56FA0B37"/>
    <w:multiLevelType w:val="multilevel"/>
    <w:tmpl w:val="9440EC60"/>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607"/>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nsid w:val="5B033B89"/>
    <w:multiLevelType w:val="multilevel"/>
    <w:tmpl w:val="A6628D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5D5D0377"/>
    <w:multiLevelType w:val="hybridMultilevel"/>
    <w:tmpl w:val="0C16F2B6"/>
    <w:lvl w:ilvl="0" w:tplc="04050015">
      <w:start w:val="8"/>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5D607771"/>
    <w:multiLevelType w:val="hybridMultilevel"/>
    <w:tmpl w:val="D39CC2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5E860CCD"/>
    <w:multiLevelType w:val="hybridMultilevel"/>
    <w:tmpl w:val="A6628DE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9">
    <w:nsid w:val="5EF0717B"/>
    <w:multiLevelType w:val="hybridMultilevel"/>
    <w:tmpl w:val="60F29260"/>
    <w:lvl w:ilvl="0" w:tplc="E1981A2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F1D2207"/>
    <w:multiLevelType w:val="hybridMultilevel"/>
    <w:tmpl w:val="4306A3A8"/>
    <w:lvl w:ilvl="0" w:tplc="F8EAD20C">
      <w:start w:val="1"/>
      <w:numFmt w:val="decimal"/>
      <w:lvlText w:val="%1."/>
      <w:lvlJc w:val="left"/>
      <w:pPr>
        <w:tabs>
          <w:tab w:val="num" w:pos="430"/>
        </w:tabs>
        <w:ind w:left="430" w:hanging="360"/>
      </w:pPr>
      <w:rPr>
        <w:rFonts w:hint="default"/>
        <w:b w:val="0"/>
      </w:rPr>
    </w:lvl>
    <w:lvl w:ilvl="1" w:tplc="04050001">
      <w:start w:val="1"/>
      <w:numFmt w:val="bullet"/>
      <w:lvlText w:val=""/>
      <w:lvlJc w:val="left"/>
      <w:pPr>
        <w:tabs>
          <w:tab w:val="num" w:pos="1150"/>
        </w:tabs>
        <w:ind w:left="1150" w:hanging="360"/>
      </w:pPr>
      <w:rPr>
        <w:rFonts w:ascii="Symbol" w:hAnsi="Symbol" w:hint="default"/>
      </w:rPr>
    </w:lvl>
    <w:lvl w:ilvl="2" w:tplc="8820B126">
      <w:start w:val="1"/>
      <w:numFmt w:val="bullet"/>
      <w:lvlText w:val="-"/>
      <w:lvlJc w:val="left"/>
      <w:pPr>
        <w:tabs>
          <w:tab w:val="num" w:pos="2050"/>
        </w:tabs>
        <w:ind w:left="2050" w:hanging="360"/>
      </w:pPr>
      <w:rPr>
        <w:rFonts w:ascii="Arial" w:eastAsia="Times New Roman" w:hAnsi="Arial" w:cs="Arial" w:hint="default"/>
      </w:r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1">
    <w:nsid w:val="6649561B"/>
    <w:multiLevelType w:val="hybridMultilevel"/>
    <w:tmpl w:val="303CBB78"/>
    <w:lvl w:ilvl="0" w:tplc="0405000F">
      <w:start w:val="1"/>
      <w:numFmt w:val="decimal"/>
      <w:lvlText w:val="%1."/>
      <w:lvlJc w:val="left"/>
      <w:pPr>
        <w:tabs>
          <w:tab w:val="num" w:pos="430"/>
        </w:tabs>
        <w:ind w:left="430" w:hanging="360"/>
      </w:pPr>
    </w:lvl>
    <w:lvl w:ilvl="1" w:tplc="04050019">
      <w:start w:val="1"/>
      <w:numFmt w:val="lowerLetter"/>
      <w:lvlText w:val="%2."/>
      <w:lvlJc w:val="left"/>
      <w:pPr>
        <w:tabs>
          <w:tab w:val="num" w:pos="1150"/>
        </w:tabs>
        <w:ind w:left="1150" w:hanging="360"/>
      </w:pPr>
    </w:lvl>
    <w:lvl w:ilvl="2" w:tplc="0405000F">
      <w:start w:val="1"/>
      <w:numFmt w:val="decimal"/>
      <w:lvlText w:val="%3."/>
      <w:lvlJc w:val="left"/>
      <w:pPr>
        <w:tabs>
          <w:tab w:val="num" w:pos="2050"/>
        </w:tabs>
        <w:ind w:left="2050" w:hanging="360"/>
      </w:p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2">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6B074911"/>
    <w:multiLevelType w:val="hybridMultilevel"/>
    <w:tmpl w:val="303CBB78"/>
    <w:lvl w:ilvl="0" w:tplc="04050001">
      <w:start w:val="1"/>
      <w:numFmt w:val="bullet"/>
      <w:lvlText w:val=""/>
      <w:lvlJc w:val="left"/>
      <w:pPr>
        <w:tabs>
          <w:tab w:val="num" w:pos="430"/>
        </w:tabs>
        <w:ind w:left="430" w:hanging="360"/>
      </w:pPr>
      <w:rPr>
        <w:rFonts w:ascii="Symbol" w:hAnsi="Symbol" w:hint="default"/>
      </w:rPr>
    </w:lvl>
    <w:lvl w:ilvl="1" w:tplc="04050019">
      <w:start w:val="1"/>
      <w:numFmt w:val="lowerLetter"/>
      <w:lvlText w:val="%2."/>
      <w:lvlJc w:val="left"/>
      <w:pPr>
        <w:tabs>
          <w:tab w:val="num" w:pos="1150"/>
        </w:tabs>
        <w:ind w:left="1150" w:hanging="360"/>
      </w:pPr>
    </w:lvl>
    <w:lvl w:ilvl="2" w:tplc="0405001B" w:tentative="1">
      <w:start w:val="1"/>
      <w:numFmt w:val="lowerRoman"/>
      <w:lvlText w:val="%3."/>
      <w:lvlJc w:val="right"/>
      <w:pPr>
        <w:tabs>
          <w:tab w:val="num" w:pos="1870"/>
        </w:tabs>
        <w:ind w:left="1870" w:hanging="180"/>
      </w:p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4">
    <w:nsid w:val="6DDB3F73"/>
    <w:multiLevelType w:val="hybridMultilevel"/>
    <w:tmpl w:val="FB8E1916"/>
    <w:lvl w:ilvl="0" w:tplc="7F041D64">
      <w:start w:val="6"/>
      <w:numFmt w:val="decimal"/>
      <w:lvlText w:val="%1)"/>
      <w:lvlJc w:val="left"/>
      <w:pPr>
        <w:tabs>
          <w:tab w:val="num" w:pos="1069"/>
        </w:tabs>
        <w:ind w:left="1069" w:hanging="360"/>
      </w:pPr>
      <w:rPr>
        <w:rFonts w:cs="Tahoma"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5">
    <w:nsid w:val="70EA0864"/>
    <w:multiLevelType w:val="multilevel"/>
    <w:tmpl w:val="3CA634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1033FD6"/>
    <w:multiLevelType w:val="hybridMultilevel"/>
    <w:tmpl w:val="535E9F40"/>
    <w:lvl w:ilvl="0" w:tplc="0405000F">
      <w:start w:val="1"/>
      <w:numFmt w:val="decimal"/>
      <w:lvlText w:val="%1."/>
      <w:lvlJc w:val="left"/>
      <w:pPr>
        <w:tabs>
          <w:tab w:val="num" w:pos="790"/>
        </w:tabs>
        <w:ind w:left="790" w:hanging="360"/>
      </w:pPr>
    </w:lvl>
    <w:lvl w:ilvl="1" w:tplc="04050019" w:tentative="1">
      <w:start w:val="1"/>
      <w:numFmt w:val="lowerLetter"/>
      <w:lvlText w:val="%2."/>
      <w:lvlJc w:val="left"/>
      <w:pPr>
        <w:tabs>
          <w:tab w:val="num" w:pos="1510"/>
        </w:tabs>
        <w:ind w:left="1510" w:hanging="360"/>
      </w:pPr>
    </w:lvl>
    <w:lvl w:ilvl="2" w:tplc="0405001B" w:tentative="1">
      <w:start w:val="1"/>
      <w:numFmt w:val="lowerRoman"/>
      <w:lvlText w:val="%3."/>
      <w:lvlJc w:val="right"/>
      <w:pPr>
        <w:tabs>
          <w:tab w:val="num" w:pos="2230"/>
        </w:tabs>
        <w:ind w:left="2230" w:hanging="180"/>
      </w:pPr>
    </w:lvl>
    <w:lvl w:ilvl="3" w:tplc="0405000F" w:tentative="1">
      <w:start w:val="1"/>
      <w:numFmt w:val="decimal"/>
      <w:lvlText w:val="%4."/>
      <w:lvlJc w:val="left"/>
      <w:pPr>
        <w:tabs>
          <w:tab w:val="num" w:pos="2950"/>
        </w:tabs>
        <w:ind w:left="2950" w:hanging="360"/>
      </w:pPr>
    </w:lvl>
    <w:lvl w:ilvl="4" w:tplc="04050019" w:tentative="1">
      <w:start w:val="1"/>
      <w:numFmt w:val="lowerLetter"/>
      <w:lvlText w:val="%5."/>
      <w:lvlJc w:val="left"/>
      <w:pPr>
        <w:tabs>
          <w:tab w:val="num" w:pos="3670"/>
        </w:tabs>
        <w:ind w:left="3670" w:hanging="360"/>
      </w:pPr>
    </w:lvl>
    <w:lvl w:ilvl="5" w:tplc="0405001B" w:tentative="1">
      <w:start w:val="1"/>
      <w:numFmt w:val="lowerRoman"/>
      <w:lvlText w:val="%6."/>
      <w:lvlJc w:val="right"/>
      <w:pPr>
        <w:tabs>
          <w:tab w:val="num" w:pos="4390"/>
        </w:tabs>
        <w:ind w:left="4390" w:hanging="180"/>
      </w:pPr>
    </w:lvl>
    <w:lvl w:ilvl="6" w:tplc="0405000F" w:tentative="1">
      <w:start w:val="1"/>
      <w:numFmt w:val="decimal"/>
      <w:lvlText w:val="%7."/>
      <w:lvlJc w:val="left"/>
      <w:pPr>
        <w:tabs>
          <w:tab w:val="num" w:pos="5110"/>
        </w:tabs>
        <w:ind w:left="5110" w:hanging="360"/>
      </w:pPr>
    </w:lvl>
    <w:lvl w:ilvl="7" w:tplc="04050019" w:tentative="1">
      <w:start w:val="1"/>
      <w:numFmt w:val="lowerLetter"/>
      <w:lvlText w:val="%8."/>
      <w:lvlJc w:val="left"/>
      <w:pPr>
        <w:tabs>
          <w:tab w:val="num" w:pos="5830"/>
        </w:tabs>
        <w:ind w:left="5830" w:hanging="360"/>
      </w:pPr>
    </w:lvl>
    <w:lvl w:ilvl="8" w:tplc="0405001B" w:tentative="1">
      <w:start w:val="1"/>
      <w:numFmt w:val="lowerRoman"/>
      <w:lvlText w:val="%9."/>
      <w:lvlJc w:val="right"/>
      <w:pPr>
        <w:tabs>
          <w:tab w:val="num" w:pos="6550"/>
        </w:tabs>
        <w:ind w:left="6550" w:hanging="180"/>
      </w:pPr>
    </w:lvl>
  </w:abstractNum>
  <w:abstractNum w:abstractNumId="57">
    <w:nsid w:val="730143F4"/>
    <w:multiLevelType w:val="multilevel"/>
    <w:tmpl w:val="3B42A836"/>
    <w:lvl w:ilvl="0">
      <w:start w:val="2"/>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58">
    <w:nsid w:val="73747FC0"/>
    <w:multiLevelType w:val="hybridMultilevel"/>
    <w:tmpl w:val="972CD736"/>
    <w:lvl w:ilvl="0" w:tplc="04050015">
      <w:start w:val="8"/>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74CB5D73"/>
    <w:multiLevelType w:val="hybridMultilevel"/>
    <w:tmpl w:val="7D640CC2"/>
    <w:lvl w:ilvl="0" w:tplc="42F2BD8A">
      <w:start w:val="1"/>
      <w:numFmt w:val="upperLetter"/>
      <w:pStyle w:val="Sekce"/>
      <w:lvlText w:val="%1."/>
      <w:lvlJc w:val="left"/>
      <w:pPr>
        <w:tabs>
          <w:tab w:val="num" w:pos="360"/>
        </w:tabs>
        <w:ind w:left="360" w:hanging="360"/>
      </w:pPr>
      <w:rPr>
        <w:rFonts w:ascii="Arial" w:hAnsi="Arial" w:hint="default"/>
        <w:b/>
        <w:i w:val="0"/>
        <w:sz w:val="20"/>
        <w:szCs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2CD412C6">
      <w:start w:val="1"/>
      <w:numFmt w:val="lowerLetter"/>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0">
    <w:nsid w:val="76184D86"/>
    <w:multiLevelType w:val="hybridMultilevel"/>
    <w:tmpl w:val="52FC08B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nsid w:val="76C122E2"/>
    <w:multiLevelType w:val="multilevel"/>
    <w:tmpl w:val="6E2C0FBC"/>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nsid w:val="7B8A3272"/>
    <w:multiLevelType w:val="hybridMultilevel"/>
    <w:tmpl w:val="FE3AB2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7F274814"/>
    <w:multiLevelType w:val="hybridMultilevel"/>
    <w:tmpl w:val="BA2E0744"/>
    <w:lvl w:ilvl="0" w:tplc="20081D94">
      <w:start w:val="1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0"/>
  </w:num>
  <w:num w:numId="2">
    <w:abstractNumId w:val="59"/>
  </w:num>
  <w:num w:numId="3">
    <w:abstractNumId w:val="20"/>
  </w:num>
  <w:num w:numId="4">
    <w:abstractNumId w:val="31"/>
  </w:num>
  <w:num w:numId="5">
    <w:abstractNumId w:val="56"/>
  </w:num>
  <w:num w:numId="6">
    <w:abstractNumId w:val="8"/>
  </w:num>
  <w:num w:numId="7">
    <w:abstractNumId w:val="13"/>
  </w:num>
  <w:num w:numId="8">
    <w:abstractNumId w:val="4"/>
  </w:num>
  <w:num w:numId="9">
    <w:abstractNumId w:val="32"/>
  </w:num>
  <w:num w:numId="10">
    <w:abstractNumId w:val="48"/>
  </w:num>
  <w:num w:numId="11">
    <w:abstractNumId w:val="45"/>
  </w:num>
  <w:num w:numId="12">
    <w:abstractNumId w:val="28"/>
  </w:num>
  <w:num w:numId="13">
    <w:abstractNumId w:val="15"/>
  </w:num>
  <w:num w:numId="14">
    <w:abstractNumId w:val="27"/>
  </w:num>
  <w:num w:numId="15">
    <w:abstractNumId w:val="51"/>
  </w:num>
  <w:num w:numId="16">
    <w:abstractNumId w:val="2"/>
  </w:num>
  <w:num w:numId="17">
    <w:abstractNumId w:val="53"/>
  </w:num>
  <w:num w:numId="18">
    <w:abstractNumId w:val="47"/>
  </w:num>
  <w:num w:numId="19">
    <w:abstractNumId w:val="62"/>
  </w:num>
  <w:num w:numId="20">
    <w:abstractNumId w:val="21"/>
  </w:num>
  <w:num w:numId="21">
    <w:abstractNumId w:val="16"/>
  </w:num>
  <w:num w:numId="22">
    <w:abstractNumId w:val="58"/>
  </w:num>
  <w:num w:numId="23">
    <w:abstractNumId w:val="46"/>
  </w:num>
  <w:num w:numId="24">
    <w:abstractNumId w:val="55"/>
  </w:num>
  <w:num w:numId="25">
    <w:abstractNumId w:val="54"/>
  </w:num>
  <w:num w:numId="26">
    <w:abstractNumId w:val="52"/>
  </w:num>
  <w:num w:numId="27">
    <w:abstractNumId w:val="43"/>
  </w:num>
  <w:num w:numId="28">
    <w:abstractNumId w:val="5"/>
  </w:num>
  <w:num w:numId="29">
    <w:abstractNumId w:val="10"/>
  </w:num>
  <w:num w:numId="30">
    <w:abstractNumId w:val="14"/>
  </w:num>
  <w:num w:numId="31">
    <w:abstractNumId w:val="9"/>
  </w:num>
  <w:num w:numId="32">
    <w:abstractNumId w:val="12"/>
  </w:num>
  <w:num w:numId="33">
    <w:abstractNumId w:val="33"/>
  </w:num>
  <w:num w:numId="34">
    <w:abstractNumId w:val="19"/>
  </w:num>
  <w:num w:numId="35">
    <w:abstractNumId w:val="3"/>
  </w:num>
  <w:num w:numId="36">
    <w:abstractNumId w:val="1"/>
  </w:num>
  <w:num w:numId="37">
    <w:abstractNumId w:val="23"/>
  </w:num>
  <w:num w:numId="38">
    <w:abstractNumId w:val="57"/>
  </w:num>
  <w:num w:numId="39">
    <w:abstractNumId w:val="30"/>
  </w:num>
  <w:num w:numId="40">
    <w:abstractNumId w:val="60"/>
  </w:num>
  <w:num w:numId="41">
    <w:abstractNumId w:val="26"/>
  </w:num>
  <w:num w:numId="42">
    <w:abstractNumId w:val="35"/>
  </w:num>
  <w:num w:numId="43">
    <w:abstractNumId w:val="40"/>
  </w:num>
  <w:num w:numId="44">
    <w:abstractNumId w:val="39"/>
  </w:num>
  <w:num w:numId="45">
    <w:abstractNumId w:val="42"/>
  </w:num>
  <w:num w:numId="46">
    <w:abstractNumId w:val="18"/>
  </w:num>
  <w:num w:numId="47">
    <w:abstractNumId w:val="61"/>
  </w:num>
  <w:num w:numId="48">
    <w:abstractNumId w:val="7"/>
  </w:num>
  <w:num w:numId="49">
    <w:abstractNumId w:val="25"/>
  </w:num>
  <w:num w:numId="50">
    <w:abstractNumId w:val="17"/>
  </w:num>
  <w:num w:numId="51">
    <w:abstractNumId w:val="49"/>
  </w:num>
  <w:num w:numId="52">
    <w:abstractNumId w:val="41"/>
  </w:num>
  <w:num w:numId="53">
    <w:abstractNumId w:val="22"/>
  </w:num>
  <w:num w:numId="54">
    <w:abstractNumId w:val="44"/>
  </w:num>
  <w:num w:numId="55">
    <w:abstractNumId w:val="59"/>
  </w:num>
  <w:num w:numId="56">
    <w:abstractNumId w:val="36"/>
  </w:num>
  <w:num w:numId="57">
    <w:abstractNumId w:val="37"/>
  </w:num>
  <w:num w:numId="58">
    <w:abstractNumId w:val="38"/>
  </w:num>
  <w:num w:numId="59">
    <w:abstractNumId w:val="34"/>
  </w:num>
  <w:num w:numId="60">
    <w:abstractNumId w:val="63"/>
  </w:num>
  <w:num w:numId="61">
    <w:abstractNumId w:val="29"/>
  </w:num>
  <w:num w:numId="62">
    <w:abstractNumId w:val="24"/>
  </w:num>
  <w:num w:numId="63">
    <w:abstractNumId w:val="11"/>
  </w:num>
  <w:num w:numId="64">
    <w:abstractNumId w:val="0"/>
  </w:num>
  <w:num w:numId="65">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N3TQVf947dZrw4JPlGq+q2wor8=" w:salt="gkZSvm8eTP+36yfbxJnDGA=="/>
  <w:defaultTabStop w:val="709"/>
  <w:hyphenationZone w:val="425"/>
  <w:characterSpacingControl w:val="doNotCompress"/>
  <w:hdrShapeDefaults>
    <o:shapedefaults v:ext="edit" spidmax="2049">
      <o:colormru v:ext="edit" colors="#0f9,#6fc,#6f9,#88dea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9,#6fc,#6f9,#88dea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Cs w:val="24"/>
    </w:rPr>
  </w:style>
  <w:style w:type="paragraph" w:styleId="Nadpis1">
    <w:name w:val="heading 1"/>
    <w:basedOn w:val="Normln"/>
    <w:next w:val="Normln"/>
    <w:qFormat/>
    <w:pPr>
      <w:keepNext/>
      <w:outlineLvl w:val="0"/>
    </w:pPr>
    <w:rPr>
      <w:b/>
      <w:bCs/>
      <w:sz w:val="22"/>
    </w:rPr>
  </w:style>
  <w:style w:type="paragraph" w:styleId="Nadpis2">
    <w:name w:val="heading 2"/>
    <w:basedOn w:val="Normln"/>
    <w:next w:val="Normln"/>
    <w:qFormat/>
    <w:pPr>
      <w:keepNext/>
      <w:jc w:val="center"/>
      <w:outlineLvl w:val="1"/>
    </w:pPr>
    <w:rPr>
      <w:rFonts w:cs="Arial"/>
      <w:b/>
      <w:bCs/>
      <w:szCs w:val="28"/>
    </w:rPr>
  </w:style>
  <w:style w:type="paragraph" w:styleId="Nadpis3">
    <w:name w:val="heading 3"/>
    <w:basedOn w:val="Normln"/>
    <w:next w:val="Normln"/>
    <w:qFormat/>
    <w:pPr>
      <w:keepNext/>
      <w:numPr>
        <w:numId w:val="13"/>
      </w:numPr>
      <w:spacing w:after="120"/>
      <w:outlineLvl w:val="2"/>
    </w:pPr>
    <w:rPr>
      <w:rFonts w:ascii="Times New Roman" w:hAnsi="Times New Roman"/>
      <w:sz w:val="24"/>
      <w:szCs w:val="20"/>
    </w:rPr>
  </w:style>
  <w:style w:type="paragraph" w:styleId="Nadpis4">
    <w:name w:val="heading 4"/>
    <w:basedOn w:val="Normln"/>
    <w:next w:val="Normln"/>
    <w:qFormat/>
    <w:pPr>
      <w:keepNext/>
      <w:outlineLvl w:val="3"/>
    </w:pPr>
    <w:rPr>
      <w:color w:val="FF0000"/>
      <w:sz w:val="16"/>
      <w:szCs w:val="16"/>
    </w:rPr>
  </w:style>
  <w:style w:type="paragraph" w:styleId="Nadpis5">
    <w:name w:val="heading 5"/>
    <w:basedOn w:val="Normln"/>
    <w:next w:val="Normln"/>
    <w:qFormat/>
    <w:pPr>
      <w:keepNext/>
      <w:jc w:val="center"/>
      <w:outlineLvl w:val="4"/>
    </w:pPr>
    <w:rPr>
      <w:strike/>
      <w:sz w:val="16"/>
      <w:szCs w:val="16"/>
    </w:rPr>
  </w:style>
  <w:style w:type="paragraph" w:styleId="Nadpis7">
    <w:name w:val="heading 7"/>
    <w:basedOn w:val="Normln"/>
    <w:next w:val="Normln"/>
    <w:link w:val="Nadpis7Char"/>
    <w:qFormat/>
    <w:pPr>
      <w:keepNext/>
      <w:keepLines/>
      <w:tabs>
        <w:tab w:val="left" w:pos="4041"/>
      </w:tabs>
      <w:spacing w:before="40"/>
      <w:jc w:val="right"/>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paragraph" w:styleId="Textpoznpodarou">
    <w:name w:val="footnote text"/>
    <w:basedOn w:val="Normln"/>
    <w:link w:val="TextpoznpodarouChar"/>
    <w:semiHidden/>
    <w:rPr>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Rozloendokumentu">
    <w:name w:val="Document Map"/>
    <w:basedOn w:val="Normln"/>
    <w:semiHidden/>
    <w:pPr>
      <w:shd w:val="clear" w:color="auto" w:fill="000080"/>
    </w:pPr>
    <w:rPr>
      <w:rFonts w:ascii="Tahoma" w:hAnsi="Tahoma" w:cs="Tahoma"/>
      <w:szCs w:val="20"/>
    </w:rPr>
  </w:style>
  <w:style w:type="paragraph" w:customStyle="1" w:styleId="Sekce">
    <w:name w:val="Sekce"/>
    <w:basedOn w:val="Normln"/>
    <w:pPr>
      <w:keepNext/>
      <w:keepLines/>
      <w:numPr>
        <w:numId w:val="2"/>
      </w:numPr>
      <w:spacing w:before="360" w:after="40"/>
    </w:pPr>
    <w:rPr>
      <w:bCs/>
      <w:szCs w:val="20"/>
    </w:rPr>
  </w:style>
  <w:style w:type="paragraph" w:customStyle="1" w:styleId="Npovda">
    <w:name w:val="Nápověda"/>
    <w:basedOn w:val="Normln"/>
    <w:rPr>
      <w:rFonts w:cs="Arial"/>
      <w:sz w:val="16"/>
      <w:szCs w:val="16"/>
    </w:rPr>
  </w:style>
  <w:style w:type="paragraph" w:styleId="Zkladntextodsazen">
    <w:name w:val="Body Text Indent"/>
    <w:basedOn w:val="Normln"/>
    <w:pPr>
      <w:spacing w:after="120"/>
      <w:ind w:left="360"/>
    </w:pPr>
    <w:rPr>
      <w:rFonts w:ascii="Times New Roman" w:hAnsi="Times New Roman"/>
      <w:b/>
      <w:bCs/>
      <w:sz w:val="24"/>
      <w:szCs w:val="20"/>
    </w:rPr>
  </w:style>
  <w:style w:type="paragraph" w:customStyle="1" w:styleId="NormalBold">
    <w:name w:val="Normal + Bold"/>
    <w:basedOn w:val="Normln"/>
    <w:pPr>
      <w:tabs>
        <w:tab w:val="left" w:pos="8481"/>
        <w:tab w:val="left" w:pos="9450"/>
      </w:tabs>
      <w:ind w:left="70"/>
    </w:pPr>
    <w:rPr>
      <w:b/>
      <w:bCs/>
      <w:szCs w:val="20"/>
    </w:rPr>
  </w:style>
  <w:style w:type="paragraph" w:customStyle="1" w:styleId="Pouen">
    <w:name w:val="Poučení"/>
    <w:basedOn w:val="Normln"/>
    <w:pPr>
      <w:spacing w:before="240"/>
      <w:jc w:val="both"/>
    </w:pPr>
  </w:style>
  <w:style w:type="paragraph" w:styleId="Zkladntext3">
    <w:name w:val="Body Text 3"/>
    <w:basedOn w:val="Normln"/>
    <w:pPr>
      <w:spacing w:after="120"/>
    </w:pPr>
    <w:rPr>
      <w:sz w:val="16"/>
      <w:szCs w:val="16"/>
    </w:rPr>
  </w:style>
  <w:style w:type="paragraph" w:customStyle="1" w:styleId="NormalLeft0cm">
    <w:name w:val="Normal + Left:  0 cm"/>
    <w:aliases w:val="Hanging:  0,63 cm"/>
    <w:basedOn w:val="Sekce"/>
  </w:style>
  <w:style w:type="paragraph" w:styleId="Zkladntext">
    <w:name w:val="Body Text"/>
    <w:basedOn w:val="Normln"/>
    <w:pPr>
      <w:spacing w:after="60"/>
      <w:jc w:val="center"/>
    </w:pPr>
    <w:rPr>
      <w:b/>
      <w:bCs/>
      <w:sz w:val="36"/>
      <w:szCs w:val="36"/>
    </w:rPr>
  </w:style>
  <w:style w:type="paragraph" w:customStyle="1" w:styleId="Boddohody">
    <w:name w:val="Bod dohody"/>
    <w:basedOn w:val="Normln"/>
    <w:next w:val="Normln"/>
    <w:pPr>
      <w:keepLines/>
      <w:numPr>
        <w:numId w:val="26"/>
      </w:numPr>
      <w:spacing w:before="240"/>
      <w:jc w:val="both"/>
    </w:pPr>
    <w:rPr>
      <w:rFonts w:cs="Arial"/>
      <w:szCs w:val="20"/>
    </w:rPr>
  </w:style>
  <w:style w:type="character" w:styleId="Hypertextovodkaz">
    <w:name w:val="Hyperlink"/>
    <w:rPr>
      <w:color w:val="0000FF"/>
      <w:u w:val="single"/>
    </w:rPr>
  </w:style>
  <w:style w:type="paragraph" w:styleId="Textvysvtlivek">
    <w:name w:val="endnote text"/>
    <w:basedOn w:val="Normln"/>
    <w:semiHidden/>
    <w:rPr>
      <w:szCs w:val="20"/>
    </w:rPr>
  </w:style>
  <w:style w:type="character" w:styleId="Odkaznavysvtlivky">
    <w:name w:val="endnote reference"/>
    <w:semiHidden/>
    <w:rPr>
      <w:vertAlign w:val="superscript"/>
    </w:rPr>
  </w:style>
  <w:style w:type="paragraph" w:styleId="Zkladntext2">
    <w:name w:val="Body Text 2"/>
    <w:basedOn w:val="Normln"/>
    <w:pPr>
      <w:keepNext/>
      <w:tabs>
        <w:tab w:val="left" w:pos="812"/>
      </w:tabs>
      <w:jc w:val="both"/>
    </w:pPr>
    <w:rPr>
      <w:rFonts w:cs="Arial"/>
      <w:sz w:val="22"/>
    </w:rPr>
  </w:style>
  <w:style w:type="character" w:customStyle="1" w:styleId="kudrnova">
    <w:name w:val="kudrnova"/>
    <w:semiHidden/>
    <w:rPr>
      <w:rFonts w:ascii="Arial" w:hAnsi="Arial" w:cs="Arial"/>
      <w:color w:val="auto"/>
      <w:sz w:val="20"/>
      <w:szCs w:val="20"/>
    </w:rPr>
  </w:style>
  <w:style w:type="paragraph" w:styleId="Revize">
    <w:name w:val="Revision"/>
    <w:hidden/>
    <w:semiHidden/>
    <w:rPr>
      <w:rFonts w:ascii="Arial" w:hAnsi="Arial"/>
      <w:szCs w:val="24"/>
    </w:rPr>
  </w:style>
  <w:style w:type="paragraph" w:customStyle="1" w:styleId="BalloonText1">
    <w:name w:val="Balloon Text1"/>
    <w:basedOn w:val="Normln"/>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Zkladntextodsazen2">
    <w:name w:val="Body Text Indent 2"/>
    <w:basedOn w:val="Normln"/>
    <w:pPr>
      <w:ind w:left="720" w:hanging="360"/>
      <w:jc w:val="both"/>
    </w:pPr>
  </w:style>
  <w:style w:type="paragraph" w:styleId="Odstavecseseznamem">
    <w:name w:val="List Paragraph"/>
    <w:basedOn w:val="Normln"/>
    <w:uiPriority w:val="34"/>
    <w:qFormat/>
    <w:pPr>
      <w:ind w:left="708"/>
    </w:pPr>
  </w:style>
  <w:style w:type="character" w:customStyle="1" w:styleId="ZpatChar">
    <w:name w:val="Zápatí Char"/>
    <w:link w:val="Zpat"/>
    <w:uiPriority w:val="99"/>
    <w:rPr>
      <w:rFonts w:ascii="Arial" w:hAnsi="Arial"/>
      <w:szCs w:val="24"/>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rPr>
      <w:rFonts w:ascii="Arial" w:hAnsi="Arial"/>
      <w:b/>
      <w:bCs/>
      <w:szCs w:val="24"/>
    </w:rPr>
  </w:style>
  <w:style w:type="paragraph" w:customStyle="1" w:styleId="Malvhlavice">
    <w:name w:val="Malý v hlavičce"/>
    <w:basedOn w:val="Normln"/>
    <w:pPr>
      <w:keepLines/>
      <w:tabs>
        <w:tab w:val="left" w:pos="2880"/>
        <w:tab w:val="left" w:pos="4140"/>
      </w:tabs>
      <w:spacing w:before="40"/>
      <w:jc w:val="center"/>
    </w:pPr>
    <w:rPr>
      <w:sz w:val="16"/>
    </w:rPr>
  </w:style>
  <w:style w:type="paragraph" w:customStyle="1" w:styleId="Zkratkavhlavice">
    <w:name w:val="Zkratka v hlavičce"/>
    <w:basedOn w:val="Normln"/>
    <w:pPr>
      <w:keepLines/>
      <w:tabs>
        <w:tab w:val="left" w:pos="2880"/>
        <w:tab w:val="left" w:pos="4140"/>
      </w:tabs>
      <w:spacing w:before="40"/>
      <w:jc w:val="both"/>
    </w:pPr>
    <w:rPr>
      <w:b/>
      <w:sz w:val="28"/>
      <w:szCs w:val="28"/>
    </w:rPr>
  </w:style>
  <w:style w:type="paragraph" w:customStyle="1" w:styleId="Podnadpis">
    <w:name w:val="Podnadpis"/>
    <w:basedOn w:val="Normln"/>
    <w:pPr>
      <w:keepLines/>
      <w:tabs>
        <w:tab w:val="left" w:pos="2880"/>
        <w:tab w:val="left" w:pos="4140"/>
      </w:tabs>
      <w:spacing w:before="40"/>
      <w:jc w:val="center"/>
    </w:pPr>
    <w:rPr>
      <w:b/>
      <w:sz w:val="22"/>
      <w:szCs w:val="22"/>
    </w:rPr>
  </w:style>
  <w:style w:type="character" w:customStyle="1" w:styleId="TextpoznpodarouChar">
    <w:name w:val="Text pozn. pod čarou Char"/>
    <w:link w:val="Textpoznpodarou"/>
    <w:semiHidden/>
    <w:rPr>
      <w:rFonts w:ascii="Arial" w:hAnsi="Arial"/>
    </w:rPr>
  </w:style>
  <w:style w:type="paragraph" w:customStyle="1" w:styleId="Podpis1">
    <w:name w:val="Podpis1"/>
    <w:basedOn w:val="Normln"/>
    <w:pPr>
      <w:keepLines/>
      <w:tabs>
        <w:tab w:val="left" w:pos="2880"/>
        <w:tab w:val="left" w:pos="4140"/>
      </w:tabs>
      <w:spacing w:before="40"/>
      <w:jc w:val="center"/>
    </w:pPr>
  </w:style>
  <w:style w:type="character" w:styleId="Sledovanodkaz">
    <w:name w:val="FollowedHyperlink"/>
    <w:rPr>
      <w:color w:val="800080"/>
      <w:u w:val="single"/>
    </w:rPr>
  </w:style>
  <w:style w:type="character" w:customStyle="1" w:styleId="FontStyle19">
    <w:name w:val="Font Style19"/>
    <w:uiPriority w:val="99"/>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Cs w:val="24"/>
    </w:rPr>
  </w:style>
  <w:style w:type="paragraph" w:styleId="Nadpis1">
    <w:name w:val="heading 1"/>
    <w:basedOn w:val="Normln"/>
    <w:next w:val="Normln"/>
    <w:qFormat/>
    <w:pPr>
      <w:keepNext/>
      <w:outlineLvl w:val="0"/>
    </w:pPr>
    <w:rPr>
      <w:b/>
      <w:bCs/>
      <w:sz w:val="22"/>
    </w:rPr>
  </w:style>
  <w:style w:type="paragraph" w:styleId="Nadpis2">
    <w:name w:val="heading 2"/>
    <w:basedOn w:val="Normln"/>
    <w:next w:val="Normln"/>
    <w:qFormat/>
    <w:pPr>
      <w:keepNext/>
      <w:jc w:val="center"/>
      <w:outlineLvl w:val="1"/>
    </w:pPr>
    <w:rPr>
      <w:rFonts w:cs="Arial"/>
      <w:b/>
      <w:bCs/>
      <w:szCs w:val="28"/>
    </w:rPr>
  </w:style>
  <w:style w:type="paragraph" w:styleId="Nadpis3">
    <w:name w:val="heading 3"/>
    <w:basedOn w:val="Normln"/>
    <w:next w:val="Normln"/>
    <w:qFormat/>
    <w:pPr>
      <w:keepNext/>
      <w:numPr>
        <w:numId w:val="13"/>
      </w:numPr>
      <w:spacing w:after="120"/>
      <w:outlineLvl w:val="2"/>
    </w:pPr>
    <w:rPr>
      <w:rFonts w:ascii="Times New Roman" w:hAnsi="Times New Roman"/>
      <w:sz w:val="24"/>
      <w:szCs w:val="20"/>
    </w:rPr>
  </w:style>
  <w:style w:type="paragraph" w:styleId="Nadpis4">
    <w:name w:val="heading 4"/>
    <w:basedOn w:val="Normln"/>
    <w:next w:val="Normln"/>
    <w:qFormat/>
    <w:pPr>
      <w:keepNext/>
      <w:outlineLvl w:val="3"/>
    </w:pPr>
    <w:rPr>
      <w:color w:val="FF0000"/>
      <w:sz w:val="16"/>
      <w:szCs w:val="16"/>
    </w:rPr>
  </w:style>
  <w:style w:type="paragraph" w:styleId="Nadpis5">
    <w:name w:val="heading 5"/>
    <w:basedOn w:val="Normln"/>
    <w:next w:val="Normln"/>
    <w:qFormat/>
    <w:pPr>
      <w:keepNext/>
      <w:jc w:val="center"/>
      <w:outlineLvl w:val="4"/>
    </w:pPr>
    <w:rPr>
      <w:strike/>
      <w:sz w:val="16"/>
      <w:szCs w:val="16"/>
    </w:rPr>
  </w:style>
  <w:style w:type="paragraph" w:styleId="Nadpis7">
    <w:name w:val="heading 7"/>
    <w:basedOn w:val="Normln"/>
    <w:next w:val="Normln"/>
    <w:link w:val="Nadpis7Char"/>
    <w:qFormat/>
    <w:pPr>
      <w:keepNext/>
      <w:keepLines/>
      <w:tabs>
        <w:tab w:val="left" w:pos="4041"/>
      </w:tabs>
      <w:spacing w:before="40"/>
      <w:jc w:val="right"/>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paragraph" w:styleId="Textpoznpodarou">
    <w:name w:val="footnote text"/>
    <w:basedOn w:val="Normln"/>
    <w:link w:val="TextpoznpodarouChar"/>
    <w:semiHidden/>
    <w:rPr>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Rozloendokumentu">
    <w:name w:val="Document Map"/>
    <w:basedOn w:val="Normln"/>
    <w:semiHidden/>
    <w:pPr>
      <w:shd w:val="clear" w:color="auto" w:fill="000080"/>
    </w:pPr>
    <w:rPr>
      <w:rFonts w:ascii="Tahoma" w:hAnsi="Tahoma" w:cs="Tahoma"/>
      <w:szCs w:val="20"/>
    </w:rPr>
  </w:style>
  <w:style w:type="paragraph" w:customStyle="1" w:styleId="Sekce">
    <w:name w:val="Sekce"/>
    <w:basedOn w:val="Normln"/>
    <w:pPr>
      <w:keepNext/>
      <w:keepLines/>
      <w:numPr>
        <w:numId w:val="2"/>
      </w:numPr>
      <w:spacing w:before="360" w:after="40"/>
    </w:pPr>
    <w:rPr>
      <w:bCs/>
      <w:szCs w:val="20"/>
    </w:rPr>
  </w:style>
  <w:style w:type="paragraph" w:customStyle="1" w:styleId="Npovda">
    <w:name w:val="Nápověda"/>
    <w:basedOn w:val="Normln"/>
    <w:rPr>
      <w:rFonts w:cs="Arial"/>
      <w:sz w:val="16"/>
      <w:szCs w:val="16"/>
    </w:rPr>
  </w:style>
  <w:style w:type="paragraph" w:styleId="Zkladntextodsazen">
    <w:name w:val="Body Text Indent"/>
    <w:basedOn w:val="Normln"/>
    <w:pPr>
      <w:spacing w:after="120"/>
      <w:ind w:left="360"/>
    </w:pPr>
    <w:rPr>
      <w:rFonts w:ascii="Times New Roman" w:hAnsi="Times New Roman"/>
      <w:b/>
      <w:bCs/>
      <w:sz w:val="24"/>
      <w:szCs w:val="20"/>
    </w:rPr>
  </w:style>
  <w:style w:type="paragraph" w:customStyle="1" w:styleId="NormalBold">
    <w:name w:val="Normal + Bold"/>
    <w:basedOn w:val="Normln"/>
    <w:pPr>
      <w:tabs>
        <w:tab w:val="left" w:pos="8481"/>
        <w:tab w:val="left" w:pos="9450"/>
      </w:tabs>
      <w:ind w:left="70"/>
    </w:pPr>
    <w:rPr>
      <w:b/>
      <w:bCs/>
      <w:szCs w:val="20"/>
    </w:rPr>
  </w:style>
  <w:style w:type="paragraph" w:customStyle="1" w:styleId="Pouen">
    <w:name w:val="Poučení"/>
    <w:basedOn w:val="Normln"/>
    <w:pPr>
      <w:spacing w:before="240"/>
      <w:jc w:val="both"/>
    </w:pPr>
  </w:style>
  <w:style w:type="paragraph" w:styleId="Zkladntext3">
    <w:name w:val="Body Text 3"/>
    <w:basedOn w:val="Normln"/>
    <w:pPr>
      <w:spacing w:after="120"/>
    </w:pPr>
    <w:rPr>
      <w:sz w:val="16"/>
      <w:szCs w:val="16"/>
    </w:rPr>
  </w:style>
  <w:style w:type="paragraph" w:customStyle="1" w:styleId="NormalLeft0cm">
    <w:name w:val="Normal + Left:  0 cm"/>
    <w:aliases w:val="Hanging:  0,63 cm"/>
    <w:basedOn w:val="Sekce"/>
  </w:style>
  <w:style w:type="paragraph" w:styleId="Zkladntext">
    <w:name w:val="Body Text"/>
    <w:basedOn w:val="Normln"/>
    <w:pPr>
      <w:spacing w:after="60"/>
      <w:jc w:val="center"/>
    </w:pPr>
    <w:rPr>
      <w:b/>
      <w:bCs/>
      <w:sz w:val="36"/>
      <w:szCs w:val="36"/>
    </w:rPr>
  </w:style>
  <w:style w:type="paragraph" w:customStyle="1" w:styleId="Boddohody">
    <w:name w:val="Bod dohody"/>
    <w:basedOn w:val="Normln"/>
    <w:next w:val="Normln"/>
    <w:pPr>
      <w:keepLines/>
      <w:numPr>
        <w:numId w:val="26"/>
      </w:numPr>
      <w:spacing w:before="240"/>
      <w:jc w:val="both"/>
    </w:pPr>
    <w:rPr>
      <w:rFonts w:cs="Arial"/>
      <w:szCs w:val="20"/>
    </w:rPr>
  </w:style>
  <w:style w:type="character" w:styleId="Hypertextovodkaz">
    <w:name w:val="Hyperlink"/>
    <w:rPr>
      <w:color w:val="0000FF"/>
      <w:u w:val="single"/>
    </w:rPr>
  </w:style>
  <w:style w:type="paragraph" w:styleId="Textvysvtlivek">
    <w:name w:val="endnote text"/>
    <w:basedOn w:val="Normln"/>
    <w:semiHidden/>
    <w:rPr>
      <w:szCs w:val="20"/>
    </w:rPr>
  </w:style>
  <w:style w:type="character" w:styleId="Odkaznavysvtlivky">
    <w:name w:val="endnote reference"/>
    <w:semiHidden/>
    <w:rPr>
      <w:vertAlign w:val="superscript"/>
    </w:rPr>
  </w:style>
  <w:style w:type="paragraph" w:styleId="Zkladntext2">
    <w:name w:val="Body Text 2"/>
    <w:basedOn w:val="Normln"/>
    <w:pPr>
      <w:keepNext/>
      <w:tabs>
        <w:tab w:val="left" w:pos="812"/>
      </w:tabs>
      <w:jc w:val="both"/>
    </w:pPr>
    <w:rPr>
      <w:rFonts w:cs="Arial"/>
      <w:sz w:val="22"/>
    </w:rPr>
  </w:style>
  <w:style w:type="character" w:customStyle="1" w:styleId="kudrnova">
    <w:name w:val="kudrnova"/>
    <w:semiHidden/>
    <w:rPr>
      <w:rFonts w:ascii="Arial" w:hAnsi="Arial" w:cs="Arial"/>
      <w:color w:val="auto"/>
      <w:sz w:val="20"/>
      <w:szCs w:val="20"/>
    </w:rPr>
  </w:style>
  <w:style w:type="paragraph" w:styleId="Revize">
    <w:name w:val="Revision"/>
    <w:hidden/>
    <w:semiHidden/>
    <w:rPr>
      <w:rFonts w:ascii="Arial" w:hAnsi="Arial"/>
      <w:szCs w:val="24"/>
    </w:rPr>
  </w:style>
  <w:style w:type="paragraph" w:customStyle="1" w:styleId="BalloonText1">
    <w:name w:val="Balloon Text1"/>
    <w:basedOn w:val="Normln"/>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Zkladntextodsazen2">
    <w:name w:val="Body Text Indent 2"/>
    <w:basedOn w:val="Normln"/>
    <w:pPr>
      <w:ind w:left="720" w:hanging="360"/>
      <w:jc w:val="both"/>
    </w:pPr>
  </w:style>
  <w:style w:type="paragraph" w:styleId="Odstavecseseznamem">
    <w:name w:val="List Paragraph"/>
    <w:basedOn w:val="Normln"/>
    <w:uiPriority w:val="34"/>
    <w:qFormat/>
    <w:pPr>
      <w:ind w:left="708"/>
    </w:pPr>
  </w:style>
  <w:style w:type="character" w:customStyle="1" w:styleId="ZpatChar">
    <w:name w:val="Zápatí Char"/>
    <w:link w:val="Zpat"/>
    <w:uiPriority w:val="99"/>
    <w:rPr>
      <w:rFonts w:ascii="Arial" w:hAnsi="Arial"/>
      <w:szCs w:val="24"/>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rPr>
      <w:rFonts w:ascii="Arial" w:hAnsi="Arial"/>
      <w:b/>
      <w:bCs/>
      <w:szCs w:val="24"/>
    </w:rPr>
  </w:style>
  <w:style w:type="paragraph" w:customStyle="1" w:styleId="Malvhlavice">
    <w:name w:val="Malý v hlavičce"/>
    <w:basedOn w:val="Normln"/>
    <w:pPr>
      <w:keepLines/>
      <w:tabs>
        <w:tab w:val="left" w:pos="2880"/>
        <w:tab w:val="left" w:pos="4140"/>
      </w:tabs>
      <w:spacing w:before="40"/>
      <w:jc w:val="center"/>
    </w:pPr>
    <w:rPr>
      <w:sz w:val="16"/>
    </w:rPr>
  </w:style>
  <w:style w:type="paragraph" w:customStyle="1" w:styleId="Zkratkavhlavice">
    <w:name w:val="Zkratka v hlavičce"/>
    <w:basedOn w:val="Normln"/>
    <w:pPr>
      <w:keepLines/>
      <w:tabs>
        <w:tab w:val="left" w:pos="2880"/>
        <w:tab w:val="left" w:pos="4140"/>
      </w:tabs>
      <w:spacing w:before="40"/>
      <w:jc w:val="both"/>
    </w:pPr>
    <w:rPr>
      <w:b/>
      <w:sz w:val="28"/>
      <w:szCs w:val="28"/>
    </w:rPr>
  </w:style>
  <w:style w:type="paragraph" w:customStyle="1" w:styleId="Podnadpis">
    <w:name w:val="Podnadpis"/>
    <w:basedOn w:val="Normln"/>
    <w:pPr>
      <w:keepLines/>
      <w:tabs>
        <w:tab w:val="left" w:pos="2880"/>
        <w:tab w:val="left" w:pos="4140"/>
      </w:tabs>
      <w:spacing w:before="40"/>
      <w:jc w:val="center"/>
    </w:pPr>
    <w:rPr>
      <w:b/>
      <w:sz w:val="22"/>
      <w:szCs w:val="22"/>
    </w:rPr>
  </w:style>
  <w:style w:type="character" w:customStyle="1" w:styleId="TextpoznpodarouChar">
    <w:name w:val="Text pozn. pod čarou Char"/>
    <w:link w:val="Textpoznpodarou"/>
    <w:semiHidden/>
    <w:rPr>
      <w:rFonts w:ascii="Arial" w:hAnsi="Arial"/>
    </w:rPr>
  </w:style>
  <w:style w:type="paragraph" w:customStyle="1" w:styleId="Podpis1">
    <w:name w:val="Podpis1"/>
    <w:basedOn w:val="Normln"/>
    <w:pPr>
      <w:keepLines/>
      <w:tabs>
        <w:tab w:val="left" w:pos="2880"/>
        <w:tab w:val="left" w:pos="4140"/>
      </w:tabs>
      <w:spacing w:before="40"/>
      <w:jc w:val="center"/>
    </w:pPr>
  </w:style>
  <w:style w:type="character" w:styleId="Sledovanodkaz">
    <w:name w:val="FollowedHyperlink"/>
    <w:rPr>
      <w:color w:val="800080"/>
      <w:u w:val="single"/>
    </w:rPr>
  </w:style>
  <w:style w:type="character" w:customStyle="1" w:styleId="FontStyle19">
    <w:name w:val="Font Style19"/>
    <w:uiPriority w:val="99"/>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sz/zamest/kestazeni"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portal.mpsv.cz/sz/zamest/zamestnaniosob/prispeveknapodporu"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acovni\okprace\_&#382;&#225;dosti%20APZ\Grafika_upravena\&#382;&#225;dost-&#218;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CE74E16D6B54D9CF77D1751EEC8F7" ma:contentTypeVersion="" ma:contentTypeDescription="Create a new document." ma:contentTypeScope="" ma:versionID="fb0fd1c63134163cad6e815b27d62e31">
  <xsd:schema xmlns:xsd="http://www.w3.org/2001/XMLSchema" xmlns:xs="http://www.w3.org/2001/XMLSchema" xmlns:p="http://schemas.microsoft.com/office/2006/metadata/properties" xmlns:ns2="FE88EA9F-C0A6-4DC7-A07A-EADBCA9BF0FC" targetNamespace="http://schemas.microsoft.com/office/2006/metadata/properties" ma:root="true" ma:fieldsID="b0ef5c847f59b04252f3fce9c33709ed" ns2:_="">
    <xsd:import namespace="FE88EA9F-C0A6-4DC7-A07A-EADBCA9BF0FC"/>
    <xsd:element name="properties">
      <xsd:complexType>
        <xsd:sequence>
          <xsd:element name="documentManagement">
            <xsd:complexType>
              <xsd:all>
                <xsd:element ref="ns2:State"/>
                <xsd:element ref="ns2:Class"/>
                <xsd:element ref="ns2:Sour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8EA9F-C0A6-4DC7-A07A-EADBCA9BF0FC" elementFormDefault="qualified">
    <xsd:import namespace="http://schemas.microsoft.com/office/2006/documentManagement/types"/>
    <xsd:import namespace="http://schemas.microsoft.com/office/infopath/2007/PartnerControls"/>
    <xsd:element name="State" ma:index="8" ma:displayName="State" ma:default="New" ma:format="Dropdown" ma:internalName="State">
      <xsd:simpleType>
        <xsd:restriction base="dms:Choice">
          <xsd:enumeration value="New"/>
          <xsd:enumeration value="Draft"/>
          <xsd:enumeration value="Valid"/>
        </xsd:restriction>
      </xsd:simpleType>
    </xsd:element>
    <xsd:element name="Class" ma:index="9" ma:displayName="Classification" ma:default="Public" ma:format="Dropdown" ma:internalName="Class">
      <xsd:simpleType>
        <xsd:restriction base="dms:Choice">
          <xsd:enumeration value="Public"/>
          <xsd:enumeration value="Internal"/>
          <xsd:enumeration value="Restricted"/>
          <xsd:enumeration value="Confidental"/>
        </xsd:restriction>
      </xsd:simpleType>
    </xsd:element>
    <xsd:element name="Source" ma:index="10" ma:displayName="Source" ma:default="Internal" ma:format="Dropdown" ma:internalName="Source">
      <xsd:simpleType>
        <xsd:restriction base="dms:Choice">
          <xsd:enumeration value="Internal"/>
          <xsd:enumeration value="Ex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e xmlns="FE88EA9F-C0A6-4DC7-A07A-EADBCA9BF0FC">New</State>
    <Class xmlns="FE88EA9F-C0A6-4DC7-A07A-EADBCA9BF0FC">Public</Class>
    <Source xmlns="FE88EA9F-C0A6-4DC7-A07A-EADBCA9BF0FC">Internal</Source>
  </documentManagement>
</p:properties>
</file>

<file path=customXml/itemProps1.xml><?xml version="1.0" encoding="utf-8"?>
<ds:datastoreItem xmlns:ds="http://schemas.openxmlformats.org/officeDocument/2006/customXml" ds:itemID="{1C62DA16-8623-4D99-8EDD-2044C9AA4FCE}"/>
</file>

<file path=customXml/itemProps2.xml><?xml version="1.0" encoding="utf-8"?>
<ds:datastoreItem xmlns:ds="http://schemas.openxmlformats.org/officeDocument/2006/customXml" ds:itemID="{C338C2A8-E2F6-4782-906B-D2A1695FC0AE}"/>
</file>

<file path=customXml/itemProps3.xml><?xml version="1.0" encoding="utf-8"?>
<ds:datastoreItem xmlns:ds="http://schemas.openxmlformats.org/officeDocument/2006/customXml" ds:itemID="{E75ACBED-C27E-4D4E-8838-44A3EAFFEC0E}"/>
</file>

<file path=customXml/itemProps4.xml><?xml version="1.0" encoding="utf-8"?>
<ds:datastoreItem xmlns:ds="http://schemas.openxmlformats.org/officeDocument/2006/customXml" ds:itemID="{DE577A6C-EACA-47BD-8418-33FA0D241CD5}"/>
</file>

<file path=docProps/app.xml><?xml version="1.0" encoding="utf-8"?>
<Properties xmlns="http://schemas.openxmlformats.org/officeDocument/2006/extended-properties" xmlns:vt="http://schemas.openxmlformats.org/officeDocument/2006/docPropsVTypes">
  <Template>žádost-ÚP</Template>
  <TotalTime>5</TotalTime>
  <Pages>8</Pages>
  <Words>3304</Words>
  <Characters>19498</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 spol. s r. o.</Company>
  <LinksUpToDate>false</LinksUpToDate>
  <CharactersWithSpaces>22757</CharactersWithSpaces>
  <SharedDoc>false</SharedDoc>
  <HLinks>
    <vt:vector size="12" baseType="variant">
      <vt:variant>
        <vt:i4>786503</vt:i4>
      </vt:variant>
      <vt:variant>
        <vt:i4>250</vt:i4>
      </vt:variant>
      <vt:variant>
        <vt:i4>0</vt:i4>
      </vt:variant>
      <vt:variant>
        <vt:i4>5</vt:i4>
      </vt:variant>
      <vt:variant>
        <vt:lpwstr>http://portal.mpsv.cz/sz/zamest/zamestnaniosob/prispeveknapodporu</vt:lpwstr>
      </vt:variant>
      <vt:variant>
        <vt:lpwstr/>
      </vt:variant>
      <vt:variant>
        <vt:i4>786503</vt:i4>
      </vt:variant>
      <vt:variant>
        <vt:i4>247</vt:i4>
      </vt:variant>
      <vt:variant>
        <vt:i4>0</vt:i4>
      </vt:variant>
      <vt:variant>
        <vt:i4>5</vt:i4>
      </vt:variant>
      <vt:variant>
        <vt:lpwstr>http://portal.mpsv.cz/sz/zamest/zamestnaniosob/prispeveknapodporu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Zbyněk MELKES</dc:creator>
  <cp:lastModifiedBy>Stratilová Eva Ing. (GŘ)</cp:lastModifiedBy>
  <cp:revision>3</cp:revision>
  <cp:lastPrinted>2018-03-19T09:55:00Z</cp:lastPrinted>
  <dcterms:created xsi:type="dcterms:W3CDTF">2019-03-19T13:29:00Z</dcterms:created>
  <dcterms:modified xsi:type="dcterms:W3CDTF">2019-03-19T14:12:00Z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0x010100C0CCE74E16D6B54D9CF77D1751EEC8F7</vt:lpwstr>
  </property>
</Properties>
</file>