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BE661" w14:textId="1D6476A3" w:rsidR="004C6F49" w:rsidRDefault="004C6F49" w:rsidP="004C6F49">
      <w:pPr>
        <w:spacing w:after="0" w:line="240" w:lineRule="auto"/>
        <w:jc w:val="center"/>
        <w:rPr>
          <w:b/>
          <w:bCs/>
          <w:i/>
          <w:iCs/>
          <w:color w:val="5B9BD5" w:themeColor="accent1"/>
          <w:sz w:val="28"/>
          <w:szCs w:val="28"/>
        </w:rPr>
      </w:pPr>
      <w:r w:rsidRPr="00D234F3">
        <w:rPr>
          <w:b/>
          <w:i/>
          <w:iCs/>
          <w:color w:val="5B9BD5" w:themeColor="accent1"/>
          <w:sz w:val="28"/>
          <w:szCs w:val="28"/>
        </w:rPr>
        <w:t>Vyhlášení druhého kola dotačního řízení na podporu</w:t>
      </w:r>
      <w:r w:rsidRPr="004C6F49">
        <w:rPr>
          <w:b/>
          <w:bCs/>
          <w:i/>
          <w:iCs/>
          <w:color w:val="5B9BD5" w:themeColor="accent1"/>
          <w:sz w:val="28"/>
          <w:szCs w:val="28"/>
        </w:rPr>
        <w:t xml:space="preserve"> seniorských a </w:t>
      </w:r>
      <w:proofErr w:type="spellStart"/>
      <w:r w:rsidRPr="004C6F49">
        <w:rPr>
          <w:b/>
          <w:bCs/>
          <w:i/>
          <w:iCs/>
          <w:color w:val="5B9BD5" w:themeColor="accent1"/>
          <w:sz w:val="28"/>
          <w:szCs w:val="28"/>
        </w:rPr>
        <w:t>proseniorských</w:t>
      </w:r>
      <w:proofErr w:type="spellEnd"/>
      <w:r w:rsidRPr="004C6F49">
        <w:rPr>
          <w:b/>
          <w:bCs/>
          <w:i/>
          <w:iCs/>
          <w:color w:val="5B9BD5" w:themeColor="accent1"/>
          <w:sz w:val="28"/>
          <w:szCs w:val="28"/>
        </w:rPr>
        <w:t xml:space="preserve"> aktivit s celostátní působností rok 2021</w:t>
      </w:r>
    </w:p>
    <w:p w14:paraId="3227FF4B" w14:textId="77777777" w:rsidR="00D234F3" w:rsidRPr="004C6F49" w:rsidRDefault="00D234F3" w:rsidP="004C6F49">
      <w:pPr>
        <w:spacing w:after="0" w:line="240" w:lineRule="auto"/>
        <w:jc w:val="center"/>
        <w:rPr>
          <w:i/>
          <w:iCs/>
          <w:color w:val="5B9BD5" w:themeColor="accent1"/>
          <w:sz w:val="28"/>
          <w:szCs w:val="28"/>
        </w:rPr>
      </w:pPr>
    </w:p>
    <w:p w14:paraId="6BDEAEF8" w14:textId="77777777" w:rsidR="00D234F3" w:rsidRPr="00F40253" w:rsidRDefault="00D234F3" w:rsidP="00D234F3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 xml:space="preserve">Ministerstvo práce a sociálních věcí </w:t>
      </w:r>
    </w:p>
    <w:p w14:paraId="58EB4758" w14:textId="77777777" w:rsidR="00D234F3" w:rsidRPr="00F40253" w:rsidRDefault="00D234F3" w:rsidP="00D234F3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>odbor sociálních služeb a sociální práce</w:t>
      </w:r>
    </w:p>
    <w:p w14:paraId="551CE07F" w14:textId="77777777" w:rsidR="00D234F3" w:rsidRPr="00F40253" w:rsidRDefault="00D234F3" w:rsidP="00D234F3">
      <w:pPr>
        <w:spacing w:before="120" w:after="120"/>
        <w:jc w:val="center"/>
        <w:rPr>
          <w:b/>
          <w:sz w:val="32"/>
          <w:szCs w:val="32"/>
        </w:rPr>
      </w:pPr>
      <w:r w:rsidRPr="00F40253">
        <w:rPr>
          <w:b/>
          <w:sz w:val="32"/>
          <w:szCs w:val="32"/>
        </w:rPr>
        <w:t>VYHLAŠUJE PRO ROK 202</w:t>
      </w:r>
      <w:r>
        <w:rPr>
          <w:b/>
          <w:sz w:val="32"/>
          <w:szCs w:val="32"/>
        </w:rPr>
        <w:t>1</w:t>
      </w:r>
    </w:p>
    <w:p w14:paraId="58DD4213" w14:textId="36CFCAF9" w:rsidR="006327C3" w:rsidRPr="00737F87" w:rsidRDefault="00D234F3" w:rsidP="006327C3">
      <w:r>
        <w:t xml:space="preserve">druhé kolo </w:t>
      </w:r>
      <w:r w:rsidRPr="00953F61">
        <w:t>dotační</w:t>
      </w:r>
      <w:r>
        <w:t>ho</w:t>
      </w:r>
      <w:r w:rsidRPr="00953F61">
        <w:t xml:space="preserve"> řízení k</w:t>
      </w:r>
      <w:r>
        <w:t> </w:t>
      </w:r>
      <w:r w:rsidRPr="00953F61">
        <w:t>poskytnutí</w:t>
      </w:r>
      <w:r>
        <w:t xml:space="preserve"> d</w:t>
      </w:r>
      <w:r w:rsidRPr="00953F61">
        <w:t>otace ze státního rozpočtu na rok 202</w:t>
      </w:r>
      <w:r>
        <w:t xml:space="preserve">1 </w:t>
      </w:r>
      <w:r w:rsidR="00317E45">
        <w:t xml:space="preserve">nestátním neziskovým organizacím (dále jen „NNO“) na realizaci projektů </w:t>
      </w:r>
      <w:r w:rsidR="00583134">
        <w:t>v rámci</w:t>
      </w:r>
      <w:r w:rsidRPr="00737F87">
        <w:t xml:space="preserve"> dotačního programu </w:t>
      </w:r>
      <w:r w:rsidRPr="00737F87">
        <w:rPr>
          <w:bCs/>
        </w:rPr>
        <w:t>„Podpora veřejně účelných aktivit seniorských a </w:t>
      </w:r>
      <w:proofErr w:type="spellStart"/>
      <w:r w:rsidRPr="00737F87">
        <w:rPr>
          <w:bCs/>
        </w:rPr>
        <w:t>proseniorských</w:t>
      </w:r>
      <w:proofErr w:type="spellEnd"/>
      <w:r w:rsidRPr="00737F87">
        <w:rPr>
          <w:bCs/>
        </w:rPr>
        <w:t xml:space="preserve"> organizací s</w:t>
      </w:r>
      <w:r>
        <w:rPr>
          <w:bCs/>
        </w:rPr>
        <w:t> </w:t>
      </w:r>
      <w:r w:rsidRPr="00737F87">
        <w:rPr>
          <w:bCs/>
        </w:rPr>
        <w:t xml:space="preserve">celostátní působností“, zkráceně „VÚA“ </w:t>
      </w:r>
      <w:r w:rsidRPr="00737F87">
        <w:t>(dále jen</w:t>
      </w:r>
      <w:r>
        <w:t xml:space="preserve"> </w:t>
      </w:r>
      <w:r w:rsidRPr="00737F87">
        <w:t>„Program“)</w:t>
      </w:r>
      <w:r>
        <w:t>.</w:t>
      </w:r>
      <w:r w:rsidRPr="00737F87">
        <w:t xml:space="preserve"> </w:t>
      </w:r>
      <w:r w:rsidRPr="00953F61">
        <w:t>Dotační řízení MPSV je vyhlášeno</w:t>
      </w:r>
      <w:bookmarkStart w:id="0" w:name="_Hlk47444615"/>
      <w:r w:rsidR="00B66959">
        <w:t xml:space="preserve"> </w:t>
      </w:r>
      <w:r w:rsidR="006327C3" w:rsidRPr="00737F87">
        <w:t>v souladu s prioritami a cíli dokumentu Národní akční plán podporující pozitivní stárnutí pro období let 2013 až 2017 a Strategický rámec přípravy na</w:t>
      </w:r>
      <w:r w:rsidR="00583134">
        <w:t> </w:t>
      </w:r>
      <w:r w:rsidR="006327C3" w:rsidRPr="00737F87">
        <w:t>stárnutí společnosti 202</w:t>
      </w:r>
      <w:r w:rsidR="006327C3">
        <w:t>0</w:t>
      </w:r>
      <w:r w:rsidR="006327C3" w:rsidRPr="00737F87">
        <w:t xml:space="preserve"> – 2025 zkráceně STRAPS, který byl předložen v březnu 202</w:t>
      </w:r>
      <w:r w:rsidR="006327C3">
        <w:t>0</w:t>
      </w:r>
      <w:r w:rsidR="006327C3" w:rsidRPr="00737F87">
        <w:t xml:space="preserve"> vládě ke</w:t>
      </w:r>
      <w:r w:rsidR="00317E45">
        <w:t> </w:t>
      </w:r>
      <w:r w:rsidR="006327C3" w:rsidRPr="00737F87">
        <w:t>schválení v návaznosti na zákon č.</w:t>
      </w:r>
      <w:r>
        <w:t> </w:t>
      </w:r>
      <w:r w:rsidR="006327C3" w:rsidRPr="00737F87">
        <w:t>218/2000 Sb., o rozpočtových pravidlech a o změně některých souvisejících zákonů, ve znění pozdějších předpisů (dále jen „rozpočtová pravidla“), v návaznosti na usnesení vlády ČR č. 92 ze dne 1. února 2010 Zásady vlády pro poskytování dotací ze</w:t>
      </w:r>
      <w:r w:rsidR="00583134">
        <w:t> </w:t>
      </w:r>
      <w:r w:rsidR="006327C3" w:rsidRPr="00737F87">
        <w:t>státního rozpočtu České republiky nestátním neziskovým organizacím ústředními orgány státní správy, ve znění usnesení vlády č. 479 ze</w:t>
      </w:r>
      <w:r w:rsidR="00583134">
        <w:t> </w:t>
      </w:r>
      <w:r w:rsidR="006327C3" w:rsidRPr="00737F87">
        <w:t>dne 19.</w:t>
      </w:r>
      <w:r w:rsidR="00583134">
        <w:t> </w:t>
      </w:r>
      <w:r w:rsidR="006327C3" w:rsidRPr="00737F87">
        <w:t>června 2013 a usnesení vlády č.</w:t>
      </w:r>
      <w:r w:rsidR="006327C3">
        <w:t> </w:t>
      </w:r>
      <w:r w:rsidR="006327C3" w:rsidRPr="00737F87">
        <w:t>657 ze dne 6. srpna 2014 (dále jen „Zásady“)</w:t>
      </w:r>
      <w:r>
        <w:t>.</w:t>
      </w:r>
      <w:r w:rsidR="006327C3" w:rsidRPr="00737F87">
        <w:t xml:space="preserve">  </w:t>
      </w:r>
    </w:p>
    <w:bookmarkEnd w:id="0"/>
    <w:p w14:paraId="487D7B23" w14:textId="77777777" w:rsidR="00953F61" w:rsidRPr="00AC639D" w:rsidRDefault="00953F61" w:rsidP="00AC639D">
      <w:pPr>
        <w:pStyle w:val="Nadpis1"/>
      </w:pPr>
      <w:r w:rsidRPr="00AC639D">
        <w:t xml:space="preserve">Účel </w:t>
      </w:r>
      <w:r w:rsidR="00F40253">
        <w:t xml:space="preserve">a podmínky </w:t>
      </w:r>
      <w:r w:rsidRPr="00AC639D">
        <w:t>dotace</w:t>
      </w:r>
    </w:p>
    <w:p w14:paraId="1A88A307" w14:textId="77777777" w:rsidR="006327C3" w:rsidRPr="00737F87" w:rsidRDefault="006327C3" w:rsidP="006327C3">
      <w:r w:rsidRPr="00737F87">
        <w:t>Cílem dotačního programu je podpora veřejně účelných aktivit seniorských a </w:t>
      </w:r>
      <w:proofErr w:type="spellStart"/>
      <w:r w:rsidRPr="00737F87">
        <w:t>proseniorských</w:t>
      </w:r>
      <w:proofErr w:type="spellEnd"/>
      <w:r w:rsidRPr="00737F87">
        <w:t xml:space="preserve"> organizací s celostátní působností, spočívající především v hájení zájmů a práv seniorů a aktivitách směřujících ke společenskému uplatnění seniorů. </w:t>
      </w:r>
    </w:p>
    <w:p w14:paraId="503BDDAC" w14:textId="7DE7702A" w:rsidR="006327C3" w:rsidRPr="006327C3" w:rsidRDefault="006327C3" w:rsidP="006327C3">
      <w:r w:rsidRPr="00737F87">
        <w:lastRenderedPageBreak/>
        <w:t>Dotace ze státního rozpočtu se poskytuje na realizaci projektů NNO, které přispívají k naplňování cílů státní politiky vyplývajících především z hlavních oblastí státní dotační politiky vůči NNO, které vláda schválí na příslušný rozpočtový rok.</w:t>
      </w:r>
    </w:p>
    <w:p w14:paraId="23B3ED39" w14:textId="77777777" w:rsidR="006327C3" w:rsidRPr="00737F87" w:rsidRDefault="006327C3" w:rsidP="006327C3">
      <w:pPr>
        <w:rPr>
          <w:b/>
        </w:rPr>
      </w:pPr>
      <w:r w:rsidRPr="00737F87">
        <w:rPr>
          <w:b/>
        </w:rPr>
        <w:t>Žadatel</w:t>
      </w:r>
      <w:r w:rsidRPr="00737F87">
        <w:rPr>
          <w:b/>
          <w:vertAlign w:val="superscript"/>
        </w:rPr>
        <w:footnoteReference w:id="1"/>
      </w:r>
      <w:r w:rsidRPr="00737F87">
        <w:rPr>
          <w:b/>
        </w:rPr>
        <w:t xml:space="preserve"> do tohoto dotačního programu nesmí žádat o financování takových aktivit, které jsou financovány ze strukturálních fondů EU/EHP nebo jiných existujících programů, které jsou financované ze státního rozpočtu nebo rozpočtů krajů a obcí, resp. nesmí z více veřejných zdrojů financovat stejnou činnost dvakrát či vícekrát (zákaz duplicitního financování).</w:t>
      </w:r>
    </w:p>
    <w:p w14:paraId="48A06019" w14:textId="77777777" w:rsidR="006327C3" w:rsidRPr="00737F87" w:rsidRDefault="006327C3" w:rsidP="006327C3">
      <w:pPr>
        <w:rPr>
          <w:u w:val="single"/>
        </w:rPr>
      </w:pPr>
      <w:r w:rsidRPr="00737F87">
        <w:t>V oblasti podpory pro rok 2021</w:t>
      </w:r>
      <w:r>
        <w:t xml:space="preserve"> </w:t>
      </w:r>
      <w:r w:rsidRPr="00737F87">
        <w:t xml:space="preserve">vyhlašuje MPSV – odbor sociálních služeb </w:t>
      </w:r>
      <w:r w:rsidRPr="00737F87">
        <w:br/>
        <w:t xml:space="preserve">a sociální práce program </w:t>
      </w:r>
      <w:r w:rsidRPr="00737F87">
        <w:rPr>
          <w:bCs/>
        </w:rPr>
        <w:t>„Podpora veřejně účelných aktivit seniorských a </w:t>
      </w:r>
      <w:proofErr w:type="spellStart"/>
      <w:r w:rsidRPr="00737F87">
        <w:rPr>
          <w:bCs/>
        </w:rPr>
        <w:t>proseniorských</w:t>
      </w:r>
      <w:proofErr w:type="spellEnd"/>
      <w:r w:rsidRPr="00737F87">
        <w:rPr>
          <w:bCs/>
        </w:rPr>
        <w:t xml:space="preserve"> organizací s celostátní působností“. </w:t>
      </w:r>
      <w:r w:rsidRPr="00737F87">
        <w:rPr>
          <w:u w:val="single"/>
        </w:rPr>
        <w:t>V rámci tohoto Programu budou podporovány 2 podprogramy:</w:t>
      </w:r>
    </w:p>
    <w:p w14:paraId="4B93885B" w14:textId="77777777" w:rsidR="006327C3" w:rsidRPr="00737F87" w:rsidRDefault="006327C3" w:rsidP="006327C3">
      <w:pPr>
        <w:pStyle w:val="Odstavecseseznamem"/>
        <w:numPr>
          <w:ilvl w:val="0"/>
          <w:numId w:val="11"/>
        </w:numPr>
        <w:shd w:val="clear" w:color="auto" w:fill="auto"/>
        <w:spacing w:before="120" w:after="0"/>
        <w:contextualSpacing w:val="0"/>
        <w:rPr>
          <w:b/>
        </w:rPr>
      </w:pPr>
      <w:r w:rsidRPr="00737F87">
        <w:rPr>
          <w:b/>
        </w:rPr>
        <w:t>2.1 Podprogram na podporu veřejně účelných aktivit seniorských a </w:t>
      </w:r>
      <w:proofErr w:type="spellStart"/>
      <w:r w:rsidRPr="00737F87">
        <w:rPr>
          <w:b/>
        </w:rPr>
        <w:t>proseniorských</w:t>
      </w:r>
      <w:proofErr w:type="spellEnd"/>
      <w:r w:rsidRPr="00737F87">
        <w:rPr>
          <w:b/>
        </w:rPr>
        <w:t xml:space="preserve"> organizací. </w:t>
      </w:r>
    </w:p>
    <w:p w14:paraId="75E2ECC3" w14:textId="77777777" w:rsidR="006327C3" w:rsidRPr="00737F87" w:rsidRDefault="006327C3" w:rsidP="006327C3">
      <w:pPr>
        <w:pStyle w:val="Odstavecseseznamem"/>
        <w:numPr>
          <w:ilvl w:val="0"/>
          <w:numId w:val="11"/>
        </w:numPr>
        <w:shd w:val="clear" w:color="auto" w:fill="auto"/>
        <w:spacing w:before="120" w:after="0"/>
        <w:contextualSpacing w:val="0"/>
        <w:rPr>
          <w:b/>
        </w:rPr>
      </w:pPr>
      <w:r w:rsidRPr="00737F87">
        <w:rPr>
          <w:b/>
        </w:rPr>
        <w:t xml:space="preserve">2.2 Podprogram na podporu kapacit střešních seniorských </w:t>
      </w:r>
      <w:r w:rsidRPr="00737F87">
        <w:rPr>
          <w:b/>
        </w:rPr>
        <w:br/>
        <w:t xml:space="preserve">a </w:t>
      </w:r>
      <w:proofErr w:type="spellStart"/>
      <w:r w:rsidRPr="00737F87">
        <w:rPr>
          <w:b/>
        </w:rPr>
        <w:t>proseniorských</w:t>
      </w:r>
      <w:proofErr w:type="spellEnd"/>
      <w:r w:rsidRPr="00737F87">
        <w:rPr>
          <w:b/>
        </w:rPr>
        <w:t xml:space="preserve"> organizací.</w:t>
      </w:r>
    </w:p>
    <w:p w14:paraId="1DA1EFA6" w14:textId="77777777" w:rsidR="006327C3" w:rsidRPr="00737F87" w:rsidRDefault="006327C3" w:rsidP="006327C3">
      <w:pPr>
        <w:spacing w:before="120"/>
      </w:pPr>
      <w:r w:rsidRPr="00737F87">
        <w:t xml:space="preserve">V rámci podprogramu 2.1 si může jeden žadatel podat maximálně jednu žádost </w:t>
      </w:r>
      <w:r w:rsidRPr="00737F87">
        <w:br/>
        <w:t xml:space="preserve">o přidělení dotace na nejvýše dva projekty. V případě, že je žadatel o dotaci zastřešující organizací a žádá si o přidělení dotace v podprogramu 2.2, může </w:t>
      </w:r>
      <w:r w:rsidRPr="00737F87">
        <w:br/>
        <w:t xml:space="preserve">si současně podat jednu žádost na jeden projekt i v rámci podprogramu 2.1. </w:t>
      </w:r>
    </w:p>
    <w:p w14:paraId="6873820D" w14:textId="32C6E848" w:rsidR="006327C3" w:rsidRDefault="006327C3" w:rsidP="006327C3">
      <w:pPr>
        <w:spacing w:before="120"/>
      </w:pPr>
      <w:r w:rsidRPr="00737F87">
        <w:t>Poskytovatel dotace může uzavřít s žadatelem smlouvu o spolupráci s cílem realizovat víceleté projekty, které naplňují priority schválené vládou. Uzavření této smlouvy o</w:t>
      </w:r>
      <w:r>
        <w:t> </w:t>
      </w:r>
      <w:r w:rsidRPr="00737F87">
        <w:t xml:space="preserve">spolupráci není dotčeno žádné ustanovení rozpočtových pravidel a nezakládá právní nárok na poskytnutí dotace v dalších letech. </w:t>
      </w:r>
    </w:p>
    <w:p w14:paraId="509E7F87" w14:textId="1331ADDC" w:rsidR="00F96404" w:rsidRDefault="006327C3" w:rsidP="006327C3">
      <w:pPr>
        <w:rPr>
          <w:b/>
          <w:bCs/>
        </w:rPr>
      </w:pPr>
      <w:r w:rsidRPr="00B66959">
        <w:rPr>
          <w:b/>
          <w:bCs/>
        </w:rPr>
        <w:lastRenderedPageBreak/>
        <w:t>Ve 2. kole budou podporovány především projekty zaměřené na pomoc seniorům při odstraňování následků problémů vzniklých během nepříznivé epidemiologické situace spojené s výskytem COVID-19, projekty zaměřené na prevenci osamělosti seniorů, volnočasové a vzdělávací aktivity, zvyšování digitální gramotnosti, poradenství a advokátní činnost zaměřen</w:t>
      </w:r>
      <w:r w:rsidR="00DD6783">
        <w:rPr>
          <w:b/>
          <w:bCs/>
        </w:rPr>
        <w:t>ou</w:t>
      </w:r>
      <w:r w:rsidRPr="00B66959">
        <w:rPr>
          <w:b/>
          <w:bCs/>
        </w:rPr>
        <w:t xml:space="preserve"> na hájení práv seniorů.</w:t>
      </w:r>
    </w:p>
    <w:p w14:paraId="7A12F264" w14:textId="77777777" w:rsidR="00317E45" w:rsidRPr="00737F87" w:rsidRDefault="00317E45" w:rsidP="00317E45">
      <w:pPr>
        <w:pStyle w:val="Nadpis1"/>
      </w:pPr>
      <w:r w:rsidRPr="00737F87">
        <w:rPr>
          <w:rFonts w:eastAsiaTheme="majorEastAsia"/>
          <w:lang w:eastAsia="en-US"/>
        </w:rPr>
        <w:t>Oprávněné subjekty</w:t>
      </w:r>
    </w:p>
    <w:p w14:paraId="25D4D069" w14:textId="77777777" w:rsidR="00317E45" w:rsidRPr="00737F87" w:rsidRDefault="00317E45" w:rsidP="00317E45">
      <w:pPr>
        <w:autoSpaceDE w:val="0"/>
        <w:autoSpaceDN w:val="0"/>
        <w:adjustRightInd w:val="0"/>
      </w:pPr>
      <w:r w:rsidRPr="00737F87">
        <w:t>K předložení žádosti o dotaci jsou oprávněné níže uvedené subjekty. Jedná se o </w:t>
      </w:r>
      <w:r w:rsidRPr="00737F87">
        <w:rPr>
          <w:b/>
        </w:rPr>
        <w:t>nestátní neziskové organizace</w:t>
      </w:r>
      <w:r w:rsidRPr="00737F87">
        <w:t>:</w:t>
      </w:r>
    </w:p>
    <w:p w14:paraId="704C19C5" w14:textId="77777777" w:rsidR="00317E45" w:rsidRPr="00737F87" w:rsidRDefault="00317E45" w:rsidP="00317E45">
      <w:pPr>
        <w:numPr>
          <w:ilvl w:val="0"/>
          <w:numId w:val="12"/>
        </w:numPr>
        <w:shd w:val="clear" w:color="auto" w:fill="auto"/>
        <w:tabs>
          <w:tab w:val="num" w:pos="490"/>
        </w:tabs>
        <w:spacing w:before="0" w:after="0"/>
        <w:ind w:left="426" w:hanging="426"/>
      </w:pPr>
      <w:r w:rsidRPr="00737F87">
        <w:rPr>
          <w:b/>
        </w:rPr>
        <w:t>obecně prospěšné společnosti</w:t>
      </w:r>
      <w:r w:rsidRPr="00737F87">
        <w:t xml:space="preserve"> zřízené podle zákona č. </w:t>
      </w:r>
      <w:r w:rsidRPr="00737F87">
        <w:rPr>
          <w:b/>
        </w:rPr>
        <w:t xml:space="preserve">248/1995 </w:t>
      </w:r>
      <w:r w:rsidRPr="00215A23">
        <w:rPr>
          <w:b/>
          <w:bCs/>
        </w:rPr>
        <w:t>Sb</w:t>
      </w:r>
      <w:r w:rsidRPr="00737F87">
        <w:t xml:space="preserve">., </w:t>
      </w:r>
      <w:r w:rsidRPr="00737F87">
        <w:br/>
        <w:t>o obecně prospěšných společnostech a o změně a doplnění některých zákonů, ve znění pozdějších předpisů</w:t>
      </w:r>
      <w:r w:rsidRPr="00737F87">
        <w:rPr>
          <w:vertAlign w:val="superscript"/>
        </w:rPr>
        <w:footnoteReference w:id="2"/>
      </w:r>
      <w:r w:rsidRPr="00737F87">
        <w:t>;</w:t>
      </w:r>
    </w:p>
    <w:p w14:paraId="32857B4D" w14:textId="77777777" w:rsidR="00317E45" w:rsidRPr="00737F87" w:rsidRDefault="00317E45" w:rsidP="00317E45">
      <w:pPr>
        <w:numPr>
          <w:ilvl w:val="0"/>
          <w:numId w:val="12"/>
        </w:numPr>
        <w:shd w:val="clear" w:color="auto" w:fill="auto"/>
        <w:tabs>
          <w:tab w:val="num" w:pos="490"/>
        </w:tabs>
        <w:spacing w:before="0" w:after="0"/>
        <w:ind w:left="426" w:hanging="426"/>
      </w:pPr>
      <w:r w:rsidRPr="00737F87">
        <w:rPr>
          <w:b/>
        </w:rPr>
        <w:t>registrované církve</w:t>
      </w:r>
      <w:r w:rsidRPr="00737F87">
        <w:t xml:space="preserve"> zřízené podle zákona č. </w:t>
      </w:r>
      <w:r w:rsidRPr="00737F87">
        <w:rPr>
          <w:b/>
        </w:rPr>
        <w:t>3/2002 Sb</w:t>
      </w:r>
      <w:r w:rsidRPr="00737F87">
        <w:t>., o svobodě náboženského vyznání a postavení církví a náboženských společností a o změně některých zákonů (zákon o církvích a náboženských společnostech), ve znění pozdějších předpisů, pokud poskytují zdravotní, kulturní, vzdělávací a sociální služby nebo sociálně právní ochranu dětí;</w:t>
      </w:r>
    </w:p>
    <w:p w14:paraId="45D7FFA1" w14:textId="77777777" w:rsidR="00317E45" w:rsidRPr="00737F87" w:rsidRDefault="00317E45" w:rsidP="00317E45">
      <w:pPr>
        <w:numPr>
          <w:ilvl w:val="0"/>
          <w:numId w:val="12"/>
        </w:numPr>
        <w:shd w:val="clear" w:color="auto" w:fill="auto"/>
        <w:tabs>
          <w:tab w:val="num" w:pos="490"/>
        </w:tabs>
        <w:spacing w:before="0" w:after="0"/>
        <w:ind w:left="426" w:hanging="426"/>
      </w:pPr>
      <w:r w:rsidRPr="00737F87">
        <w:rPr>
          <w:b/>
        </w:rPr>
        <w:t>spolky</w:t>
      </w:r>
      <w:r w:rsidRPr="00737F87">
        <w:t xml:space="preserve"> podle zákona č. </w:t>
      </w:r>
      <w:r w:rsidRPr="00737F87">
        <w:rPr>
          <w:b/>
        </w:rPr>
        <w:t>89/2012 Sb</w:t>
      </w:r>
      <w:r w:rsidRPr="00737F87">
        <w:t>., občanský zákoník, ve znění pozdějších předpisů;</w:t>
      </w:r>
    </w:p>
    <w:p w14:paraId="0A76A858" w14:textId="77777777" w:rsidR="00317E45" w:rsidRPr="00737F87" w:rsidRDefault="00317E45" w:rsidP="00317E45">
      <w:pPr>
        <w:numPr>
          <w:ilvl w:val="0"/>
          <w:numId w:val="12"/>
        </w:numPr>
        <w:shd w:val="clear" w:color="auto" w:fill="auto"/>
        <w:tabs>
          <w:tab w:val="num" w:pos="490"/>
        </w:tabs>
        <w:spacing w:before="0" w:after="0"/>
        <w:ind w:left="426" w:hanging="426"/>
      </w:pPr>
      <w:r w:rsidRPr="00737F87">
        <w:rPr>
          <w:b/>
        </w:rPr>
        <w:t>ústavy</w:t>
      </w:r>
      <w:r w:rsidRPr="00737F87">
        <w:t xml:space="preserve"> podle zákona č. </w:t>
      </w:r>
      <w:r w:rsidRPr="00737F87">
        <w:rPr>
          <w:b/>
        </w:rPr>
        <w:t>89/2012 Sb</w:t>
      </w:r>
      <w:r w:rsidRPr="00737F87">
        <w:t>., občanský zákoník, ve znění pozdějších předpisů;</w:t>
      </w:r>
    </w:p>
    <w:p w14:paraId="0524FE2E" w14:textId="77777777" w:rsidR="00317E45" w:rsidRPr="00737F87" w:rsidRDefault="00317E45" w:rsidP="00317E45">
      <w:pPr>
        <w:numPr>
          <w:ilvl w:val="0"/>
          <w:numId w:val="12"/>
        </w:numPr>
        <w:shd w:val="clear" w:color="auto" w:fill="auto"/>
        <w:tabs>
          <w:tab w:val="num" w:pos="490"/>
        </w:tabs>
        <w:spacing w:before="0" w:after="0"/>
        <w:ind w:left="426" w:hanging="426"/>
      </w:pPr>
      <w:r w:rsidRPr="00737F87">
        <w:rPr>
          <w:b/>
        </w:rPr>
        <w:t>nadace</w:t>
      </w:r>
      <w:r w:rsidRPr="00737F87">
        <w:t xml:space="preserve"> a nadační fondy podle zákona č. </w:t>
      </w:r>
      <w:r w:rsidRPr="00737F87">
        <w:rPr>
          <w:b/>
        </w:rPr>
        <w:t>89/2012 Sb</w:t>
      </w:r>
      <w:r w:rsidRPr="00737F87">
        <w:t>., občanský zákoník, ve znění pozdějších předpisů.</w:t>
      </w:r>
    </w:p>
    <w:p w14:paraId="7737E5C0" w14:textId="77777777" w:rsidR="00317E45" w:rsidRPr="00737F87" w:rsidRDefault="00317E45" w:rsidP="00317E45">
      <w:pPr>
        <w:ind w:left="426"/>
      </w:pPr>
    </w:p>
    <w:p w14:paraId="3675FC0C" w14:textId="77777777" w:rsidR="00317E45" w:rsidRPr="00737F87" w:rsidRDefault="00317E45" w:rsidP="00317E45">
      <w:r w:rsidRPr="00737F87">
        <w:lastRenderedPageBreak/>
        <w:t>Základní podmínkou účasti nadace a nadačního fondu v dotačním programu však musí být podmínka, že se nesmí jednat o nadaci nebo nadační fond, založený státem nebo s účastí státu.</w:t>
      </w:r>
    </w:p>
    <w:p w14:paraId="67533797" w14:textId="44AD709C" w:rsidR="00317E45" w:rsidRPr="00737F87" w:rsidRDefault="00317E45" w:rsidP="00317E45">
      <w:r w:rsidRPr="00737F87">
        <w:t>V případě, že dojde k transformaci (změně) právní formy právnické osoby; nemá to vliv na práva a povinnosti, zejména na závazky organizace, včetně práv a</w:t>
      </w:r>
      <w:r w:rsidR="00583134">
        <w:t> </w:t>
      </w:r>
      <w:r w:rsidRPr="00737F87">
        <w:t xml:space="preserve">povinností plynoucích z účasti v dotačním programu. Při změně právní formy </w:t>
      </w:r>
      <w:proofErr w:type="gramStart"/>
      <w:r w:rsidRPr="00737F87">
        <w:t>se</w:t>
      </w:r>
      <w:proofErr w:type="gramEnd"/>
      <w:r w:rsidRPr="00737F87">
        <w:t xml:space="preserve"> sdružení, jehož právní forma se mění, neruší ani nezaniká, pouze se mění jeho právní poměry</w:t>
      </w:r>
      <w:r>
        <w:t xml:space="preserve">. </w:t>
      </w:r>
      <w:r w:rsidRPr="00737F87">
        <w:t>V</w:t>
      </w:r>
      <w:r>
        <w:t> </w:t>
      </w:r>
      <w:r w:rsidRPr="00737F87">
        <w:t>případě změny IČ bude zamezeno následné diskriminaci subjektu</w:t>
      </w:r>
      <w:r w:rsidR="00583134">
        <w:t xml:space="preserve"> </w:t>
      </w:r>
      <w:r w:rsidRPr="00737F87">
        <w:t>s</w:t>
      </w:r>
      <w:r w:rsidR="00583134">
        <w:t> </w:t>
      </w:r>
      <w:r w:rsidRPr="00737F87">
        <w:t>ohledem</w:t>
      </w:r>
      <w:r w:rsidR="00583134">
        <w:t xml:space="preserve"> </w:t>
      </w:r>
      <w:r w:rsidRPr="00737F87">
        <w:t>na neexistující historii, historie bude brána v potaz s původním IČ (např. pokud bude realizován přechod z právní formy spolek na zapsaný ústav).</w:t>
      </w:r>
    </w:p>
    <w:p w14:paraId="7E8896E2" w14:textId="31D8048C" w:rsidR="00317E45" w:rsidRPr="00B66959" w:rsidRDefault="00317E45" w:rsidP="00317E45">
      <w:pPr>
        <w:pStyle w:val="Nadpis1"/>
        <w:spacing w:before="240" w:line="276" w:lineRule="auto"/>
        <w:rPr>
          <w:rFonts w:eastAsiaTheme="majorEastAsia"/>
          <w:sz w:val="24"/>
          <w:szCs w:val="24"/>
          <w:lang w:eastAsia="en-US"/>
        </w:rPr>
      </w:pPr>
      <w:bookmarkStart w:id="1" w:name="_Toc489874972"/>
      <w:bookmarkStart w:id="2" w:name="_Toc48816737"/>
      <w:bookmarkStart w:id="3" w:name="_Toc50559714"/>
      <w:r w:rsidRPr="00B66959">
        <w:rPr>
          <w:rFonts w:eastAsiaTheme="majorEastAsia"/>
          <w:sz w:val="24"/>
          <w:szCs w:val="24"/>
          <w:lang w:eastAsia="en-US"/>
        </w:rPr>
        <w:t>Podmínky oprávněnosti žadatele:</w:t>
      </w:r>
      <w:bookmarkEnd w:id="1"/>
      <w:bookmarkEnd w:id="2"/>
      <w:bookmarkEnd w:id="3"/>
    </w:p>
    <w:p w14:paraId="0B849D46" w14:textId="77777777" w:rsidR="00317E45" w:rsidRPr="00737F87" w:rsidRDefault="00317E45" w:rsidP="00317E45">
      <w:pPr>
        <w:numPr>
          <w:ilvl w:val="0"/>
          <w:numId w:val="15"/>
        </w:numPr>
        <w:shd w:val="clear" w:color="auto" w:fill="auto"/>
        <w:autoSpaceDE w:val="0"/>
        <w:autoSpaceDN w:val="0"/>
        <w:adjustRightInd w:val="0"/>
        <w:spacing w:before="0" w:after="0"/>
        <w:ind w:left="426" w:hanging="426"/>
      </w:pPr>
      <w:r w:rsidRPr="00737F87">
        <w:t>musí splňovat výše uvedenou právní formu;</w:t>
      </w:r>
    </w:p>
    <w:p w14:paraId="799241C5" w14:textId="77777777" w:rsidR="00317E45" w:rsidRPr="00737F87" w:rsidRDefault="00317E45" w:rsidP="00317E45">
      <w:pPr>
        <w:numPr>
          <w:ilvl w:val="0"/>
          <w:numId w:val="15"/>
        </w:numPr>
        <w:shd w:val="clear" w:color="auto" w:fill="auto"/>
        <w:autoSpaceDE w:val="0"/>
        <w:autoSpaceDN w:val="0"/>
        <w:adjustRightInd w:val="0"/>
        <w:spacing w:before="0" w:after="0"/>
        <w:ind w:left="426" w:hanging="426"/>
      </w:pPr>
      <w:r w:rsidRPr="00737F87">
        <w:t xml:space="preserve">musí být registrován Ministerstvem vnitra nebo jiným příslušným ústředním orgánem, příp. ve </w:t>
      </w:r>
      <w:r w:rsidRPr="00B66959">
        <w:rPr>
          <w:bCs/>
        </w:rPr>
        <w:t>veřejném rejstříku</w:t>
      </w:r>
      <w:r w:rsidRPr="00737F87">
        <w:t xml:space="preserve"> u soudu, určeného k vedení veřejného rejstříku, a to nejméně</w:t>
      </w:r>
      <w:r w:rsidRPr="00737F87">
        <w:rPr>
          <w:b/>
        </w:rPr>
        <w:t xml:space="preserve"> 1 rok před uzávěrkou přijímání žádostí a zároveň musí v tomto období prokazatelně pracovat v oblasti </w:t>
      </w:r>
      <w:proofErr w:type="spellStart"/>
      <w:r w:rsidRPr="00737F87">
        <w:rPr>
          <w:b/>
        </w:rPr>
        <w:t>proseniorských</w:t>
      </w:r>
      <w:proofErr w:type="spellEnd"/>
      <w:r w:rsidRPr="00737F87">
        <w:rPr>
          <w:b/>
        </w:rPr>
        <w:t xml:space="preserve"> služeb (musí být zakotveno ve stanovách/zřizovací listině)</w:t>
      </w:r>
      <w:r w:rsidRPr="00737F87">
        <w:rPr>
          <w:bCs/>
          <w:iCs/>
        </w:rPr>
        <w:t>;</w:t>
      </w:r>
      <w:r w:rsidRPr="00737F87">
        <w:rPr>
          <w:bCs/>
          <w:iCs/>
          <w:vertAlign w:val="superscript"/>
        </w:rPr>
        <w:footnoteReference w:id="3"/>
      </w:r>
    </w:p>
    <w:p w14:paraId="7AF21D5F" w14:textId="77777777" w:rsidR="00317E45" w:rsidRPr="00737F87" w:rsidRDefault="00317E45" w:rsidP="00317E45">
      <w:pPr>
        <w:numPr>
          <w:ilvl w:val="0"/>
          <w:numId w:val="15"/>
        </w:numPr>
        <w:shd w:val="clear" w:color="auto" w:fill="auto"/>
        <w:autoSpaceDE w:val="0"/>
        <w:autoSpaceDN w:val="0"/>
        <w:adjustRightInd w:val="0"/>
        <w:spacing w:before="0" w:after="0"/>
        <w:ind w:left="426" w:hanging="426"/>
      </w:pPr>
      <w:r w:rsidRPr="00737F87">
        <w:t xml:space="preserve">musí mít </w:t>
      </w:r>
      <w:r w:rsidRPr="00737F87">
        <w:rPr>
          <w:b/>
          <w:bCs/>
        </w:rPr>
        <w:t>sídlo v České republice;</w:t>
      </w:r>
    </w:p>
    <w:p w14:paraId="355DBAA0" w14:textId="77777777" w:rsidR="00317E45" w:rsidRPr="00737F87" w:rsidRDefault="00317E45" w:rsidP="00317E45">
      <w:pPr>
        <w:numPr>
          <w:ilvl w:val="0"/>
          <w:numId w:val="15"/>
        </w:numPr>
        <w:shd w:val="clear" w:color="auto" w:fill="auto"/>
        <w:autoSpaceDE w:val="0"/>
        <w:autoSpaceDN w:val="0"/>
        <w:adjustRightInd w:val="0"/>
        <w:spacing w:before="0" w:after="0"/>
        <w:ind w:left="426" w:hanging="426"/>
      </w:pPr>
      <w:r w:rsidRPr="00737F87">
        <w:t xml:space="preserve">žadatel musí být </w:t>
      </w:r>
      <w:r w:rsidRPr="00737F87">
        <w:rPr>
          <w:b/>
          <w:bCs/>
        </w:rPr>
        <w:t>přímo zodpovědný za přípravu a řízení projektu</w:t>
      </w:r>
      <w:r w:rsidRPr="00737F87">
        <w:t>, nesmí působit jako prostředník</w:t>
      </w:r>
      <w:r w:rsidRPr="00737F87">
        <w:rPr>
          <w:bCs/>
          <w:iCs/>
        </w:rPr>
        <w:t>;</w:t>
      </w:r>
    </w:p>
    <w:p w14:paraId="67CD625E" w14:textId="77777777" w:rsidR="00317E45" w:rsidRPr="00737F87" w:rsidRDefault="00317E45" w:rsidP="00317E45">
      <w:pPr>
        <w:numPr>
          <w:ilvl w:val="0"/>
          <w:numId w:val="15"/>
        </w:numPr>
        <w:shd w:val="clear" w:color="auto" w:fill="auto"/>
        <w:autoSpaceDE w:val="0"/>
        <w:autoSpaceDN w:val="0"/>
        <w:adjustRightInd w:val="0"/>
        <w:spacing w:before="0" w:after="0"/>
        <w:ind w:left="426" w:hanging="426"/>
      </w:pPr>
      <w:r w:rsidRPr="00737F87">
        <w:rPr>
          <w:b/>
        </w:rPr>
        <w:t xml:space="preserve">nesmí být </w:t>
      </w:r>
      <w:r w:rsidRPr="00737F87">
        <w:rPr>
          <w:b/>
          <w:bCs/>
          <w:iCs/>
        </w:rPr>
        <w:t>v likvidaci, v úpadku</w:t>
      </w:r>
      <w:r w:rsidRPr="00737F87">
        <w:rPr>
          <w:bCs/>
          <w:iCs/>
        </w:rPr>
        <w:t xml:space="preserve">, hrozícím úpadku a dále proti němu nesmí být vedeno insolvenční řízení ve smyslu zákona č. 182/2006 Sb., </w:t>
      </w:r>
      <w:r w:rsidRPr="00737F87">
        <w:rPr>
          <w:bCs/>
          <w:iCs/>
        </w:rPr>
        <w:br/>
        <w:t>o úpadku a způsobech jeho řešení (insolvenční zákon), ve znění pozdějších předpisů;</w:t>
      </w:r>
    </w:p>
    <w:p w14:paraId="4D438C9C" w14:textId="77777777" w:rsidR="00317E45" w:rsidRPr="00737F87" w:rsidRDefault="00317E45" w:rsidP="00317E45">
      <w:pPr>
        <w:numPr>
          <w:ilvl w:val="0"/>
          <w:numId w:val="15"/>
        </w:numPr>
        <w:shd w:val="clear" w:color="auto" w:fill="auto"/>
        <w:autoSpaceDE w:val="0"/>
        <w:autoSpaceDN w:val="0"/>
        <w:adjustRightInd w:val="0"/>
        <w:spacing w:before="0" w:after="0"/>
        <w:ind w:left="426" w:hanging="426"/>
      </w:pPr>
      <w:r w:rsidRPr="00737F87">
        <w:t>nesmí se dopouštět</w:t>
      </w:r>
      <w:r w:rsidRPr="00737F87">
        <w:rPr>
          <w:bCs/>
          <w:iCs/>
        </w:rPr>
        <w:t xml:space="preserve"> jednání závažným způsobem </w:t>
      </w:r>
      <w:r w:rsidRPr="00737F87">
        <w:rPr>
          <w:b/>
          <w:bCs/>
          <w:iCs/>
        </w:rPr>
        <w:t>odporujícím profesní etice;</w:t>
      </w:r>
    </w:p>
    <w:p w14:paraId="33761C0F" w14:textId="77777777" w:rsidR="00317E45" w:rsidRPr="00737F87" w:rsidRDefault="00317E45" w:rsidP="00317E45">
      <w:pPr>
        <w:numPr>
          <w:ilvl w:val="0"/>
          <w:numId w:val="15"/>
        </w:numPr>
        <w:shd w:val="clear" w:color="auto" w:fill="auto"/>
        <w:autoSpaceDE w:val="0"/>
        <w:autoSpaceDN w:val="0"/>
        <w:adjustRightInd w:val="0"/>
        <w:spacing w:before="0" w:after="0"/>
        <w:ind w:left="426" w:hanging="426"/>
      </w:pPr>
      <w:r w:rsidRPr="00737F87">
        <w:rPr>
          <w:b/>
        </w:rPr>
        <w:lastRenderedPageBreak/>
        <w:t>m</w:t>
      </w:r>
      <w:r w:rsidRPr="00737F87">
        <w:rPr>
          <w:b/>
          <w:bCs/>
          <w:iCs/>
        </w:rPr>
        <w:t>usí mít splněny závazky</w:t>
      </w:r>
      <w:r w:rsidRPr="00737F87">
        <w:rPr>
          <w:bCs/>
          <w:iCs/>
        </w:rPr>
        <w:t xml:space="preserve"> související s úhradou příspěvků zdravotního pojištění, sociálního zabezpečení nebo daňovými odvody vyplývajícími z právních předpisů</w:t>
      </w:r>
      <w:r w:rsidRPr="00737F87">
        <w:rPr>
          <w:bCs/>
          <w:iCs/>
          <w:vertAlign w:val="superscript"/>
        </w:rPr>
        <w:footnoteReference w:id="4"/>
      </w:r>
      <w:r w:rsidRPr="00737F87">
        <w:rPr>
          <w:bCs/>
          <w:iCs/>
        </w:rPr>
        <w:t>, tato skutečnost musí být žadatelem deklarována formou čestného prohlášení při podání elektronické žádosti o dotaci;</w:t>
      </w:r>
    </w:p>
    <w:p w14:paraId="551F27B1" w14:textId="77777777" w:rsidR="00317E45" w:rsidRPr="00737F87" w:rsidRDefault="00317E45" w:rsidP="00317E45">
      <w:pPr>
        <w:numPr>
          <w:ilvl w:val="0"/>
          <w:numId w:val="15"/>
        </w:numPr>
        <w:shd w:val="clear" w:color="auto" w:fill="auto"/>
        <w:autoSpaceDE w:val="0"/>
        <w:autoSpaceDN w:val="0"/>
        <w:adjustRightInd w:val="0"/>
        <w:spacing w:before="0" w:after="0"/>
        <w:ind w:left="426" w:hanging="426"/>
      </w:pPr>
      <w:r w:rsidRPr="00737F87">
        <w:t>musí mít</w:t>
      </w:r>
      <w:r w:rsidRPr="00737F87">
        <w:rPr>
          <w:b/>
        </w:rPr>
        <w:t xml:space="preserve"> působnost alespoň v 5 krajích ČR (tzn., aktivity musí být v těchto krajích prokazatelně realizovány). </w:t>
      </w:r>
    </w:p>
    <w:p w14:paraId="27428CA4" w14:textId="77777777" w:rsidR="00317E45" w:rsidRDefault="00317E45" w:rsidP="00317E45">
      <w:pPr>
        <w:rPr>
          <w:bCs/>
          <w:iCs/>
        </w:rPr>
      </w:pPr>
      <w:r w:rsidRPr="00737F87">
        <w:t xml:space="preserve">Žadatel </w:t>
      </w:r>
      <w:r w:rsidRPr="00737F87">
        <w:rPr>
          <w:b/>
        </w:rPr>
        <w:t>musí prokázat schopnost</w:t>
      </w:r>
      <w:r w:rsidRPr="00737F87">
        <w:t xml:space="preserve"> zvládat realizaci projektu, tedy i rozsáhlejší činnosti odpovídající velikosti projektu, na který je finanční podpora požadována (stručná charakteristika organizace, zkušenosti žadatele v oblasti zaměření projektu, složení realizačního týmu)</w:t>
      </w:r>
      <w:r w:rsidRPr="00737F87">
        <w:rPr>
          <w:bCs/>
          <w:iCs/>
        </w:rPr>
        <w:t xml:space="preserve">. Odborná schopnost vést a realizovat projekt bude posuzována v procesu hodnocení žádosti.  </w:t>
      </w:r>
    </w:p>
    <w:p w14:paraId="1518F8F1" w14:textId="77777777" w:rsidR="00317E45" w:rsidRPr="00B66959" w:rsidRDefault="00317E45" w:rsidP="006327C3">
      <w:pPr>
        <w:rPr>
          <w:rFonts w:ascii="Calibri" w:hAnsi="Calibri" w:cs="Calibri"/>
          <w:b/>
          <w:bCs/>
          <w:spacing w:val="0"/>
          <w:sz w:val="22"/>
          <w:szCs w:val="22"/>
        </w:rPr>
      </w:pPr>
    </w:p>
    <w:p w14:paraId="1C1E8CE4" w14:textId="3EC13112" w:rsidR="00B365CA" w:rsidRDefault="00953F61" w:rsidP="00B365CA">
      <w:pPr>
        <w:pStyle w:val="Nadpis1"/>
      </w:pPr>
      <w:r w:rsidRPr="00953F61">
        <w:t>Způsob poskytnutí dotace a žádost o poskytnutí dotace</w:t>
      </w:r>
    </w:p>
    <w:p w14:paraId="77830F6B" w14:textId="28733AA8" w:rsidR="00D826EE" w:rsidRDefault="00D826EE" w:rsidP="00D826EE">
      <w:pPr>
        <w:autoSpaceDE w:val="0"/>
        <w:autoSpaceDN w:val="0"/>
        <w:adjustRightInd w:val="0"/>
        <w:rPr>
          <w:rStyle w:val="Hypertextovodkaz"/>
        </w:rPr>
      </w:pPr>
      <w:r w:rsidRPr="00737F87">
        <w:t xml:space="preserve">Dotace je poskytována na základě žádosti o dotaci podané v rámci internetové aplikace </w:t>
      </w:r>
      <w:proofErr w:type="spellStart"/>
      <w:r w:rsidRPr="00737F87">
        <w:t>OKslužby</w:t>
      </w:r>
      <w:proofErr w:type="spellEnd"/>
      <w:r w:rsidRPr="00737F87">
        <w:t xml:space="preserve"> – senior (odkaz zde: </w:t>
      </w:r>
      <w:hyperlink r:id="rId8" w:history="1">
        <w:r w:rsidRPr="00EE1EEE">
          <w:rPr>
            <w:rStyle w:val="Hypertextovodkaz"/>
          </w:rPr>
          <w:t>https://www.mpsv.cz/web/cz/aplikace-oksluzby-senior</w:t>
        </w:r>
      </w:hyperlink>
      <w:r w:rsidRPr="00737F87">
        <w:t xml:space="preserve">).  </w:t>
      </w:r>
      <w:r w:rsidRPr="00737F87">
        <w:br/>
      </w:r>
      <w:r w:rsidR="00601EAF">
        <w:rPr>
          <w:b/>
        </w:rPr>
        <w:t>Noví žadatelé mohou žádost zpracovávat až po získání p</w:t>
      </w:r>
      <w:r w:rsidRPr="00737F87">
        <w:rPr>
          <w:b/>
        </w:rPr>
        <w:t>řístu</w:t>
      </w:r>
      <w:r w:rsidR="00601EAF">
        <w:rPr>
          <w:b/>
        </w:rPr>
        <w:t>pu</w:t>
      </w:r>
      <w:r w:rsidRPr="00737F87">
        <w:rPr>
          <w:b/>
        </w:rPr>
        <w:t xml:space="preserve"> do výše uvedené aplikace, kterým MPSV zřídí uživatelský účet.</w:t>
      </w:r>
      <w:r w:rsidRPr="00737F87">
        <w:t xml:space="preserve"> Uživatelský účet se zřizuje pro organizaci a konkrétní osobu, a to jen se souhlasem statutárního zástupce organizace. Požádat o přístup (přidělení uživatelského účtu) lze formou tzv. souhlasu se zpracováním osobních údajů. Formulář a další informace o zřízení přístupu nalezne žadatel o dotaci na </w:t>
      </w:r>
      <w:hyperlink r:id="rId9" w:history="1">
        <w:r w:rsidRPr="00EE1EEE">
          <w:rPr>
            <w:rStyle w:val="Hypertextovodkaz"/>
          </w:rPr>
          <w:t>https://www.mpsv.cz/web/cz/aplikace-oksluzby-senior</w:t>
        </w:r>
      </w:hyperlink>
      <w:r>
        <w:rPr>
          <w:rStyle w:val="Hypertextovodkaz"/>
        </w:rPr>
        <w:t>.</w:t>
      </w:r>
    </w:p>
    <w:p w14:paraId="0A289678" w14:textId="20DF6208" w:rsidR="00D826EE" w:rsidRPr="00F059AF" w:rsidRDefault="00D826EE" w:rsidP="00D826EE">
      <w:pPr>
        <w:autoSpaceDE w:val="0"/>
        <w:autoSpaceDN w:val="0"/>
        <w:adjustRightInd w:val="0"/>
        <w:rPr>
          <w:i/>
        </w:rPr>
      </w:pPr>
      <w:r w:rsidRPr="00737F87">
        <w:rPr>
          <w:b/>
        </w:rPr>
        <w:t>Vzhledem k časové náročnosti zřízení přístupu doporučujeme novým žadatelům podat žádost o přístup s dostatečným předstihem</w:t>
      </w:r>
      <w:r w:rsidRPr="00737F87">
        <w:rPr>
          <w:lang w:eastAsia="ar-SA"/>
        </w:rPr>
        <w:t xml:space="preserve">. Oprávnění vytvářet žádost může mít více zaměstnanců organizace, kteří požádali </w:t>
      </w:r>
      <w:r w:rsidRPr="00737F87">
        <w:rPr>
          <w:lang w:eastAsia="ar-SA"/>
        </w:rPr>
        <w:lastRenderedPageBreak/>
        <w:t>o</w:t>
      </w:r>
      <w:r w:rsidR="00583134">
        <w:rPr>
          <w:lang w:eastAsia="ar-SA"/>
        </w:rPr>
        <w:t> </w:t>
      </w:r>
      <w:r w:rsidRPr="00737F87">
        <w:rPr>
          <w:lang w:eastAsia="ar-SA"/>
        </w:rPr>
        <w:t xml:space="preserve">uživatelský účet, </w:t>
      </w:r>
      <w:r w:rsidRPr="00737F87">
        <w:t xml:space="preserve">avšak podat žádost bude mít oprávnění pouze statutární zástupce organizace anebo jeho zmocněnec, na kterého statutární zástupce oprávnění podat žádost deleguje. Toto oprávnění je doloženo v rámci příloh žádosti </w:t>
      </w:r>
      <w:r>
        <w:t>o</w:t>
      </w:r>
      <w:r w:rsidRPr="00737F87">
        <w:t xml:space="preserve"> dotaci ověřenou plnou mocí. Osoba, která podá žádost, zároveň nese odpovědnost za veškeré údaje, které jsou organizací v systému uvedeny.</w:t>
      </w:r>
      <w:r w:rsidRPr="00737F87">
        <w:rPr>
          <w:i/>
        </w:rPr>
        <w:t xml:space="preserve"> </w:t>
      </w:r>
    </w:p>
    <w:p w14:paraId="52211DA2" w14:textId="77777777" w:rsidR="00D826EE" w:rsidRPr="00EE1EEE" w:rsidRDefault="00D826EE" w:rsidP="00D826EE">
      <w:pPr>
        <w:rPr>
          <w:sz w:val="22"/>
          <w:szCs w:val="22"/>
        </w:rPr>
      </w:pPr>
      <w:r w:rsidRPr="00EE1EEE">
        <w:rPr>
          <w:b/>
        </w:rPr>
        <w:t xml:space="preserve">Informace k vyplňování žádosti jsou uvedeny v samostatném dokumentu – Uživatelská příručka – Modul </w:t>
      </w:r>
      <w:proofErr w:type="spellStart"/>
      <w:proofErr w:type="gramStart"/>
      <w:r w:rsidRPr="00EE1EEE">
        <w:rPr>
          <w:b/>
        </w:rPr>
        <w:t>OKslužby</w:t>
      </w:r>
      <w:proofErr w:type="spellEnd"/>
      <w:r w:rsidRPr="00EE1EEE">
        <w:rPr>
          <w:b/>
        </w:rPr>
        <w:t> - senior</w:t>
      </w:r>
      <w:proofErr w:type="gramEnd"/>
      <w:r w:rsidRPr="00EE1EEE">
        <w:rPr>
          <w:b/>
        </w:rPr>
        <w:t xml:space="preserve"> (ke stažení pod odkazem zde</w:t>
      </w:r>
      <w:r w:rsidRPr="00EE1EEE">
        <w:t>: </w:t>
      </w:r>
      <w:hyperlink r:id="rId10" w:history="1">
        <w:r w:rsidRPr="00EE1EEE">
          <w:rPr>
            <w:rStyle w:val="Hypertextovodkaz"/>
          </w:rPr>
          <w:t>https://www.mpsv.cz/web/cz/aplikace-oksluzby-senior</w:t>
        </w:r>
      </w:hyperlink>
      <w:r w:rsidRPr="00737F87">
        <w:rPr>
          <w:b/>
        </w:rPr>
        <w:t xml:space="preserve">). </w:t>
      </w:r>
    </w:p>
    <w:p w14:paraId="0DEC0489" w14:textId="031A8027" w:rsidR="00D826EE" w:rsidRPr="00EF78FB" w:rsidRDefault="00D826EE" w:rsidP="00E87339">
      <w:pPr>
        <w:autoSpaceDE w:val="0"/>
        <w:autoSpaceDN w:val="0"/>
        <w:adjustRightInd w:val="0"/>
        <w:rPr>
          <w:b/>
        </w:rPr>
      </w:pPr>
      <w:r w:rsidRPr="00737F87">
        <w:rPr>
          <w:b/>
        </w:rPr>
        <w:t xml:space="preserve">Pravidelné odstávky </w:t>
      </w:r>
      <w:proofErr w:type="spellStart"/>
      <w:r w:rsidRPr="00737F87">
        <w:rPr>
          <w:b/>
        </w:rPr>
        <w:t>OKsystém</w:t>
      </w:r>
      <w:proofErr w:type="spellEnd"/>
      <w:r w:rsidRPr="00737F87">
        <w:rPr>
          <w:b/>
        </w:rPr>
        <w:t xml:space="preserve"> (servisní hodiny) jsou vždy v úterý </w:t>
      </w:r>
      <w:proofErr w:type="gramStart"/>
      <w:r w:rsidRPr="00737F87">
        <w:rPr>
          <w:b/>
        </w:rPr>
        <w:t>a</w:t>
      </w:r>
      <w:r w:rsidR="00583134">
        <w:rPr>
          <w:b/>
        </w:rPr>
        <w:t> </w:t>
      </w:r>
      <w:r w:rsidRPr="00737F87">
        <w:rPr>
          <w:b/>
        </w:rPr>
        <w:t xml:space="preserve"> ve</w:t>
      </w:r>
      <w:proofErr w:type="gramEnd"/>
      <w:r w:rsidR="00583134">
        <w:rPr>
          <w:b/>
        </w:rPr>
        <w:t> </w:t>
      </w:r>
      <w:r w:rsidRPr="00737F87">
        <w:rPr>
          <w:b/>
        </w:rPr>
        <w:t xml:space="preserve">čtvrtek od 17:00 do 24:00 hod. V případě technických problémů </w:t>
      </w:r>
      <w:r w:rsidR="00E87339">
        <w:rPr>
          <w:b/>
        </w:rPr>
        <w:br/>
      </w:r>
      <w:r w:rsidRPr="00737F87">
        <w:rPr>
          <w:b/>
        </w:rPr>
        <w:t xml:space="preserve">s aplikací </w:t>
      </w:r>
      <w:proofErr w:type="spellStart"/>
      <w:r w:rsidRPr="00737F87">
        <w:rPr>
          <w:b/>
        </w:rPr>
        <w:t>OKslužby</w:t>
      </w:r>
      <w:proofErr w:type="spellEnd"/>
      <w:r w:rsidRPr="00737F87">
        <w:rPr>
          <w:b/>
        </w:rPr>
        <w:t xml:space="preserve"> – senior lze kontaktovat pracovníky </w:t>
      </w:r>
      <w:proofErr w:type="spellStart"/>
      <w:r w:rsidRPr="00737F87">
        <w:rPr>
          <w:b/>
        </w:rPr>
        <w:t>OKsystém</w:t>
      </w:r>
      <w:proofErr w:type="spellEnd"/>
      <w:r w:rsidRPr="00737F87">
        <w:rPr>
          <w:b/>
        </w:rPr>
        <w:t xml:space="preserve"> na</w:t>
      </w:r>
      <w:r w:rsidR="00583134">
        <w:rPr>
          <w:b/>
        </w:rPr>
        <w:t> </w:t>
      </w:r>
      <w:proofErr w:type="gramStart"/>
      <w:r w:rsidRPr="00737F87">
        <w:rPr>
          <w:b/>
        </w:rPr>
        <w:t>e-</w:t>
      </w:r>
      <w:r w:rsidR="00583134">
        <w:rPr>
          <w:b/>
        </w:rPr>
        <w:t> </w:t>
      </w:r>
      <w:r w:rsidRPr="00737F87">
        <w:rPr>
          <w:b/>
        </w:rPr>
        <w:t>mailové</w:t>
      </w:r>
      <w:proofErr w:type="gramEnd"/>
      <w:r w:rsidRPr="00737F87">
        <w:rPr>
          <w:b/>
        </w:rPr>
        <w:t xml:space="preserve"> adrese: </w:t>
      </w:r>
      <w:hyperlink r:id="rId11" w:history="1">
        <w:r w:rsidRPr="00737F87">
          <w:rPr>
            <w:rStyle w:val="Hypertextovodkaz"/>
          </w:rPr>
          <w:t>hotline.oknouze@oksystem.cz</w:t>
        </w:r>
      </w:hyperlink>
      <w:r w:rsidRPr="00737F87">
        <w:rPr>
          <w:b/>
        </w:rPr>
        <w:t xml:space="preserve"> nebo na tel.:</w:t>
      </w:r>
      <w:r w:rsidR="00E87339">
        <w:rPr>
          <w:b/>
        </w:rPr>
        <w:t xml:space="preserve"> </w:t>
      </w:r>
      <w:r w:rsidRPr="00737F87">
        <w:rPr>
          <w:b/>
        </w:rPr>
        <w:t>+420 236 072 130 každý pracovní den od 8:00 do 16:00 hod.</w:t>
      </w:r>
    </w:p>
    <w:p w14:paraId="0C5F0A62" w14:textId="33C993FC" w:rsidR="00D826EE" w:rsidRPr="00EF78FB" w:rsidRDefault="00D826EE" w:rsidP="00D826EE">
      <w:pPr>
        <w:tabs>
          <w:tab w:val="num" w:pos="1080"/>
        </w:tabs>
        <w:autoSpaceDE w:val="0"/>
        <w:autoSpaceDN w:val="0"/>
        <w:adjustRightInd w:val="0"/>
        <w:rPr>
          <w:b/>
          <w:u w:val="single"/>
        </w:rPr>
      </w:pPr>
      <w:r w:rsidRPr="00737F87">
        <w:t xml:space="preserve">Do dotačního programu MPSV na podporu seniorských a </w:t>
      </w:r>
      <w:proofErr w:type="spellStart"/>
      <w:r w:rsidRPr="00737F87">
        <w:t>proseniorských</w:t>
      </w:r>
      <w:proofErr w:type="spellEnd"/>
      <w:r w:rsidRPr="00737F87">
        <w:t xml:space="preserve"> organizací se každý rok zařazují žádosti podané nejpozději do tří týdnů od</w:t>
      </w:r>
      <w:r w:rsidR="00583134">
        <w:t> </w:t>
      </w:r>
      <w:r w:rsidRPr="00737F87">
        <w:t xml:space="preserve">vyhlášení dotačního řízení. Po tomto datu bude přístup do systému pro vkládání dalších žádostí uzavřen.  Odbor sociálních služeb a sociální práce si vyhrazuje právo uvedený termín v případě nutnosti prodloužit. </w:t>
      </w:r>
    </w:p>
    <w:p w14:paraId="7BBC07C5" w14:textId="6F568D8B" w:rsidR="00D826EE" w:rsidRPr="00601EAF" w:rsidRDefault="00D826EE" w:rsidP="00601EAF">
      <w:pPr>
        <w:tabs>
          <w:tab w:val="num" w:pos="1080"/>
        </w:tabs>
        <w:autoSpaceDE w:val="0"/>
        <w:autoSpaceDN w:val="0"/>
        <w:adjustRightInd w:val="0"/>
      </w:pPr>
      <w:r w:rsidRPr="00737F87">
        <w:t>Žadatel bude mít přístup pouze k identifikačním údajům uvedeným ve</w:t>
      </w:r>
      <w:r w:rsidR="00332016">
        <w:t> </w:t>
      </w:r>
      <w:r w:rsidRPr="00737F87">
        <w:t xml:space="preserve">své žádosti o dotaci, přičemž bude jeho povinností tyto údaje aktualizovat tak, aby provedené aktualizace nebyly starší 14 dnů od jejich vzniku. </w:t>
      </w:r>
    </w:p>
    <w:p w14:paraId="7C037A7E" w14:textId="77777777" w:rsidR="00D826EE" w:rsidRPr="00E87339" w:rsidRDefault="00D826EE" w:rsidP="00E87339">
      <w:pPr>
        <w:spacing w:after="0"/>
      </w:pPr>
      <w:r w:rsidRPr="00E87339">
        <w:rPr>
          <w:b/>
          <w:bCs/>
        </w:rPr>
        <w:t>Žádost musí být vyplněna stanoveným způsobem a doložena požadovanými přílohami:</w:t>
      </w:r>
    </w:p>
    <w:p w14:paraId="3854D337" w14:textId="7A53EDE8" w:rsidR="0064684C" w:rsidRPr="00332016" w:rsidRDefault="0064684C" w:rsidP="0064684C">
      <w:pPr>
        <w:rPr>
          <w:b/>
          <w:i/>
          <w:iCs/>
          <w:u w:val="single"/>
        </w:rPr>
      </w:pPr>
      <w:r w:rsidRPr="00332016">
        <w:rPr>
          <w:b/>
          <w:u w:val="single"/>
        </w:rPr>
        <w:t>Povinné přílohy</w:t>
      </w:r>
      <w:r w:rsidR="00192E5D">
        <w:rPr>
          <w:b/>
          <w:u w:val="single"/>
        </w:rPr>
        <w:t xml:space="preserve"> žádosti o dotaci</w:t>
      </w:r>
      <w:r w:rsidRPr="00332016">
        <w:rPr>
          <w:b/>
          <w:u w:val="single"/>
        </w:rPr>
        <w:t xml:space="preserve">: </w:t>
      </w:r>
    </w:p>
    <w:p w14:paraId="2937BFDF" w14:textId="77777777" w:rsidR="0064684C" w:rsidRPr="00737F87" w:rsidRDefault="0064684C" w:rsidP="0064684C">
      <w:pPr>
        <w:numPr>
          <w:ilvl w:val="0"/>
          <w:numId w:val="14"/>
        </w:numPr>
        <w:shd w:val="clear" w:color="auto" w:fill="auto"/>
        <w:tabs>
          <w:tab w:val="num" w:pos="426"/>
        </w:tabs>
        <w:spacing w:before="0" w:after="0"/>
        <w:ind w:left="426" w:hanging="426"/>
      </w:pPr>
      <w:r w:rsidRPr="00B66959">
        <w:rPr>
          <w:b/>
          <w:bCs/>
        </w:rPr>
        <w:t>aktuální verze dokladu potvrzujícího vznik NNO</w:t>
      </w:r>
      <w:r w:rsidRPr="00737F87">
        <w:t xml:space="preserve"> (výpis z příslušného rejstříku či registru žadatele</w:t>
      </w:r>
      <w:r>
        <w:t>, prostá kopie</w:t>
      </w:r>
      <w:r w:rsidRPr="00737F87">
        <w:t>) nebo oprávnění k činnosti (</w:t>
      </w:r>
      <w:r>
        <w:t xml:space="preserve">prostá </w:t>
      </w:r>
      <w:r w:rsidRPr="00737F87">
        <w:t>kopie, datovaná maximálně 3 měsíce zpětně od data podání žádosti)</w:t>
      </w:r>
    </w:p>
    <w:p w14:paraId="5AC88E26" w14:textId="77777777" w:rsidR="0064684C" w:rsidRPr="00737F87" w:rsidRDefault="0064684C" w:rsidP="0064684C">
      <w:pPr>
        <w:numPr>
          <w:ilvl w:val="0"/>
          <w:numId w:val="14"/>
        </w:numPr>
        <w:shd w:val="clear" w:color="auto" w:fill="auto"/>
        <w:tabs>
          <w:tab w:val="num" w:pos="426"/>
        </w:tabs>
        <w:spacing w:before="0" w:after="0"/>
        <w:ind w:left="426" w:hanging="426"/>
        <w:rPr>
          <w:sz w:val="32"/>
          <w:szCs w:val="32"/>
        </w:rPr>
      </w:pPr>
      <w:r w:rsidRPr="00B66959">
        <w:rPr>
          <w:b/>
          <w:bCs/>
        </w:rPr>
        <w:lastRenderedPageBreak/>
        <w:t>informace o podílech v právnických osobách</w:t>
      </w:r>
      <w:r w:rsidRPr="00737F87">
        <w:rPr>
          <w:i/>
        </w:rPr>
        <w:t xml:space="preserve"> </w:t>
      </w:r>
      <w:r w:rsidRPr="00737F87">
        <w:t>podle § 14 odst. 3 písm. e) zákona</w:t>
      </w:r>
      <w:r>
        <w:t xml:space="preserve"> č. 218/2000 Sb.,</w:t>
      </w:r>
      <w:r w:rsidRPr="00737F87">
        <w:t xml:space="preserve"> o rozpočtových pravidl</w:t>
      </w:r>
      <w:r>
        <w:t>ech</w:t>
      </w:r>
      <w:r w:rsidRPr="00737F87">
        <w:t xml:space="preserve">, </w:t>
      </w:r>
    </w:p>
    <w:p w14:paraId="5B023439" w14:textId="7DDDD5E1" w:rsidR="0064684C" w:rsidRPr="00737F87" w:rsidRDefault="0064684C" w:rsidP="0064684C">
      <w:pPr>
        <w:numPr>
          <w:ilvl w:val="1"/>
          <w:numId w:val="14"/>
        </w:numPr>
        <w:shd w:val="clear" w:color="auto" w:fill="auto"/>
        <w:tabs>
          <w:tab w:val="num" w:pos="426"/>
        </w:tabs>
        <w:autoSpaceDE w:val="0"/>
        <w:autoSpaceDN w:val="0"/>
        <w:spacing w:before="0" w:after="0"/>
        <w:ind w:left="426" w:hanging="426"/>
      </w:pPr>
      <w:r w:rsidRPr="00737F87">
        <w:t>nadace, nadační fondy předloží kromě výpisu z veřejného rejstříku i</w:t>
      </w:r>
      <w:r w:rsidR="00332016">
        <w:t> </w:t>
      </w:r>
      <w:r w:rsidRPr="00737F87">
        <w:rPr>
          <w:b/>
        </w:rPr>
        <w:t>nadační listinu</w:t>
      </w:r>
      <w:r w:rsidRPr="00737F87">
        <w:t>;</w:t>
      </w:r>
    </w:p>
    <w:p w14:paraId="7E9A6889" w14:textId="77777777" w:rsidR="0064684C" w:rsidRPr="00737F87" w:rsidRDefault="0064684C" w:rsidP="0064684C">
      <w:pPr>
        <w:numPr>
          <w:ilvl w:val="0"/>
          <w:numId w:val="14"/>
        </w:numPr>
        <w:shd w:val="clear" w:color="auto" w:fill="auto"/>
        <w:tabs>
          <w:tab w:val="num" w:pos="426"/>
        </w:tabs>
        <w:autoSpaceDE w:val="0"/>
        <w:autoSpaceDN w:val="0"/>
        <w:adjustRightInd w:val="0"/>
        <w:spacing w:before="0" w:after="0"/>
        <w:ind w:left="426" w:hanging="426"/>
      </w:pPr>
      <w:r w:rsidRPr="00737F87">
        <w:rPr>
          <w:b/>
        </w:rPr>
        <w:t xml:space="preserve">identifikace bankovního účtu, </w:t>
      </w:r>
      <w:r w:rsidRPr="00737F87">
        <w:t>na který bude složena a následně účetně vedena poskytnutá dotace, potvrzený bankou a statutárním zástupcem organizace</w:t>
      </w:r>
      <w:r w:rsidRPr="00737F87">
        <w:rPr>
          <w:rStyle w:val="Znakapoznpodarou"/>
        </w:rPr>
        <w:footnoteReference w:id="5"/>
      </w:r>
      <w:r w:rsidRPr="00737F87">
        <w:t>, uvedené potvrzení musí být z aktuální doby (staré nejdéle</w:t>
      </w:r>
      <w:r w:rsidRPr="00737F87">
        <w:br/>
        <w:t>3 měsíce).</w:t>
      </w:r>
    </w:p>
    <w:p w14:paraId="04A95D50" w14:textId="77777777" w:rsidR="0064684C" w:rsidRPr="00737F87" w:rsidRDefault="0064684C" w:rsidP="0064684C">
      <w:pPr>
        <w:numPr>
          <w:ilvl w:val="0"/>
          <w:numId w:val="14"/>
        </w:numPr>
        <w:shd w:val="clear" w:color="auto" w:fill="auto"/>
        <w:tabs>
          <w:tab w:val="num" w:pos="426"/>
        </w:tabs>
        <w:autoSpaceDE w:val="0"/>
        <w:autoSpaceDN w:val="0"/>
        <w:adjustRightInd w:val="0"/>
        <w:spacing w:before="0" w:after="0"/>
        <w:ind w:left="426" w:hanging="426"/>
      </w:pPr>
      <w:r w:rsidRPr="00737F87">
        <w:rPr>
          <w:b/>
        </w:rPr>
        <w:t xml:space="preserve">zastřešující organizace </w:t>
      </w:r>
      <w:r w:rsidRPr="00737F87">
        <w:t xml:space="preserve">(resp. žadatel v podprogramu 2.2) současně dokládá </w:t>
      </w:r>
      <w:r w:rsidRPr="00737F87">
        <w:rPr>
          <w:b/>
        </w:rPr>
        <w:t xml:space="preserve">aktuální výpis/seznam svých členů s uvedením kraje jejich působnosti (členskou základnu) a doklad o zřízení či fungování kontrolní komise (např. zápis z jednání komise) </w:t>
      </w:r>
      <w:r w:rsidRPr="00737F87">
        <w:t>ne starší než 3 měsíce zpětně od data podání žádosti.</w:t>
      </w:r>
      <w:r w:rsidRPr="00737F87">
        <w:rPr>
          <w:b/>
        </w:rPr>
        <w:t xml:space="preserve"> </w:t>
      </w:r>
    </w:p>
    <w:p w14:paraId="338EACCA" w14:textId="77777777" w:rsidR="0064684C" w:rsidRPr="00192E5D" w:rsidRDefault="0064684C" w:rsidP="0064684C">
      <w:pPr>
        <w:autoSpaceDE w:val="0"/>
        <w:autoSpaceDN w:val="0"/>
        <w:adjustRightInd w:val="0"/>
        <w:rPr>
          <w:bCs/>
        </w:rPr>
      </w:pPr>
      <w:r w:rsidRPr="00192E5D">
        <w:rPr>
          <w:bCs/>
        </w:rPr>
        <w:t xml:space="preserve">Tyto přílohy podléhají formálnímu hodnocení, které předchází hodnocení interního a externího hodnotitele. V případě nedoložení uvedených příloh, </w:t>
      </w:r>
      <w:r w:rsidRPr="00192E5D">
        <w:rPr>
          <w:bCs/>
        </w:rPr>
        <w:br/>
        <w:t>či doložení špatných povinných příloh bude žadatel o dotaci vyzván k dodání.</w:t>
      </w:r>
    </w:p>
    <w:p w14:paraId="007DD7DF" w14:textId="5DDD6563" w:rsidR="0064684C" w:rsidRPr="0064684C" w:rsidRDefault="0064684C" w:rsidP="0064684C">
      <w:pPr>
        <w:pStyle w:val="Nadpis1"/>
        <w:spacing w:before="240" w:line="276" w:lineRule="auto"/>
        <w:rPr>
          <w:rFonts w:eastAsiaTheme="majorEastAsia"/>
          <w:b w:val="0"/>
          <w:bCs w:val="0"/>
          <w:sz w:val="24"/>
          <w:szCs w:val="24"/>
          <w:u w:val="single"/>
          <w:lang w:eastAsia="en-US"/>
        </w:rPr>
      </w:pPr>
      <w:bookmarkStart w:id="4" w:name="_Toc48816743"/>
      <w:bookmarkStart w:id="5" w:name="_Toc50559719"/>
      <w:r w:rsidRPr="00332016">
        <w:rPr>
          <w:rFonts w:eastAsiaTheme="majorEastAsia"/>
          <w:sz w:val="24"/>
          <w:szCs w:val="24"/>
          <w:u w:val="single"/>
          <w:lang w:eastAsia="en-US"/>
        </w:rPr>
        <w:t>Nepovinné přílohy</w:t>
      </w:r>
      <w:bookmarkEnd w:id="4"/>
      <w:bookmarkEnd w:id="5"/>
      <w:r w:rsidR="00192E5D">
        <w:rPr>
          <w:rFonts w:eastAsiaTheme="majorEastAsia"/>
          <w:sz w:val="24"/>
          <w:szCs w:val="24"/>
          <w:u w:val="single"/>
          <w:lang w:eastAsia="en-US"/>
        </w:rPr>
        <w:t xml:space="preserve"> </w:t>
      </w:r>
      <w:r w:rsidR="00192E5D" w:rsidRPr="00192E5D">
        <w:rPr>
          <w:rFonts w:eastAsiaTheme="majorEastAsia"/>
          <w:sz w:val="24"/>
          <w:szCs w:val="24"/>
          <w:u w:val="single"/>
          <w:lang w:eastAsia="en-US"/>
        </w:rPr>
        <w:t>žádosti o dotaci</w:t>
      </w:r>
      <w:r w:rsidR="00332016">
        <w:rPr>
          <w:rFonts w:eastAsiaTheme="majorEastAsia"/>
          <w:b w:val="0"/>
          <w:bCs w:val="0"/>
          <w:sz w:val="24"/>
          <w:szCs w:val="24"/>
          <w:u w:val="single"/>
          <w:lang w:eastAsia="en-US"/>
        </w:rPr>
        <w:t>:</w:t>
      </w:r>
    </w:p>
    <w:p w14:paraId="76CF373D" w14:textId="77777777" w:rsidR="0064684C" w:rsidRPr="00737F87" w:rsidRDefault="0064684C" w:rsidP="0064684C">
      <w:pPr>
        <w:autoSpaceDE w:val="0"/>
        <w:autoSpaceDN w:val="0"/>
      </w:pPr>
      <w:r w:rsidRPr="00737F87">
        <w:t xml:space="preserve">Žadatel může zdůraznit potřebnost projektu například: </w:t>
      </w:r>
    </w:p>
    <w:p w14:paraId="5F1D2439" w14:textId="0534FE50" w:rsidR="00D826EE" w:rsidRPr="0064684C" w:rsidRDefault="0064684C" w:rsidP="0064684C">
      <w:pPr>
        <w:numPr>
          <w:ilvl w:val="0"/>
          <w:numId w:val="14"/>
        </w:numPr>
        <w:shd w:val="clear" w:color="auto" w:fill="auto"/>
        <w:tabs>
          <w:tab w:val="num" w:pos="426"/>
        </w:tabs>
        <w:autoSpaceDE w:val="0"/>
        <w:autoSpaceDN w:val="0"/>
        <w:spacing w:before="0" w:after="0"/>
        <w:ind w:left="426" w:hanging="426"/>
      </w:pPr>
      <w:r w:rsidRPr="00737F87">
        <w:rPr>
          <w:b/>
          <w:iCs/>
        </w:rPr>
        <w:t>potvrzením</w:t>
      </w:r>
      <w:r w:rsidRPr="00737F87">
        <w:rPr>
          <w:iCs/>
        </w:rPr>
        <w:t xml:space="preserve"> kraje/obce </w:t>
      </w:r>
      <w:r w:rsidRPr="00737F87">
        <w:rPr>
          <w:b/>
          <w:iCs/>
        </w:rPr>
        <w:t xml:space="preserve">o poskytnutí konkrétní částky na projekt </w:t>
      </w:r>
      <w:r w:rsidRPr="00737F87">
        <w:rPr>
          <w:iCs/>
        </w:rPr>
        <w:t>v případě jeho podpory</w:t>
      </w:r>
      <w:r w:rsidRPr="00737F87">
        <w:t xml:space="preserve"> a</w:t>
      </w:r>
      <w:r w:rsidRPr="00737F87">
        <w:rPr>
          <w:b/>
        </w:rPr>
        <w:t xml:space="preserve"> vyjádření kraje/obce o tom, zda jsou plánované aktivity součástí komunitního plánování</w:t>
      </w:r>
      <w:r w:rsidRPr="00737F87">
        <w:t xml:space="preserve"> či jiného strategického regionálního dokumentu. </w:t>
      </w:r>
      <w:r w:rsidRPr="00737F87">
        <w:br/>
        <w:t xml:space="preserve">Toto potvrzení může vydat jak vedení obce, tak i odbor, se kterým žadatel spolupracuje. Za přiložené vyjádření od kraje/obce získá žadatel o dotaci </w:t>
      </w:r>
      <w:r w:rsidRPr="00737F87">
        <w:br/>
        <w:t>5 bonusových bodů při hodnocení. Při nedoložení žadatel neobdrží žádné body navíc. Jedná se o možnost vylepšení celkového skóre při hodnocení předložené žádosti. Při nedoložení to neznamená, že bude žádost zamítnuta.</w:t>
      </w:r>
    </w:p>
    <w:p w14:paraId="190DDF5A" w14:textId="77777777" w:rsidR="00953F61" w:rsidRPr="00A84FD9" w:rsidRDefault="00953F61" w:rsidP="00A84FD9">
      <w:pPr>
        <w:pStyle w:val="Nadpis1"/>
      </w:pPr>
      <w:r w:rsidRPr="008F5086">
        <w:lastRenderedPageBreak/>
        <w:t>Termíny pro podávání žádostí</w:t>
      </w:r>
    </w:p>
    <w:p w14:paraId="0A069D99" w14:textId="5FD2AB9F" w:rsidR="00D826EE" w:rsidRDefault="00D826EE" w:rsidP="00E87339">
      <w:pPr>
        <w:spacing w:after="0"/>
      </w:pPr>
      <w:r w:rsidRPr="00E87339">
        <w:t xml:space="preserve">Předkládání projektů bude probíhat prostřednictvím webové aplikace </w:t>
      </w:r>
      <w:hyperlink r:id="rId12" w:history="1">
        <w:proofErr w:type="spellStart"/>
        <w:proofErr w:type="gramStart"/>
        <w:r w:rsidRPr="00E87339">
          <w:t>OKslužby</w:t>
        </w:r>
        <w:proofErr w:type="spellEnd"/>
        <w:r w:rsidRPr="00E87339">
          <w:t xml:space="preserve"> - senior</w:t>
        </w:r>
        <w:proofErr w:type="gramEnd"/>
      </w:hyperlink>
      <w:r w:rsidRPr="00E87339">
        <w:t xml:space="preserve">. </w:t>
      </w:r>
      <w:r w:rsidRPr="007B495F">
        <w:rPr>
          <w:highlight w:val="cyan"/>
        </w:rPr>
        <w:t xml:space="preserve">Aplikace </w:t>
      </w:r>
      <w:r w:rsidRPr="007B495F">
        <w:rPr>
          <w:b/>
          <w:bCs/>
          <w:highlight w:val="cyan"/>
        </w:rPr>
        <w:t xml:space="preserve">bude zpřístupněna od </w:t>
      </w:r>
      <w:r w:rsidR="00DD6783" w:rsidRPr="007B495F">
        <w:rPr>
          <w:b/>
          <w:bCs/>
          <w:highlight w:val="cyan"/>
        </w:rPr>
        <w:t>28</w:t>
      </w:r>
      <w:r w:rsidR="00332016" w:rsidRPr="007B495F">
        <w:rPr>
          <w:b/>
          <w:bCs/>
          <w:highlight w:val="cyan"/>
        </w:rPr>
        <w:t>. května</w:t>
      </w:r>
      <w:r w:rsidR="00332016" w:rsidRPr="007B495F">
        <w:rPr>
          <w:b/>
          <w:bCs/>
          <w:color w:val="00B050"/>
          <w:highlight w:val="cyan"/>
        </w:rPr>
        <w:t xml:space="preserve"> </w:t>
      </w:r>
      <w:r w:rsidRPr="007B495F">
        <w:rPr>
          <w:b/>
          <w:bCs/>
          <w:highlight w:val="cyan"/>
        </w:rPr>
        <w:t>2021</w:t>
      </w:r>
      <w:r w:rsidR="00192E5D" w:rsidRPr="007B495F">
        <w:rPr>
          <w:b/>
          <w:bCs/>
          <w:highlight w:val="cyan"/>
        </w:rPr>
        <w:t xml:space="preserve">. </w:t>
      </w:r>
      <w:r w:rsidR="00192E5D" w:rsidRPr="007B495F">
        <w:rPr>
          <w:highlight w:val="cyan"/>
        </w:rPr>
        <w:t>Ž</w:t>
      </w:r>
      <w:r w:rsidRPr="007B495F">
        <w:rPr>
          <w:highlight w:val="cyan"/>
        </w:rPr>
        <w:t xml:space="preserve">adatelé o dotaci budou moci předkládat své projekty v rámci této aplikace </w:t>
      </w:r>
      <w:r w:rsidRPr="007B495F">
        <w:rPr>
          <w:b/>
          <w:bCs/>
          <w:highlight w:val="cyan"/>
        </w:rPr>
        <w:t xml:space="preserve">do </w:t>
      </w:r>
      <w:r w:rsidR="000B548D" w:rsidRPr="007B495F">
        <w:rPr>
          <w:b/>
          <w:bCs/>
          <w:highlight w:val="cyan"/>
        </w:rPr>
        <w:t>1</w:t>
      </w:r>
      <w:r w:rsidR="00FA07AE" w:rsidRPr="007B495F">
        <w:rPr>
          <w:b/>
          <w:bCs/>
          <w:highlight w:val="cyan"/>
        </w:rPr>
        <w:t>3</w:t>
      </w:r>
      <w:r w:rsidR="00332016" w:rsidRPr="007B495F">
        <w:rPr>
          <w:b/>
          <w:bCs/>
          <w:highlight w:val="cyan"/>
        </w:rPr>
        <w:t>. červ</w:t>
      </w:r>
      <w:r w:rsidR="000B548D" w:rsidRPr="007B495F">
        <w:rPr>
          <w:b/>
          <w:bCs/>
          <w:highlight w:val="cyan"/>
        </w:rPr>
        <w:t>ence</w:t>
      </w:r>
      <w:r w:rsidRPr="007B495F">
        <w:rPr>
          <w:b/>
          <w:bCs/>
          <w:highlight w:val="cyan"/>
        </w:rPr>
        <w:t xml:space="preserve"> 2021 včetně</w:t>
      </w:r>
      <w:r w:rsidRPr="007B495F">
        <w:rPr>
          <w:highlight w:val="cyan"/>
        </w:rPr>
        <w:t>.</w:t>
      </w:r>
    </w:p>
    <w:p w14:paraId="54E76D12" w14:textId="1999A83B" w:rsidR="00EF78FB" w:rsidRDefault="00EF78FB" w:rsidP="00EF78FB">
      <w:pPr>
        <w:pStyle w:val="Nadpis1"/>
      </w:pPr>
      <w:r w:rsidRPr="008F5086">
        <w:t>Posuzování žádostí</w:t>
      </w:r>
    </w:p>
    <w:p w14:paraId="0A0025BB" w14:textId="77777777" w:rsidR="00EF78FB" w:rsidRPr="00B66959" w:rsidRDefault="00EF78FB" w:rsidP="00E87339">
      <w:pPr>
        <w:rPr>
          <w:b/>
          <w:bCs/>
        </w:rPr>
      </w:pPr>
      <w:r w:rsidRPr="00391D09">
        <w:t>V druhém kole dotačního řízení</w:t>
      </w:r>
      <w:r w:rsidRPr="00B66959">
        <w:rPr>
          <w:b/>
          <w:bCs/>
        </w:rPr>
        <w:t xml:space="preserve"> mohou předkládat projekty i organizace, které se účastnily prvního kola. </w:t>
      </w:r>
      <w:r w:rsidRPr="00391D09">
        <w:t xml:space="preserve">Podmínkou je předložení </w:t>
      </w:r>
      <w:r w:rsidRPr="00B66959">
        <w:rPr>
          <w:b/>
          <w:bCs/>
        </w:rPr>
        <w:t>nového projektu s odlišným zaměřením než v kole prvním.</w:t>
      </w:r>
    </w:p>
    <w:p w14:paraId="42B42743" w14:textId="77777777" w:rsidR="00EF78FB" w:rsidRPr="00E87339" w:rsidRDefault="00EF78FB" w:rsidP="00E87339">
      <w:r w:rsidRPr="00E87339">
        <w:t xml:space="preserve">Realizované </w:t>
      </w:r>
      <w:r w:rsidRPr="00B66959">
        <w:rPr>
          <w:b/>
          <w:bCs/>
        </w:rPr>
        <w:t>aktivity projektu musí být koncipovány v souladu s aktuální epidemiologickou situací</w:t>
      </w:r>
      <w:r w:rsidRPr="00E87339">
        <w:t xml:space="preserve"> v České republice. V době samotné realizace aktivit v roce 2021 se musí řídit platným nařízením Vlády České republiky a/nebo platným nařízením Ministerstva zdravotnictví České republiky.</w:t>
      </w:r>
    </w:p>
    <w:p w14:paraId="14531540" w14:textId="3AB3D3FE" w:rsidR="00EF78FB" w:rsidRPr="00E87339" w:rsidRDefault="00391D09" w:rsidP="00E87339">
      <w:pPr>
        <w:spacing w:after="0"/>
      </w:pPr>
      <w:r>
        <w:rPr>
          <w:b/>
          <w:bCs/>
        </w:rPr>
        <w:t xml:space="preserve">Závaznou </w:t>
      </w:r>
      <w:r w:rsidR="00EF78FB" w:rsidRPr="00E87339">
        <w:rPr>
          <w:b/>
          <w:bCs/>
        </w:rPr>
        <w:t>Metodiku</w:t>
      </w:r>
      <w:r w:rsidR="00EF78FB" w:rsidRPr="00E87339">
        <w:t xml:space="preserve"> </w:t>
      </w:r>
      <w:r w:rsidR="00EF78FB" w:rsidRPr="00E87339">
        <w:rPr>
          <w:b/>
          <w:bCs/>
        </w:rPr>
        <w:t>Ministerstva práce a sociálních věcí pro poskytování dotací ze</w:t>
      </w:r>
      <w:r>
        <w:rPr>
          <w:b/>
          <w:bCs/>
        </w:rPr>
        <w:t> </w:t>
      </w:r>
      <w:r w:rsidR="00EF78FB" w:rsidRPr="00E87339">
        <w:rPr>
          <w:b/>
          <w:bCs/>
        </w:rPr>
        <w:t xml:space="preserve">státního rozpočtu v rámci dotačního titulu VÚA </w:t>
      </w:r>
      <w:r w:rsidR="00EF78FB" w:rsidRPr="00E87339">
        <w:t xml:space="preserve">a </w:t>
      </w:r>
      <w:r w:rsidR="00EF78FB" w:rsidRPr="00E87339">
        <w:rPr>
          <w:b/>
          <w:bCs/>
        </w:rPr>
        <w:t>Zásad pro</w:t>
      </w:r>
      <w:r>
        <w:rPr>
          <w:b/>
          <w:bCs/>
        </w:rPr>
        <w:t> </w:t>
      </w:r>
      <w:r w:rsidR="00EF78FB" w:rsidRPr="00E87339">
        <w:rPr>
          <w:b/>
          <w:bCs/>
        </w:rPr>
        <w:t>hodnocení projektů na rok 2021</w:t>
      </w:r>
      <w:r w:rsidR="00EF78FB" w:rsidRPr="00E87339">
        <w:t xml:space="preserve"> naleznete </w:t>
      </w:r>
      <w:r>
        <w:t>na odkazu</w:t>
      </w:r>
      <w:r w:rsidRPr="00391D09">
        <w:t xml:space="preserve"> </w:t>
      </w:r>
      <w:hyperlink r:id="rId13" w:history="1">
        <w:r>
          <w:rPr>
            <w:rStyle w:val="Hypertextovodkaz"/>
          </w:rPr>
          <w:t>Dotační řízení pro rok 2021 (mpsv.cz)</w:t>
        </w:r>
      </w:hyperlink>
    </w:p>
    <w:p w14:paraId="58732802" w14:textId="77777777" w:rsidR="00953F61" w:rsidRPr="00953F61" w:rsidRDefault="00953F61" w:rsidP="008F5086">
      <w:pPr>
        <w:pStyle w:val="Nadpis1"/>
      </w:pPr>
      <w:r w:rsidRPr="00953F61">
        <w:t>Jak lze získat podrobnější informace</w:t>
      </w:r>
    </w:p>
    <w:p w14:paraId="5A50BB79" w14:textId="3D6DB831" w:rsidR="00601EAF" w:rsidRPr="00E87339" w:rsidRDefault="00601EAF" w:rsidP="00E87339">
      <w:pPr>
        <w:spacing w:after="150"/>
      </w:pPr>
      <w:r w:rsidRPr="00E87339">
        <w:t xml:space="preserve">Informace v průběhu zpracování žádosti se poskytují </w:t>
      </w:r>
      <w:r w:rsidRPr="00E87339">
        <w:rPr>
          <w:b/>
        </w:rPr>
        <w:t>e-mailovým kontaktem</w:t>
      </w:r>
      <w:r w:rsidRPr="00E87339">
        <w:t xml:space="preserve">. </w:t>
      </w:r>
      <w:r w:rsidRPr="00E87339">
        <w:rPr>
          <w:b/>
        </w:rPr>
        <w:t xml:space="preserve">Své dotazy zasílejte na adresu </w:t>
      </w:r>
      <w:hyperlink r:id="rId14" w:history="1">
        <w:r w:rsidRPr="00E87339">
          <w:rPr>
            <w:rStyle w:val="Hypertextovodkaz"/>
            <w:b/>
            <w:color w:val="7030A0"/>
          </w:rPr>
          <w:t>vua@mpsv.cz</w:t>
        </w:r>
      </w:hyperlink>
      <w:r w:rsidRPr="00E87339">
        <w:rPr>
          <w:b/>
        </w:rPr>
        <w:t xml:space="preserve">. </w:t>
      </w:r>
      <w:r w:rsidRPr="00E87339">
        <w:rPr>
          <w:b/>
          <w:bCs/>
        </w:rPr>
        <w:t xml:space="preserve">Nebo </w:t>
      </w:r>
      <w:r w:rsidR="00391D09">
        <w:rPr>
          <w:b/>
          <w:bCs/>
        </w:rPr>
        <w:t xml:space="preserve">můžete kontaktovat </w:t>
      </w:r>
      <w:r w:rsidR="00192E5D">
        <w:rPr>
          <w:b/>
          <w:bCs/>
        </w:rPr>
        <w:t>přímo</w:t>
      </w:r>
      <w:r w:rsidR="00C73433">
        <w:rPr>
          <w:b/>
          <w:bCs/>
        </w:rPr>
        <w:t xml:space="preserve"> </w:t>
      </w:r>
      <w:r w:rsidRPr="00E87339">
        <w:rPr>
          <w:b/>
          <w:bCs/>
        </w:rPr>
        <w:t>naše pracovníky:</w:t>
      </w:r>
    </w:p>
    <w:p w14:paraId="6634F117" w14:textId="77777777" w:rsidR="00601EAF" w:rsidRPr="00E87339" w:rsidRDefault="00601EAF" w:rsidP="00E87339">
      <w:pPr>
        <w:spacing w:after="150"/>
      </w:pPr>
      <w:r w:rsidRPr="00E87339">
        <w:t xml:space="preserve">Mgr. Miluši Sýkorovou </w:t>
      </w:r>
      <w:hyperlink r:id="rId15" w:history="1">
        <w:r w:rsidRPr="00E87339">
          <w:rPr>
            <w:rStyle w:val="Hypertextovodkaz"/>
            <w:color w:val="7030A0"/>
          </w:rPr>
          <w:t>miluse.sykorova@mpsv.cz</w:t>
        </w:r>
      </w:hyperlink>
    </w:p>
    <w:p w14:paraId="1811DAEC" w14:textId="77777777" w:rsidR="00601EAF" w:rsidRPr="00E87339" w:rsidRDefault="00601EAF" w:rsidP="00E87339">
      <w:pPr>
        <w:spacing w:after="150"/>
        <w:rPr>
          <w:color w:val="7030A0"/>
        </w:rPr>
      </w:pPr>
      <w:r w:rsidRPr="00E87339">
        <w:t xml:space="preserve">Mgr. Kláru Holanovou </w:t>
      </w:r>
      <w:hyperlink r:id="rId16" w:history="1">
        <w:r w:rsidRPr="00E87339">
          <w:rPr>
            <w:rStyle w:val="Hypertextovodkaz"/>
            <w:color w:val="7030A0"/>
          </w:rPr>
          <w:t>klara.holanova@mpsv.cz</w:t>
        </w:r>
      </w:hyperlink>
      <w:r w:rsidRPr="00E87339">
        <w:rPr>
          <w:color w:val="7030A0"/>
        </w:rPr>
        <w:t xml:space="preserve"> </w:t>
      </w:r>
    </w:p>
    <w:p w14:paraId="3537378B" w14:textId="7ED8439B" w:rsidR="00953F61" w:rsidRPr="00953F61" w:rsidRDefault="00953F61" w:rsidP="00953F61">
      <w:r w:rsidRPr="00953F61">
        <w:t>Kontaktním místem je o</w:t>
      </w:r>
      <w:r w:rsidR="008F5086">
        <w:t>dbor sociálních služeb a</w:t>
      </w:r>
      <w:r w:rsidRPr="00953F61">
        <w:t xml:space="preserve"> sociální práce, konkrétně oddělení</w:t>
      </w:r>
      <w:r w:rsidR="00FC4010">
        <w:t xml:space="preserve"> kontrol a veřejn</w:t>
      </w:r>
      <w:r w:rsidR="00B6573F">
        <w:t>o</w:t>
      </w:r>
      <w:r w:rsidR="00FC4010">
        <w:t>správních činností (227)</w:t>
      </w:r>
      <w:r w:rsidRPr="00953F61">
        <w:t xml:space="preserve"> pracoviště Podskalská 19, Praha 2.</w:t>
      </w:r>
    </w:p>
    <w:p w14:paraId="4E3B6AB8" w14:textId="6F91830A" w:rsidR="00697BD0" w:rsidRDefault="00AE568C" w:rsidP="00953F61">
      <w:r w:rsidRPr="00AE568C">
        <w:lastRenderedPageBreak/>
        <w:t xml:space="preserve">Technická podpora k aplikaci – Hotline bude dostupná v pondělí až pátek od 8 do 16 hodin na telefonu 236 072 280, e-mail: </w:t>
      </w:r>
      <w:hyperlink r:id="rId17" w:history="1">
        <w:r w:rsidRPr="00811C4A">
          <w:rPr>
            <w:rStyle w:val="Hypertextovodkaz"/>
          </w:rPr>
          <w:t>hotline.oknouze@oksystem.cz</w:t>
        </w:r>
      </w:hyperlink>
      <w:r>
        <w:t xml:space="preserve"> </w:t>
      </w:r>
      <w:r w:rsidRPr="00AE568C">
        <w:t>.</w:t>
      </w:r>
    </w:p>
    <w:p w14:paraId="582CF093" w14:textId="6D0A3774" w:rsidR="00697BD0" w:rsidRDefault="00697BD0" w:rsidP="00697BD0">
      <w:r w:rsidRPr="00856911">
        <w:t>Vypracováno, zveřejněno dne:</w:t>
      </w:r>
      <w:r>
        <w:t xml:space="preserve"> </w:t>
      </w:r>
      <w:r w:rsidR="00DD6783" w:rsidRPr="00DD6783">
        <w:t>28</w:t>
      </w:r>
      <w:r w:rsidRPr="00DD6783">
        <w:t xml:space="preserve">. </w:t>
      </w:r>
      <w:r w:rsidR="00E87339" w:rsidRPr="00DD6783">
        <w:t>5</w:t>
      </w:r>
      <w:r w:rsidRPr="00DD6783">
        <w:t>. 2021</w:t>
      </w:r>
    </w:p>
    <w:p w14:paraId="3BFE4897" w14:textId="013D2421" w:rsidR="000B548D" w:rsidRDefault="000B548D" w:rsidP="00697BD0">
      <w:r>
        <w:t>Aktualizováno: 30. 6. 2021</w:t>
      </w:r>
    </w:p>
    <w:p w14:paraId="59421BAF" w14:textId="77777777" w:rsidR="00697BD0" w:rsidRDefault="00697BD0" w:rsidP="00953F61"/>
    <w:sectPr w:rsidR="00697BD0" w:rsidSect="002F0DA5">
      <w:headerReference w:type="default" r:id="rId18"/>
      <w:footerReference w:type="default" r:id="rId19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D3DF0" w14:textId="77777777" w:rsidR="000D13D4" w:rsidRDefault="000D13D4" w:rsidP="00F72144">
      <w:pPr>
        <w:spacing w:before="0" w:after="0" w:line="240" w:lineRule="auto"/>
      </w:pPr>
      <w:r>
        <w:separator/>
      </w:r>
    </w:p>
  </w:endnote>
  <w:endnote w:type="continuationSeparator" w:id="0">
    <w:p w14:paraId="2B0F80B3" w14:textId="77777777" w:rsidR="000D13D4" w:rsidRDefault="000D13D4" w:rsidP="00F721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3182" w14:textId="77777777" w:rsidR="004D5A43" w:rsidRPr="00C319BD" w:rsidRDefault="004D5A43">
    <w:pPr>
      <w:pStyle w:val="Zpat"/>
      <w:jc w:val="center"/>
      <w:rPr>
        <w:color w:val="5B9BD5" w:themeColor="accent1"/>
        <w:sz w:val="18"/>
        <w:szCs w:val="18"/>
      </w:rPr>
    </w:pPr>
    <w:r w:rsidRPr="00C319BD">
      <w:rPr>
        <w:color w:val="5B9BD5" w:themeColor="accent1"/>
        <w:sz w:val="18"/>
        <w:szCs w:val="18"/>
      </w:rPr>
      <w:t xml:space="preserve">Stránka </w:t>
    </w:r>
    <w:r w:rsidRPr="00C319BD">
      <w:rPr>
        <w:color w:val="5B9BD5" w:themeColor="accent1"/>
        <w:sz w:val="18"/>
        <w:szCs w:val="18"/>
      </w:rPr>
      <w:fldChar w:fldCharType="begin"/>
    </w:r>
    <w:r w:rsidRPr="00C319BD">
      <w:rPr>
        <w:color w:val="5B9BD5" w:themeColor="accent1"/>
        <w:sz w:val="18"/>
        <w:szCs w:val="18"/>
      </w:rPr>
      <w:instrText>PAGE  \* Arabic  \* MERGEFORMAT</w:instrText>
    </w:r>
    <w:r w:rsidRPr="00C319BD">
      <w:rPr>
        <w:color w:val="5B9BD5" w:themeColor="accent1"/>
        <w:sz w:val="18"/>
        <w:szCs w:val="18"/>
      </w:rPr>
      <w:fldChar w:fldCharType="separate"/>
    </w:r>
    <w:r>
      <w:rPr>
        <w:noProof/>
        <w:color w:val="5B9BD5" w:themeColor="accent1"/>
        <w:sz w:val="18"/>
        <w:szCs w:val="18"/>
      </w:rPr>
      <w:t>3</w:t>
    </w:r>
    <w:r w:rsidRPr="00C319BD">
      <w:rPr>
        <w:color w:val="5B9BD5" w:themeColor="accent1"/>
        <w:sz w:val="18"/>
        <w:szCs w:val="18"/>
      </w:rPr>
      <w:fldChar w:fldCharType="end"/>
    </w:r>
    <w:r w:rsidRPr="00C319BD">
      <w:rPr>
        <w:color w:val="5B9BD5" w:themeColor="accent1"/>
        <w:sz w:val="18"/>
        <w:szCs w:val="18"/>
      </w:rPr>
      <w:t xml:space="preserve"> z </w:t>
    </w:r>
    <w:r w:rsidRPr="00C319BD">
      <w:rPr>
        <w:color w:val="5B9BD5" w:themeColor="accent1"/>
        <w:sz w:val="18"/>
        <w:szCs w:val="18"/>
      </w:rPr>
      <w:fldChar w:fldCharType="begin"/>
    </w:r>
    <w:r w:rsidRPr="00C319BD">
      <w:rPr>
        <w:color w:val="5B9BD5" w:themeColor="accent1"/>
        <w:sz w:val="18"/>
        <w:szCs w:val="18"/>
      </w:rPr>
      <w:instrText>NUMPAGES  \* Arabic  \* MERGEFORMAT</w:instrText>
    </w:r>
    <w:r w:rsidRPr="00C319BD">
      <w:rPr>
        <w:color w:val="5B9BD5" w:themeColor="accent1"/>
        <w:sz w:val="18"/>
        <w:szCs w:val="18"/>
      </w:rPr>
      <w:fldChar w:fldCharType="separate"/>
    </w:r>
    <w:r>
      <w:rPr>
        <w:noProof/>
        <w:color w:val="5B9BD5" w:themeColor="accent1"/>
        <w:sz w:val="18"/>
        <w:szCs w:val="18"/>
      </w:rPr>
      <w:t>7</w:t>
    </w:r>
    <w:r w:rsidRPr="00C319BD">
      <w:rPr>
        <w:color w:val="5B9BD5" w:themeColor="accent1"/>
        <w:sz w:val="18"/>
        <w:szCs w:val="18"/>
      </w:rPr>
      <w:fldChar w:fldCharType="end"/>
    </w:r>
  </w:p>
  <w:p w14:paraId="6B9B0CC9" w14:textId="77777777" w:rsidR="004D5A43" w:rsidRDefault="004D5A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39F68" w14:textId="77777777" w:rsidR="000D13D4" w:rsidRDefault="000D13D4" w:rsidP="00F72144">
      <w:pPr>
        <w:spacing w:before="0" w:after="0" w:line="240" w:lineRule="auto"/>
      </w:pPr>
      <w:r>
        <w:separator/>
      </w:r>
    </w:p>
  </w:footnote>
  <w:footnote w:type="continuationSeparator" w:id="0">
    <w:p w14:paraId="60B8711D" w14:textId="77777777" w:rsidR="000D13D4" w:rsidRDefault="000D13D4" w:rsidP="00F72144">
      <w:pPr>
        <w:spacing w:before="0" w:after="0" w:line="240" w:lineRule="auto"/>
      </w:pPr>
      <w:r>
        <w:continuationSeparator/>
      </w:r>
    </w:p>
  </w:footnote>
  <w:footnote w:id="1">
    <w:p w14:paraId="32512941" w14:textId="77777777" w:rsidR="006327C3" w:rsidRDefault="006327C3" w:rsidP="006327C3">
      <w:pPr>
        <w:pStyle w:val="Textpoznpodarou"/>
      </w:pPr>
      <w:r w:rsidRPr="00611DBC">
        <w:rPr>
          <w:rStyle w:val="Znakapoznpodarou"/>
        </w:rPr>
        <w:footnoteRef/>
      </w:r>
      <w:r w:rsidRPr="00611DBC">
        <w:t xml:space="preserve"> </w:t>
      </w:r>
      <w:r w:rsidRPr="00B02BE0">
        <w:rPr>
          <w:sz w:val="18"/>
          <w:szCs w:val="18"/>
        </w:rPr>
        <w:t>Kvůli lepší čit</w:t>
      </w:r>
      <w:r>
        <w:rPr>
          <w:sz w:val="18"/>
          <w:szCs w:val="18"/>
        </w:rPr>
        <w:t xml:space="preserve">elnosti a také délce textu je </w:t>
      </w:r>
      <w:r w:rsidRPr="00B02BE0">
        <w:rPr>
          <w:sz w:val="18"/>
          <w:szCs w:val="18"/>
        </w:rPr>
        <w:t>nadále používáno generické maskulinum, kt</w:t>
      </w:r>
      <w:r>
        <w:rPr>
          <w:sz w:val="18"/>
          <w:szCs w:val="18"/>
        </w:rPr>
        <w:t>erým jsou myšleny jak ženy, tak </w:t>
      </w:r>
      <w:r w:rsidRPr="00B02BE0">
        <w:rPr>
          <w:sz w:val="18"/>
          <w:szCs w:val="18"/>
        </w:rPr>
        <w:t>muži.</w:t>
      </w:r>
    </w:p>
  </w:footnote>
  <w:footnote w:id="2">
    <w:p w14:paraId="3F1A332A" w14:textId="77777777" w:rsidR="00317E45" w:rsidRPr="00770DEE" w:rsidRDefault="00317E45" w:rsidP="00317E45">
      <w:pPr>
        <w:pStyle w:val="Zhlav"/>
        <w:tabs>
          <w:tab w:val="left" w:pos="708"/>
        </w:tabs>
        <w:spacing w:after="120"/>
        <w:ind w:right="-142"/>
      </w:pPr>
      <w:r w:rsidRPr="00611DBC">
        <w:rPr>
          <w:rStyle w:val="Znakapoznpodarou"/>
          <w:sz w:val="20"/>
        </w:rPr>
        <w:footnoteRef/>
      </w:r>
      <w:r w:rsidRPr="00611DBC">
        <w:rPr>
          <w:sz w:val="20"/>
        </w:rPr>
        <w:t xml:space="preserve"> </w:t>
      </w:r>
      <w:r>
        <w:rPr>
          <w:sz w:val="20"/>
        </w:rPr>
        <w:t>U</w:t>
      </w:r>
      <w:r w:rsidRPr="0048548C">
        <w:rPr>
          <w:sz w:val="20"/>
        </w:rPr>
        <w:t>vedený zákon byl</w:t>
      </w:r>
      <w:r>
        <w:rPr>
          <w:sz w:val="20"/>
        </w:rPr>
        <w:t xml:space="preserve"> zrušen</w:t>
      </w:r>
      <w:r w:rsidRPr="0048548C">
        <w:rPr>
          <w:sz w:val="20"/>
        </w:rPr>
        <w:t xml:space="preserve"> </w:t>
      </w:r>
      <w:r w:rsidRPr="00215A23">
        <w:rPr>
          <w:sz w:val="20"/>
        </w:rPr>
        <w:t xml:space="preserve">dle § 3080, bodu 163 </w:t>
      </w:r>
      <w:r>
        <w:rPr>
          <w:sz w:val="20"/>
        </w:rPr>
        <w:t xml:space="preserve">zákona </w:t>
      </w:r>
      <w:r w:rsidRPr="00215A23">
        <w:rPr>
          <w:sz w:val="20"/>
        </w:rPr>
        <w:t xml:space="preserve">č. 89/2012 Sb., občanský zákoník (dále jen „občanský zákoník“). Zároveň bylo v § 3050 občanského </w:t>
      </w:r>
      <w:r>
        <w:rPr>
          <w:sz w:val="20"/>
        </w:rPr>
        <w:t>zákoníku stanoveno, že „Práva a </w:t>
      </w:r>
      <w:r w:rsidRPr="0048548C">
        <w:rPr>
          <w:sz w:val="20"/>
        </w:rPr>
        <w:t>povinnosti obecně prospěšných společností se i nadále řídí dosavadními právními předpisy. Obecně prospěšná společnost má právo změnit svoji právní formu na ústav, nadaci nebo nadační fond podle tohoto zákona; ustanovení tohoto zákona o přeměně právní formy právnických osob se použijí obdobně.</w:t>
      </w:r>
      <w:r w:rsidRPr="001D6827">
        <w:t xml:space="preserve"> </w:t>
      </w:r>
    </w:p>
  </w:footnote>
  <w:footnote w:id="3">
    <w:p w14:paraId="6B29A5F3" w14:textId="77777777" w:rsidR="00317E45" w:rsidRDefault="00317E45" w:rsidP="00317E45">
      <w:pPr>
        <w:pStyle w:val="Textpoznpodarou"/>
      </w:pPr>
      <w:r w:rsidRPr="00611DBC">
        <w:rPr>
          <w:rStyle w:val="Znakapoznpodarou"/>
        </w:rPr>
        <w:footnoteRef/>
      </w:r>
      <w:r w:rsidRPr="00611DBC">
        <w:t xml:space="preserve"> </w:t>
      </w:r>
      <w:r w:rsidRPr="00BB0B87">
        <w:rPr>
          <w:sz w:val="18"/>
          <w:szCs w:val="18"/>
        </w:rPr>
        <w:t xml:space="preserve">Výjimky z této podmínky nejsou Odborem </w:t>
      </w:r>
      <w:r>
        <w:rPr>
          <w:sz w:val="18"/>
          <w:szCs w:val="18"/>
        </w:rPr>
        <w:t>sociálních služeb a sociální práce.</w:t>
      </w:r>
      <w:r w:rsidRPr="00BB0B87">
        <w:rPr>
          <w:sz w:val="18"/>
          <w:szCs w:val="18"/>
        </w:rPr>
        <w:t xml:space="preserve"> udělovány.</w:t>
      </w:r>
      <w:r>
        <w:t xml:space="preserve"> </w:t>
      </w:r>
    </w:p>
  </w:footnote>
  <w:footnote w:id="4">
    <w:p w14:paraId="37D0575C" w14:textId="77777777" w:rsidR="00317E45" w:rsidRPr="00B56450" w:rsidRDefault="00317E45" w:rsidP="00317E45">
      <w:pPr>
        <w:pStyle w:val="Textpoznpodarou"/>
        <w:rPr>
          <w:sz w:val="18"/>
          <w:szCs w:val="18"/>
        </w:rPr>
      </w:pPr>
      <w:r w:rsidRPr="00611DBC">
        <w:rPr>
          <w:rStyle w:val="Znakapoznpodarou"/>
        </w:rPr>
        <w:footnoteRef/>
      </w:r>
      <w:r>
        <w:t xml:space="preserve"> </w:t>
      </w:r>
      <w:r w:rsidRPr="00B56450">
        <w:rPr>
          <w:sz w:val="18"/>
          <w:szCs w:val="18"/>
        </w:rPr>
        <w:t>Za splnění podmínky bezdlužnosti se považuje, pokud bylo poplatníkovi daně povoleno posečkání daně nebo placení daně ve splátkách dle § 156 zákona č. 280/2009 Sb., daňový řád, nebo</w:t>
      </w:r>
      <w:r>
        <w:rPr>
          <w:sz w:val="18"/>
          <w:szCs w:val="18"/>
        </w:rPr>
        <w:t xml:space="preserve"> placení pojistného a penále ve </w:t>
      </w:r>
      <w:r w:rsidRPr="00B56450">
        <w:rPr>
          <w:sz w:val="18"/>
          <w:szCs w:val="18"/>
        </w:rPr>
        <w:t>splátkách dle § 20a zákona č. 589/1992 Sb., o pojistném na sociálním zabezpečení a příspěvku na státní politiku zaměstnanosti.</w:t>
      </w:r>
    </w:p>
  </w:footnote>
  <w:footnote w:id="5">
    <w:p w14:paraId="04FC9BD7" w14:textId="77777777" w:rsidR="0064684C" w:rsidRDefault="0064684C" w:rsidP="0064684C">
      <w:pPr>
        <w:pStyle w:val="Textpoznpodarou"/>
      </w:pPr>
      <w:r>
        <w:rPr>
          <w:rStyle w:val="Znakapoznpodarou"/>
        </w:rPr>
        <w:footnoteRef/>
      </w:r>
      <w:r>
        <w:t xml:space="preserve"> potvrzení znamená razítko organizace a podpis statutárního zástupce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C46C" w14:textId="77777777" w:rsidR="004D5A43" w:rsidRPr="002F0DA5" w:rsidRDefault="004D5A43">
    <w:pPr>
      <w:pStyle w:val="Zhlav"/>
      <w:rPr>
        <w:color w:val="808080" w:themeColor="background1" w:themeShade="80"/>
        <w:sz w:val="20"/>
        <w:szCs w:val="20"/>
      </w:rPr>
    </w:pPr>
    <w:r w:rsidRPr="002F0DA5">
      <w:rPr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5A31F416" wp14:editId="496DDC90">
          <wp:simplePos x="0" y="0"/>
          <wp:positionH relativeFrom="column">
            <wp:posOffset>-671195</wp:posOffset>
          </wp:positionH>
          <wp:positionV relativeFrom="paragraph">
            <wp:posOffset>-325755</wp:posOffset>
          </wp:positionV>
          <wp:extent cx="857250" cy="880898"/>
          <wp:effectExtent l="0" t="0" r="0" b="0"/>
          <wp:wrapThrough wrapText="bothSides">
            <wp:wrapPolygon edited="0">
              <wp:start x="0" y="0"/>
              <wp:lineTo x="0" y="21024"/>
              <wp:lineTo x="21120" y="21024"/>
              <wp:lineTo x="21120" y="0"/>
              <wp:lineTo x="0" y="0"/>
            </wp:wrapPolygon>
          </wp:wrapThrough>
          <wp:docPr id="7" name="Obrázek 7" descr="Logo MPSV - MPSV Port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PSV - MPSV Portá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0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0DA5">
      <w:rPr>
        <w:color w:val="808080" w:themeColor="background1" w:themeShade="80"/>
        <w:sz w:val="20"/>
        <w:szCs w:val="20"/>
      </w:rPr>
      <w:t>Ministerstvo práce a sociálních věcí</w:t>
    </w:r>
  </w:p>
  <w:p w14:paraId="2B8335E2" w14:textId="0F0F735A" w:rsidR="004D5A43" w:rsidRDefault="004D5A43">
    <w:pPr>
      <w:pStyle w:val="Zhlav"/>
      <w:rPr>
        <w:color w:val="808080" w:themeColor="background1" w:themeShade="80"/>
        <w:sz w:val="20"/>
        <w:szCs w:val="20"/>
      </w:rPr>
    </w:pPr>
    <w:r w:rsidRPr="002F0DA5">
      <w:rPr>
        <w:color w:val="808080" w:themeColor="background1" w:themeShade="80"/>
        <w:sz w:val="20"/>
        <w:szCs w:val="20"/>
      </w:rPr>
      <w:t>Odbor sociálních služeb a sociální práce</w:t>
    </w:r>
  </w:p>
  <w:p w14:paraId="5EC90901" w14:textId="5BD500D8" w:rsidR="004D5A43" w:rsidRDefault="004D5A43">
    <w:pPr>
      <w:pStyle w:val="Zhlav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Verze 1.</w:t>
    </w:r>
    <w:r w:rsidR="000B548D">
      <w:rPr>
        <w:color w:val="808080" w:themeColor="background1" w:themeShade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22F4"/>
    <w:multiLevelType w:val="multilevel"/>
    <w:tmpl w:val="4E4A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B62BA"/>
    <w:multiLevelType w:val="hybridMultilevel"/>
    <w:tmpl w:val="6FFA33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553C"/>
    <w:multiLevelType w:val="hybridMultilevel"/>
    <w:tmpl w:val="28A00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3C3B"/>
    <w:multiLevelType w:val="hybridMultilevel"/>
    <w:tmpl w:val="BB6A85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6F8E"/>
    <w:multiLevelType w:val="hybridMultilevel"/>
    <w:tmpl w:val="B504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E29BC"/>
    <w:multiLevelType w:val="hybridMultilevel"/>
    <w:tmpl w:val="D70697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D097B"/>
    <w:multiLevelType w:val="hybridMultilevel"/>
    <w:tmpl w:val="4BB28436"/>
    <w:lvl w:ilvl="0" w:tplc="79DC5304">
      <w:start w:val="1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114E5"/>
    <w:multiLevelType w:val="hybridMultilevel"/>
    <w:tmpl w:val="B504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1186A"/>
    <w:multiLevelType w:val="hybridMultilevel"/>
    <w:tmpl w:val="EADC9F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57F9B"/>
    <w:multiLevelType w:val="multilevel"/>
    <w:tmpl w:val="1EF0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3274ED"/>
    <w:multiLevelType w:val="hybridMultilevel"/>
    <w:tmpl w:val="D618CF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44287C"/>
    <w:multiLevelType w:val="multilevel"/>
    <w:tmpl w:val="CAB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BE083A"/>
    <w:multiLevelType w:val="hybridMultilevel"/>
    <w:tmpl w:val="4DCE2FDC"/>
    <w:lvl w:ilvl="0" w:tplc="B6FA0634">
      <w:start w:val="1"/>
      <w:numFmt w:val="upperRoman"/>
      <w:lvlText w:val="%1."/>
      <w:lvlJc w:val="left"/>
      <w:pPr>
        <w:ind w:left="705" w:hanging="3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A12B3"/>
    <w:multiLevelType w:val="hybridMultilevel"/>
    <w:tmpl w:val="151C44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76605"/>
    <w:multiLevelType w:val="hybridMultilevel"/>
    <w:tmpl w:val="1B3C1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4"/>
  </w:num>
  <w:num w:numId="12">
    <w:abstractNumId w:val="1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61"/>
    <w:rsid w:val="00050E2D"/>
    <w:rsid w:val="00056A1B"/>
    <w:rsid w:val="00080B0F"/>
    <w:rsid w:val="000B548D"/>
    <w:rsid w:val="000D13D4"/>
    <w:rsid w:val="000E3270"/>
    <w:rsid w:val="000E64C0"/>
    <w:rsid w:val="000F51C1"/>
    <w:rsid w:val="00126B05"/>
    <w:rsid w:val="001276EE"/>
    <w:rsid w:val="00133ABC"/>
    <w:rsid w:val="00137D73"/>
    <w:rsid w:val="00141D0D"/>
    <w:rsid w:val="001558BF"/>
    <w:rsid w:val="00183021"/>
    <w:rsid w:val="00191287"/>
    <w:rsid w:val="00192123"/>
    <w:rsid w:val="00192E5D"/>
    <w:rsid w:val="001C43C3"/>
    <w:rsid w:val="001C4A4D"/>
    <w:rsid w:val="00200053"/>
    <w:rsid w:val="00201842"/>
    <w:rsid w:val="0022424E"/>
    <w:rsid w:val="00227C03"/>
    <w:rsid w:val="00236962"/>
    <w:rsid w:val="002407CB"/>
    <w:rsid w:val="002417B0"/>
    <w:rsid w:val="002D55F7"/>
    <w:rsid w:val="002E687D"/>
    <w:rsid w:val="002F0DA5"/>
    <w:rsid w:val="00302CA0"/>
    <w:rsid w:val="00307EF9"/>
    <w:rsid w:val="00317E45"/>
    <w:rsid w:val="00332016"/>
    <w:rsid w:val="003702EB"/>
    <w:rsid w:val="00391D09"/>
    <w:rsid w:val="003B0873"/>
    <w:rsid w:val="00442EBA"/>
    <w:rsid w:val="0044384A"/>
    <w:rsid w:val="00453F65"/>
    <w:rsid w:val="00487519"/>
    <w:rsid w:val="00494518"/>
    <w:rsid w:val="004A57B3"/>
    <w:rsid w:val="004B7277"/>
    <w:rsid w:val="004C03A4"/>
    <w:rsid w:val="004C35ED"/>
    <w:rsid w:val="004C6F49"/>
    <w:rsid w:val="004D5A43"/>
    <w:rsid w:val="005017CA"/>
    <w:rsid w:val="00517D5B"/>
    <w:rsid w:val="00536753"/>
    <w:rsid w:val="0055365C"/>
    <w:rsid w:val="00571BEF"/>
    <w:rsid w:val="00583134"/>
    <w:rsid w:val="00592BFD"/>
    <w:rsid w:val="005B4584"/>
    <w:rsid w:val="005C41BB"/>
    <w:rsid w:val="005F144C"/>
    <w:rsid w:val="005F1DCD"/>
    <w:rsid w:val="005F2740"/>
    <w:rsid w:val="00601EAF"/>
    <w:rsid w:val="00613ECA"/>
    <w:rsid w:val="006327C3"/>
    <w:rsid w:val="006420E2"/>
    <w:rsid w:val="00643588"/>
    <w:rsid w:val="0064684C"/>
    <w:rsid w:val="00665AA7"/>
    <w:rsid w:val="00683FCF"/>
    <w:rsid w:val="00697BD0"/>
    <w:rsid w:val="006B01B6"/>
    <w:rsid w:val="006B04DE"/>
    <w:rsid w:val="006B426B"/>
    <w:rsid w:val="007110AA"/>
    <w:rsid w:val="00727603"/>
    <w:rsid w:val="00746AE7"/>
    <w:rsid w:val="00767538"/>
    <w:rsid w:val="007912A2"/>
    <w:rsid w:val="007952FA"/>
    <w:rsid w:val="007B495F"/>
    <w:rsid w:val="007B6861"/>
    <w:rsid w:val="007C136B"/>
    <w:rsid w:val="007D55ED"/>
    <w:rsid w:val="007F56CC"/>
    <w:rsid w:val="008030A8"/>
    <w:rsid w:val="008125EB"/>
    <w:rsid w:val="00823417"/>
    <w:rsid w:val="008300C0"/>
    <w:rsid w:val="00880415"/>
    <w:rsid w:val="00881D9F"/>
    <w:rsid w:val="0088777B"/>
    <w:rsid w:val="0089041E"/>
    <w:rsid w:val="008A0F0D"/>
    <w:rsid w:val="008A1285"/>
    <w:rsid w:val="008A52C8"/>
    <w:rsid w:val="008B1A29"/>
    <w:rsid w:val="008C0FDE"/>
    <w:rsid w:val="008C1F3E"/>
    <w:rsid w:val="008C7BE3"/>
    <w:rsid w:val="008F5086"/>
    <w:rsid w:val="00915A1F"/>
    <w:rsid w:val="00922FC0"/>
    <w:rsid w:val="0093616E"/>
    <w:rsid w:val="00940F9C"/>
    <w:rsid w:val="009461D6"/>
    <w:rsid w:val="00951C92"/>
    <w:rsid w:val="00953F61"/>
    <w:rsid w:val="00961504"/>
    <w:rsid w:val="00967108"/>
    <w:rsid w:val="0098268E"/>
    <w:rsid w:val="0099395A"/>
    <w:rsid w:val="009B3847"/>
    <w:rsid w:val="009C699D"/>
    <w:rsid w:val="009D36D2"/>
    <w:rsid w:val="009D6931"/>
    <w:rsid w:val="009F3B34"/>
    <w:rsid w:val="00A10249"/>
    <w:rsid w:val="00A16449"/>
    <w:rsid w:val="00A327DF"/>
    <w:rsid w:val="00A4452C"/>
    <w:rsid w:val="00A62E28"/>
    <w:rsid w:val="00A66ED6"/>
    <w:rsid w:val="00A825C7"/>
    <w:rsid w:val="00A84FD9"/>
    <w:rsid w:val="00A873D6"/>
    <w:rsid w:val="00AA135A"/>
    <w:rsid w:val="00AA5E93"/>
    <w:rsid w:val="00AB4218"/>
    <w:rsid w:val="00AC639D"/>
    <w:rsid w:val="00AC7F6D"/>
    <w:rsid w:val="00AD539A"/>
    <w:rsid w:val="00AE568C"/>
    <w:rsid w:val="00AF04B5"/>
    <w:rsid w:val="00AF6F16"/>
    <w:rsid w:val="00B020EF"/>
    <w:rsid w:val="00B03609"/>
    <w:rsid w:val="00B22E2E"/>
    <w:rsid w:val="00B365CA"/>
    <w:rsid w:val="00B55FD1"/>
    <w:rsid w:val="00B57E27"/>
    <w:rsid w:val="00B6573F"/>
    <w:rsid w:val="00B66959"/>
    <w:rsid w:val="00B9146B"/>
    <w:rsid w:val="00BB65F2"/>
    <w:rsid w:val="00C059F9"/>
    <w:rsid w:val="00C24935"/>
    <w:rsid w:val="00C319BD"/>
    <w:rsid w:val="00C73433"/>
    <w:rsid w:val="00CC5CBA"/>
    <w:rsid w:val="00D1124B"/>
    <w:rsid w:val="00D234F3"/>
    <w:rsid w:val="00D26466"/>
    <w:rsid w:val="00D30A9F"/>
    <w:rsid w:val="00D343AB"/>
    <w:rsid w:val="00D52EA7"/>
    <w:rsid w:val="00D54864"/>
    <w:rsid w:val="00D826EE"/>
    <w:rsid w:val="00DA33A3"/>
    <w:rsid w:val="00DB4081"/>
    <w:rsid w:val="00DB6D65"/>
    <w:rsid w:val="00DD6783"/>
    <w:rsid w:val="00DD6AB8"/>
    <w:rsid w:val="00DD7FB1"/>
    <w:rsid w:val="00E13C38"/>
    <w:rsid w:val="00E21717"/>
    <w:rsid w:val="00E242FD"/>
    <w:rsid w:val="00E314E8"/>
    <w:rsid w:val="00E46CAB"/>
    <w:rsid w:val="00E51647"/>
    <w:rsid w:val="00E87339"/>
    <w:rsid w:val="00E93A08"/>
    <w:rsid w:val="00EA0124"/>
    <w:rsid w:val="00EA2026"/>
    <w:rsid w:val="00EF78FB"/>
    <w:rsid w:val="00F059AF"/>
    <w:rsid w:val="00F1253F"/>
    <w:rsid w:val="00F26869"/>
    <w:rsid w:val="00F40253"/>
    <w:rsid w:val="00F72144"/>
    <w:rsid w:val="00F87318"/>
    <w:rsid w:val="00F907A9"/>
    <w:rsid w:val="00F96404"/>
    <w:rsid w:val="00FA07AE"/>
    <w:rsid w:val="00FB15B2"/>
    <w:rsid w:val="00FC4010"/>
    <w:rsid w:val="00F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1DAC9"/>
  <w15:chartTrackingRefBased/>
  <w15:docId w15:val="{A050C162-349F-48DA-ACEE-C37F1BDB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F61"/>
    <w:pPr>
      <w:shd w:val="clear" w:color="auto" w:fill="FFFFFF"/>
      <w:spacing w:before="240" w:after="240" w:line="360" w:lineRule="auto"/>
      <w:jc w:val="both"/>
    </w:pPr>
    <w:rPr>
      <w:rFonts w:ascii="Arial" w:eastAsia="Times New Roman" w:hAnsi="Arial" w:cs="Arial"/>
      <w:spacing w:val="9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C639D"/>
    <w:pPr>
      <w:spacing w:before="100" w:beforeAutospacing="1" w:after="100" w:afterAutospacing="1" w:line="240" w:lineRule="auto"/>
      <w:outlineLvl w:val="0"/>
    </w:pPr>
    <w:rPr>
      <w:b/>
      <w:bCs/>
      <w:kern w:val="36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53F6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53F6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953F6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639D"/>
    <w:rPr>
      <w:rFonts w:ascii="Arial" w:eastAsia="Times New Roman" w:hAnsi="Arial" w:cs="Arial"/>
      <w:b/>
      <w:bCs/>
      <w:spacing w:val="9"/>
      <w:kern w:val="36"/>
      <w:sz w:val="32"/>
      <w:szCs w:val="32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53F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53F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53F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53F6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Siln">
    <w:name w:val="Strong"/>
    <w:basedOn w:val="Standardnpsmoodstavce"/>
    <w:uiPriority w:val="22"/>
    <w:qFormat/>
    <w:rsid w:val="00953F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53F61"/>
    <w:rPr>
      <w:color w:val="0000FF"/>
      <w:u w:val="single"/>
    </w:rPr>
  </w:style>
  <w:style w:type="paragraph" w:styleId="Odstavecseseznamem">
    <w:name w:val="List Paragraph"/>
    <w:aliases w:val="Conclusion de partie,moje odra,nad 1,Nad,Odstavec_muj,Fiche List Paragraph,Dot pt,List Paragraph Char Char Char,Indicator Text,Numbered Para 1,List Paragraph à moi,Odsek zoznamu4,LISTA,Listaszerű bekezdés2,Listaszerű bekezdés3,3"/>
    <w:basedOn w:val="Normln"/>
    <w:link w:val="OdstavecseseznamemChar"/>
    <w:uiPriority w:val="34"/>
    <w:qFormat/>
    <w:rsid w:val="00953F61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953F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3F61"/>
    <w:rPr>
      <w:rFonts w:ascii="Arial" w:eastAsia="Times New Roman" w:hAnsi="Arial" w:cs="Arial"/>
      <w:b/>
      <w:i/>
      <w:iCs/>
      <w:color w:val="5B9BD5" w:themeColor="accent1"/>
      <w:spacing w:val="9"/>
      <w:sz w:val="28"/>
      <w:szCs w:val="28"/>
      <w:shd w:val="clear" w:color="auto" w:fill="FFFFFF"/>
      <w:lang w:eastAsia="cs-CZ"/>
    </w:rPr>
  </w:style>
  <w:style w:type="table" w:customStyle="1" w:styleId="Tabulkasmkou4zvraznn11">
    <w:name w:val="Tabulka s mřížkou 4 – zvýraznění 11"/>
    <w:basedOn w:val="Normlntabulka"/>
    <w:next w:val="Tabulkasmkou4zvraznn1"/>
    <w:uiPriority w:val="49"/>
    <w:rsid w:val="00AF04B5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ulkasmkou4zvraznn1">
    <w:name w:val="Grid Table 4 Accent 1"/>
    <w:basedOn w:val="Normlntabulka"/>
    <w:uiPriority w:val="49"/>
    <w:rsid w:val="00AF04B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420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20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20E2"/>
    <w:rPr>
      <w:rFonts w:ascii="Arial" w:eastAsia="Times New Roman" w:hAnsi="Arial" w:cs="Arial"/>
      <w:spacing w:val="9"/>
      <w:sz w:val="20"/>
      <w:szCs w:val="20"/>
      <w:shd w:val="clear" w:color="auto" w:fill="FFFFFF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2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20E2"/>
    <w:rPr>
      <w:rFonts w:ascii="Arial" w:eastAsia="Times New Roman" w:hAnsi="Arial" w:cs="Arial"/>
      <w:b/>
      <w:bCs/>
      <w:spacing w:val="9"/>
      <w:sz w:val="20"/>
      <w:szCs w:val="20"/>
      <w:shd w:val="clear" w:color="auto" w:fill="FFFFF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0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0E2"/>
    <w:rPr>
      <w:rFonts w:ascii="Segoe UI" w:eastAsia="Times New Roman" w:hAnsi="Segoe UI" w:cs="Segoe UI"/>
      <w:spacing w:val="9"/>
      <w:sz w:val="18"/>
      <w:szCs w:val="18"/>
      <w:shd w:val="clear" w:color="auto" w:fill="FFFFFF"/>
      <w:lang w:eastAsia="cs-CZ"/>
    </w:rPr>
  </w:style>
  <w:style w:type="paragraph" w:styleId="Textpoznpodarou">
    <w:name w:val="footnote text"/>
    <w:aliases w:val="Footnote,Text poznámky pod čiarou 007"/>
    <w:basedOn w:val="Normln"/>
    <w:link w:val="TextpoznpodarouChar"/>
    <w:unhideWhenUsed/>
    <w:rsid w:val="00F72144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rsid w:val="00F72144"/>
    <w:rPr>
      <w:rFonts w:ascii="Arial" w:eastAsia="Times New Roman" w:hAnsi="Arial" w:cs="Arial"/>
      <w:spacing w:val="9"/>
      <w:sz w:val="20"/>
      <w:szCs w:val="20"/>
      <w:shd w:val="clear" w:color="auto" w:fill="FFFFFF"/>
      <w:lang w:eastAsia="cs-CZ"/>
    </w:rPr>
  </w:style>
  <w:style w:type="character" w:styleId="Znakapoznpodarou">
    <w:name w:val="footnote reference"/>
    <w:basedOn w:val="Standardnpsmoodstavce"/>
    <w:unhideWhenUsed/>
    <w:rsid w:val="00F7214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319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9BD"/>
    <w:rPr>
      <w:rFonts w:ascii="Arial" w:eastAsia="Times New Roman" w:hAnsi="Arial" w:cs="Arial"/>
      <w:spacing w:val="9"/>
      <w:sz w:val="24"/>
      <w:szCs w:val="24"/>
      <w:shd w:val="clear" w:color="auto" w:fill="FFFFFF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19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9BD"/>
    <w:rPr>
      <w:rFonts w:ascii="Arial" w:eastAsia="Times New Roman" w:hAnsi="Arial" w:cs="Arial"/>
      <w:spacing w:val="9"/>
      <w:sz w:val="24"/>
      <w:szCs w:val="24"/>
      <w:shd w:val="clear" w:color="auto" w:fill="FFFFFF"/>
      <w:lang w:eastAsia="cs-CZ"/>
    </w:rPr>
  </w:style>
  <w:style w:type="paragraph" w:styleId="Revize">
    <w:name w:val="Revision"/>
    <w:hidden/>
    <w:uiPriority w:val="99"/>
    <w:semiHidden/>
    <w:rsid w:val="00191287"/>
    <w:pPr>
      <w:spacing w:after="0" w:line="240" w:lineRule="auto"/>
    </w:pPr>
    <w:rPr>
      <w:rFonts w:ascii="Arial" w:eastAsia="Times New Roman" w:hAnsi="Arial" w:cs="Arial"/>
      <w:spacing w:val="9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26B0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unhideWhenUsed/>
    <w:rsid w:val="003B0873"/>
    <w:pPr>
      <w:shd w:val="clear" w:color="auto" w:fill="auto"/>
      <w:spacing w:before="0" w:after="120" w:line="240" w:lineRule="auto"/>
      <w:jc w:val="left"/>
    </w:pPr>
    <w:rPr>
      <w:rFonts w:ascii="Times New Roman" w:hAnsi="Times New Roman" w:cs="Times New Roman"/>
      <w:spacing w:val="0"/>
    </w:rPr>
  </w:style>
  <w:style w:type="character" w:customStyle="1" w:styleId="ZkladntextChar">
    <w:name w:val="Základní text Char"/>
    <w:basedOn w:val="Standardnpsmoodstavce"/>
    <w:link w:val="Zkladntext"/>
    <w:semiHidden/>
    <w:rsid w:val="003B08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Conclusion de partie Char,moje odra Char,nad 1 Char,Nad Char,Odstavec_muj Char,Fiche List Paragraph Char,Dot pt Char,List Paragraph Char Char Char Char,Indicator Text Char,Numbered Para 1 Char,List Paragraph à moi Char,3 Char"/>
    <w:link w:val="Odstavecseseznamem"/>
    <w:uiPriority w:val="34"/>
    <w:qFormat/>
    <w:locked/>
    <w:rsid w:val="003B0873"/>
    <w:rPr>
      <w:rFonts w:ascii="Arial" w:eastAsia="Times New Roman" w:hAnsi="Arial" w:cs="Arial"/>
      <w:spacing w:val="9"/>
      <w:sz w:val="24"/>
      <w:szCs w:val="24"/>
      <w:shd w:val="clear" w:color="auto" w:fill="FFFFFF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83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aplikace-oksluzby-senior" TargetMode="External"/><Relationship Id="rId13" Type="http://schemas.openxmlformats.org/officeDocument/2006/relationships/hyperlink" Target="https://www.mpsv.cz/dotacni-rizeni-pro-rok-2021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ocrod.mpsv.cz/rodvvaclient/ioksenior.html" TargetMode="External"/><Relationship Id="rId17" Type="http://schemas.openxmlformats.org/officeDocument/2006/relationships/hyperlink" Target="mailto:hotline.oknouze@oksyste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lara.holanova@mpsv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tline.oknouze@oksyste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use.sykorova@mpsv.cz" TargetMode="External"/><Relationship Id="rId10" Type="http://schemas.openxmlformats.org/officeDocument/2006/relationships/hyperlink" Target="https://www.mpsv.cz/web/cz/aplikace-oksluzby-senio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psv.cz/web/cz/aplikace-oksluzby-senior" TargetMode="External"/><Relationship Id="rId14" Type="http://schemas.openxmlformats.org/officeDocument/2006/relationships/hyperlink" Target="mailto:vua@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23C7-88A0-4856-A5A9-9C5225BC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1939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David Mgr. (MPSV)</dc:creator>
  <cp:keywords/>
  <dc:description/>
  <cp:lastModifiedBy>Sýkorová Miluše Mgr. (MPSV)</cp:lastModifiedBy>
  <cp:revision>4</cp:revision>
  <cp:lastPrinted>2021-03-09T17:20:00Z</cp:lastPrinted>
  <dcterms:created xsi:type="dcterms:W3CDTF">2021-06-30T03:40:00Z</dcterms:created>
  <dcterms:modified xsi:type="dcterms:W3CDTF">2021-06-30T10:16:00Z</dcterms:modified>
</cp:coreProperties>
</file>