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E1" w:rsidRPr="00334B09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Pr="00334B09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Pr="00334B09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Pr="00334B09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Pr="00334B09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Pr="00334B09" w:rsidRDefault="000245E1" w:rsidP="000245E1">
      <w:pPr>
        <w:jc w:val="center"/>
        <w:rPr>
          <w:rFonts w:asciiTheme="minorHAnsi" w:hAnsiTheme="minorHAnsi"/>
          <w:b/>
          <w:sz w:val="44"/>
          <w:szCs w:val="36"/>
        </w:rPr>
      </w:pPr>
    </w:p>
    <w:p w:rsidR="000245E1" w:rsidRPr="00334B09" w:rsidRDefault="000245E1" w:rsidP="000245E1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0245E1" w:rsidRDefault="000245E1" w:rsidP="000245E1">
      <w:pPr>
        <w:jc w:val="center"/>
        <w:rPr>
          <w:rFonts w:asciiTheme="minorHAnsi" w:hAnsiTheme="minorHAnsi"/>
          <w:b/>
          <w:i/>
          <w:sz w:val="44"/>
          <w:szCs w:val="36"/>
        </w:rPr>
      </w:pPr>
      <w:r w:rsidRPr="00AD3374">
        <w:rPr>
          <w:rFonts w:asciiTheme="minorHAnsi" w:hAnsiTheme="minorHAnsi"/>
          <w:b/>
          <w:i/>
          <w:sz w:val="44"/>
          <w:szCs w:val="36"/>
        </w:rPr>
        <w:t>Zpráva o základních tendencích</w:t>
      </w:r>
    </w:p>
    <w:p w:rsidR="000245E1" w:rsidRDefault="000245E1" w:rsidP="000245E1">
      <w:pPr>
        <w:jc w:val="center"/>
        <w:rPr>
          <w:rFonts w:asciiTheme="minorHAnsi" w:hAnsiTheme="minorHAnsi"/>
          <w:b/>
          <w:i/>
          <w:sz w:val="44"/>
          <w:szCs w:val="36"/>
        </w:rPr>
      </w:pPr>
      <w:r w:rsidRPr="00AD3374">
        <w:rPr>
          <w:rFonts w:asciiTheme="minorHAnsi" w:hAnsiTheme="minorHAnsi"/>
          <w:b/>
          <w:i/>
          <w:sz w:val="44"/>
          <w:szCs w:val="36"/>
        </w:rPr>
        <w:t>příjmové a výdajové situace</w:t>
      </w:r>
      <w:r>
        <w:rPr>
          <w:rFonts w:asciiTheme="minorHAnsi" w:hAnsiTheme="minorHAnsi"/>
          <w:b/>
          <w:i/>
          <w:sz w:val="44"/>
          <w:szCs w:val="36"/>
        </w:rPr>
        <w:t xml:space="preserve"> </w:t>
      </w:r>
      <w:r w:rsidRPr="00AD3374">
        <w:rPr>
          <w:rFonts w:asciiTheme="minorHAnsi" w:hAnsiTheme="minorHAnsi"/>
          <w:b/>
          <w:i/>
          <w:sz w:val="44"/>
          <w:szCs w:val="36"/>
        </w:rPr>
        <w:t>domácností ČR</w:t>
      </w:r>
    </w:p>
    <w:p w:rsidR="000245E1" w:rsidRPr="00AD3374" w:rsidRDefault="000245E1" w:rsidP="000245E1">
      <w:pPr>
        <w:jc w:val="center"/>
        <w:rPr>
          <w:rFonts w:asciiTheme="minorHAnsi" w:hAnsiTheme="minorHAnsi"/>
          <w:b/>
          <w:i/>
          <w:sz w:val="44"/>
          <w:szCs w:val="36"/>
        </w:rPr>
      </w:pPr>
      <w:r w:rsidRPr="00AD3374">
        <w:rPr>
          <w:rFonts w:asciiTheme="minorHAnsi" w:hAnsiTheme="minorHAnsi"/>
          <w:b/>
          <w:i/>
          <w:sz w:val="44"/>
          <w:szCs w:val="36"/>
        </w:rPr>
        <w:t>v 1. – 3. čtvrtletí 2020</w:t>
      </w:r>
    </w:p>
    <w:p w:rsidR="000245E1" w:rsidRPr="005B0EE3" w:rsidRDefault="000245E1" w:rsidP="000245E1">
      <w:pPr>
        <w:rPr>
          <w:rFonts w:asciiTheme="minorHAnsi" w:hAnsiTheme="minorHAnsi"/>
          <w:b/>
          <w:i/>
          <w:sz w:val="44"/>
          <w:szCs w:val="36"/>
        </w:rPr>
      </w:pPr>
    </w:p>
    <w:p w:rsidR="000245E1" w:rsidRDefault="000245E1" w:rsidP="000245E1">
      <w:pPr>
        <w:jc w:val="center"/>
      </w:pPr>
    </w:p>
    <w:p w:rsidR="000245E1" w:rsidRDefault="000245E1" w:rsidP="000245E1">
      <w:pPr>
        <w:jc w:val="center"/>
      </w:pPr>
    </w:p>
    <w:p w:rsidR="000245E1" w:rsidRDefault="000245E1" w:rsidP="000245E1">
      <w:pPr>
        <w:jc w:val="center"/>
      </w:pPr>
    </w:p>
    <w:p w:rsidR="000245E1" w:rsidRPr="00AE7317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Pr="00AE7317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Pr="00AE7317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Pr="00AE7317" w:rsidRDefault="000245E1" w:rsidP="000245E1">
      <w:pPr>
        <w:ind w:firstLine="5529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hAnsiTheme="minorHAnsi" w:cstheme="minorHAnsi"/>
          <w:b/>
          <w:sz w:val="26"/>
          <w:szCs w:val="26"/>
        </w:rPr>
        <w:t>Obsah:</w:t>
      </w:r>
    </w:p>
    <w:p w:rsidR="000245E1" w:rsidRPr="00AE7317" w:rsidRDefault="000245E1" w:rsidP="000245E1">
      <w:pPr>
        <w:pStyle w:val="Odstavecseseznamem"/>
        <w:numPr>
          <w:ilvl w:val="0"/>
          <w:numId w:val="9"/>
        </w:numPr>
        <w:spacing w:after="160" w:line="259" w:lineRule="auto"/>
        <w:ind w:firstLine="5529"/>
        <w:contextualSpacing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Textová </w:t>
      </w:r>
      <w:r>
        <w:rPr>
          <w:rFonts w:asciiTheme="minorHAnsi" w:hAnsiTheme="minorHAnsi" w:cstheme="minorHAnsi"/>
          <w:sz w:val="26"/>
          <w:szCs w:val="26"/>
        </w:rPr>
        <w:t>část</w:t>
      </w:r>
    </w:p>
    <w:p w:rsidR="000245E1" w:rsidRPr="00AE7317" w:rsidRDefault="000245E1" w:rsidP="000245E1">
      <w:pPr>
        <w:pStyle w:val="Odstavecseseznamem"/>
        <w:numPr>
          <w:ilvl w:val="0"/>
          <w:numId w:val="9"/>
        </w:numPr>
        <w:spacing w:after="160" w:line="259" w:lineRule="auto"/>
        <w:ind w:firstLine="5529"/>
        <w:contextualSpacing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>Tabulková příloha</w:t>
      </w:r>
    </w:p>
    <w:p w:rsidR="000245E1" w:rsidRPr="00AE7317" w:rsidRDefault="000245E1" w:rsidP="000245E1">
      <w:pPr>
        <w:rPr>
          <w:rFonts w:asciiTheme="minorHAnsi" w:hAnsiTheme="minorHAnsi" w:cstheme="minorHAnsi"/>
          <w:sz w:val="26"/>
          <w:szCs w:val="26"/>
        </w:rPr>
      </w:pPr>
    </w:p>
    <w:p w:rsidR="000245E1" w:rsidRPr="00C30F6B" w:rsidRDefault="000245E1" w:rsidP="000245E1">
      <w:pPr>
        <w:jc w:val="center"/>
      </w:pPr>
      <w:r w:rsidRPr="00C30F6B">
        <w:br w:type="page"/>
      </w:r>
    </w:p>
    <w:p w:rsidR="004621C0" w:rsidRPr="00AA590D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bookmarkStart w:id="0" w:name="_GoBack"/>
      <w:bookmarkEnd w:id="0"/>
    </w:p>
    <w:p w:rsidR="004621C0" w:rsidRPr="00AA590D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A590D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A590D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A590D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A590D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A590D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A590D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A590D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A590D" w:rsidRDefault="00FC7C16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AA590D">
        <w:rPr>
          <w:rFonts w:asciiTheme="minorHAnsi" w:hAnsiTheme="minorHAnsi"/>
          <w:b/>
          <w:sz w:val="44"/>
          <w:szCs w:val="36"/>
        </w:rPr>
        <w:t>I</w:t>
      </w:r>
      <w:r w:rsidR="004621C0" w:rsidRPr="00AA590D">
        <w:rPr>
          <w:rFonts w:asciiTheme="minorHAnsi" w:hAnsiTheme="minorHAnsi"/>
          <w:b/>
          <w:sz w:val="44"/>
          <w:szCs w:val="36"/>
        </w:rPr>
        <w:t>.</w:t>
      </w:r>
    </w:p>
    <w:p w:rsidR="004621C0" w:rsidRPr="00AA590D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A590D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A590D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AA590D">
        <w:rPr>
          <w:rFonts w:asciiTheme="minorHAnsi" w:hAnsiTheme="minorHAnsi"/>
          <w:b/>
          <w:sz w:val="44"/>
          <w:szCs w:val="36"/>
        </w:rPr>
        <w:t xml:space="preserve">Textová </w:t>
      </w:r>
      <w:r w:rsidR="00C11142" w:rsidRPr="00AA590D">
        <w:rPr>
          <w:rFonts w:asciiTheme="minorHAnsi" w:hAnsiTheme="minorHAnsi"/>
          <w:b/>
          <w:sz w:val="44"/>
          <w:szCs w:val="36"/>
        </w:rPr>
        <w:t>část</w:t>
      </w:r>
    </w:p>
    <w:p w:rsidR="004268E2" w:rsidRPr="00AA590D" w:rsidRDefault="004268E2" w:rsidP="004268E2">
      <w:pPr>
        <w:rPr>
          <w:sz w:val="28"/>
        </w:rPr>
      </w:pPr>
    </w:p>
    <w:p w:rsidR="00586BE7" w:rsidRPr="00AA590D" w:rsidRDefault="00586BE7">
      <w:r w:rsidRPr="00AA590D">
        <w:br w:type="page"/>
      </w:r>
    </w:p>
    <w:p w:rsidR="004268E2" w:rsidRPr="00AA590D" w:rsidRDefault="004268E2" w:rsidP="004268E2">
      <w:pPr>
        <w:rPr>
          <w:rFonts w:asciiTheme="minorHAnsi" w:hAnsiTheme="minorHAnsi"/>
        </w:rPr>
      </w:pPr>
    </w:p>
    <w:p w:rsidR="004268E2" w:rsidRPr="00AA590D" w:rsidRDefault="004268E2" w:rsidP="004268E2">
      <w:pPr>
        <w:rPr>
          <w:rFonts w:asciiTheme="minorHAnsi" w:hAnsiTheme="minorHAnsi"/>
        </w:rPr>
      </w:pPr>
    </w:p>
    <w:p w:rsidR="004268E2" w:rsidRPr="00AA590D" w:rsidRDefault="004268E2" w:rsidP="004268E2">
      <w:pPr>
        <w:rPr>
          <w:rFonts w:asciiTheme="minorHAnsi" w:hAnsiTheme="minorHAnsi"/>
        </w:rPr>
      </w:pPr>
    </w:p>
    <w:p w:rsidR="004268E2" w:rsidRPr="00AA590D" w:rsidRDefault="004268E2" w:rsidP="004268E2">
      <w:pPr>
        <w:rPr>
          <w:rFonts w:asciiTheme="minorHAnsi" w:hAnsiTheme="minorHAnsi"/>
        </w:rPr>
      </w:pPr>
    </w:p>
    <w:p w:rsidR="004268E2" w:rsidRPr="00AA590D" w:rsidRDefault="004268E2" w:rsidP="004268E2">
      <w:pPr>
        <w:rPr>
          <w:rFonts w:asciiTheme="minorHAnsi" w:hAnsiTheme="minorHAnsi"/>
        </w:rPr>
      </w:pPr>
    </w:p>
    <w:p w:rsidR="004268E2" w:rsidRPr="00AA590D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</w:p>
    <w:p w:rsidR="004268E2" w:rsidRPr="00AA590D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4"/>
        </w:rPr>
      </w:pPr>
      <w:r w:rsidRPr="00AA590D">
        <w:rPr>
          <w:rFonts w:asciiTheme="minorHAnsi" w:hAnsiTheme="minorHAnsi"/>
          <w:sz w:val="44"/>
        </w:rPr>
        <w:t>Obsah</w:t>
      </w:r>
    </w:p>
    <w:p w:rsidR="004268E2" w:rsidRPr="00AA590D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A590D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A590D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sz w:val="26"/>
          <w:szCs w:val="26"/>
        </w:rPr>
        <w:tab/>
        <w:t>strana</w:t>
      </w:r>
    </w:p>
    <w:p w:rsidR="004268E2" w:rsidRPr="00AA590D" w:rsidRDefault="004268E2" w:rsidP="004268E2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b/>
          <w:bCs/>
          <w:sz w:val="26"/>
          <w:szCs w:val="26"/>
        </w:rPr>
        <w:t>Hlavní poznatky z analýzy</w:t>
      </w:r>
      <w:proofErr w:type="gramStart"/>
      <w:r w:rsidRPr="00AA590D">
        <w:rPr>
          <w:rFonts w:asciiTheme="minorHAnsi" w:hAnsiTheme="minorHAnsi"/>
          <w:sz w:val="26"/>
          <w:szCs w:val="26"/>
        </w:rPr>
        <w:tab/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Pr="00AA590D">
        <w:rPr>
          <w:rFonts w:asciiTheme="minorHAnsi" w:hAnsiTheme="minorHAnsi"/>
          <w:sz w:val="26"/>
          <w:szCs w:val="26"/>
        </w:rPr>
        <w:t xml:space="preserve"> 1</w:t>
      </w:r>
      <w:proofErr w:type="gramEnd"/>
    </w:p>
    <w:p w:rsidR="004268E2" w:rsidRPr="00AA590D" w:rsidRDefault="004268E2" w:rsidP="004268E2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b/>
          <w:bCs/>
          <w:sz w:val="26"/>
          <w:szCs w:val="26"/>
        </w:rPr>
        <w:t>1</w:t>
      </w:r>
      <w:r w:rsidRPr="00AA590D">
        <w:rPr>
          <w:rFonts w:asciiTheme="minorHAnsi" w:hAnsiTheme="minorHAnsi"/>
          <w:b/>
          <w:sz w:val="26"/>
          <w:szCs w:val="26"/>
        </w:rPr>
        <w:t>. Příjmy domácností</w:t>
      </w:r>
      <w:proofErr w:type="gramStart"/>
      <w:r w:rsidRPr="00AA590D">
        <w:rPr>
          <w:rFonts w:asciiTheme="minorHAnsi" w:hAnsiTheme="minorHAnsi"/>
          <w:sz w:val="26"/>
          <w:szCs w:val="26"/>
        </w:rPr>
        <w:tab/>
      </w:r>
      <w:r w:rsidR="00DF4424" w:rsidRPr="00AA590D">
        <w:rPr>
          <w:rFonts w:asciiTheme="minorHAnsi" w:hAnsiTheme="minorHAnsi"/>
          <w:sz w:val="26"/>
          <w:szCs w:val="26"/>
        </w:rPr>
        <w:t xml:space="preserve"> </w:t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Pr="00AA590D">
        <w:rPr>
          <w:rFonts w:asciiTheme="minorHAnsi" w:hAnsiTheme="minorHAnsi"/>
          <w:sz w:val="26"/>
          <w:szCs w:val="26"/>
        </w:rPr>
        <w:t>4</w:t>
      </w:r>
      <w:proofErr w:type="gramEnd"/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i/>
          <w:sz w:val="26"/>
          <w:szCs w:val="26"/>
        </w:rPr>
        <w:tab/>
        <w:t>1. 1   Základní charakteristika</w:t>
      </w:r>
      <w:proofErr w:type="gramStart"/>
      <w:r w:rsidRPr="00AA590D">
        <w:rPr>
          <w:rFonts w:asciiTheme="minorHAnsi" w:hAnsiTheme="minorHAnsi"/>
          <w:sz w:val="26"/>
          <w:szCs w:val="26"/>
        </w:rPr>
        <w:tab/>
      </w:r>
      <w:r w:rsidR="00DF4424" w:rsidRPr="00AA590D">
        <w:rPr>
          <w:rFonts w:asciiTheme="minorHAnsi" w:hAnsiTheme="minorHAnsi"/>
          <w:sz w:val="26"/>
          <w:szCs w:val="26"/>
        </w:rPr>
        <w:t xml:space="preserve"> </w:t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Pr="00AA590D">
        <w:rPr>
          <w:rFonts w:asciiTheme="minorHAnsi" w:hAnsiTheme="minorHAnsi"/>
          <w:sz w:val="26"/>
          <w:szCs w:val="26"/>
        </w:rPr>
        <w:t>4</w:t>
      </w:r>
      <w:proofErr w:type="gramEnd"/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i/>
          <w:sz w:val="26"/>
          <w:szCs w:val="26"/>
        </w:rPr>
        <w:tab/>
        <w:t>1. 2   Mzdy</w:t>
      </w:r>
      <w:r w:rsidR="00517087" w:rsidRPr="00AA590D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517087" w:rsidRPr="00AA590D">
        <w:rPr>
          <w:rFonts w:asciiTheme="minorHAnsi" w:hAnsiTheme="minorHAnsi"/>
          <w:sz w:val="26"/>
          <w:szCs w:val="26"/>
        </w:rPr>
        <w:tab/>
      </w:r>
      <w:r w:rsidR="00DF4424" w:rsidRPr="00AA590D">
        <w:rPr>
          <w:rFonts w:asciiTheme="minorHAnsi" w:hAnsiTheme="minorHAnsi"/>
          <w:sz w:val="26"/>
          <w:szCs w:val="26"/>
        </w:rPr>
        <w:t xml:space="preserve"> </w:t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="00517087" w:rsidRPr="00AA590D">
        <w:rPr>
          <w:rFonts w:asciiTheme="minorHAnsi" w:hAnsiTheme="minorHAnsi"/>
          <w:sz w:val="26"/>
          <w:szCs w:val="26"/>
        </w:rPr>
        <w:t>5</w:t>
      </w:r>
      <w:proofErr w:type="gramEnd"/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sz w:val="26"/>
          <w:szCs w:val="26"/>
        </w:rPr>
        <w:tab/>
      </w:r>
      <w:r w:rsidRPr="00AA590D">
        <w:rPr>
          <w:rFonts w:asciiTheme="minorHAnsi" w:hAnsiTheme="minorHAnsi"/>
          <w:i/>
          <w:sz w:val="26"/>
          <w:szCs w:val="26"/>
        </w:rPr>
        <w:t>1. 3   Sociální příjmy</w:t>
      </w:r>
      <w:r w:rsidRPr="00AA590D">
        <w:rPr>
          <w:rFonts w:asciiTheme="minorHAnsi" w:hAnsiTheme="minorHAnsi"/>
          <w:sz w:val="26"/>
          <w:szCs w:val="26"/>
        </w:rPr>
        <w:tab/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Pr="00AA590D">
        <w:rPr>
          <w:rFonts w:asciiTheme="minorHAnsi" w:hAnsiTheme="minorHAnsi"/>
          <w:sz w:val="26"/>
          <w:szCs w:val="26"/>
        </w:rPr>
        <w:t>1</w:t>
      </w:r>
      <w:r w:rsidR="00D97A60" w:rsidRPr="00AA590D">
        <w:rPr>
          <w:rFonts w:asciiTheme="minorHAnsi" w:hAnsiTheme="minorHAnsi"/>
          <w:sz w:val="26"/>
          <w:szCs w:val="26"/>
        </w:rPr>
        <w:t>1</w:t>
      </w: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b/>
          <w:sz w:val="26"/>
          <w:szCs w:val="26"/>
        </w:rPr>
        <w:t>2. Spotřebitelské ceny a životní náklady</w:t>
      </w:r>
      <w:r w:rsidRPr="00AA590D">
        <w:rPr>
          <w:rFonts w:asciiTheme="minorHAnsi" w:hAnsiTheme="minorHAnsi"/>
          <w:sz w:val="26"/>
          <w:szCs w:val="26"/>
        </w:rPr>
        <w:tab/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Pr="00AA590D">
        <w:rPr>
          <w:rFonts w:asciiTheme="minorHAnsi" w:hAnsiTheme="minorHAnsi"/>
          <w:sz w:val="26"/>
          <w:szCs w:val="26"/>
        </w:rPr>
        <w:t>1</w:t>
      </w:r>
      <w:r w:rsidR="00D97A60" w:rsidRPr="00AA590D">
        <w:rPr>
          <w:rFonts w:asciiTheme="minorHAnsi" w:hAnsiTheme="minorHAnsi"/>
          <w:sz w:val="26"/>
          <w:szCs w:val="26"/>
        </w:rPr>
        <w:t>6</w:t>
      </w: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A590D">
        <w:rPr>
          <w:rFonts w:asciiTheme="minorHAnsi" w:hAnsiTheme="minorHAnsi"/>
          <w:b/>
          <w:sz w:val="26"/>
          <w:szCs w:val="26"/>
        </w:rPr>
        <w:t>3. Peněžní výdaje a úspory domácností</w:t>
      </w:r>
      <w:r w:rsidRPr="00AA590D">
        <w:rPr>
          <w:rFonts w:asciiTheme="minorHAnsi" w:hAnsiTheme="minorHAnsi"/>
          <w:sz w:val="26"/>
          <w:szCs w:val="26"/>
        </w:rPr>
        <w:tab/>
      </w:r>
      <w:r w:rsidR="00C11142" w:rsidRPr="00AA590D">
        <w:rPr>
          <w:rFonts w:asciiTheme="minorHAnsi" w:hAnsiTheme="minorHAnsi"/>
          <w:sz w:val="26"/>
          <w:szCs w:val="26"/>
        </w:rPr>
        <w:t xml:space="preserve"> </w:t>
      </w:r>
      <w:r w:rsidRPr="00AA590D">
        <w:rPr>
          <w:rFonts w:asciiTheme="minorHAnsi" w:hAnsiTheme="minorHAnsi"/>
          <w:sz w:val="26"/>
          <w:szCs w:val="26"/>
        </w:rPr>
        <w:t>1</w:t>
      </w:r>
      <w:r w:rsidR="00D97A60" w:rsidRPr="00AA590D">
        <w:rPr>
          <w:rFonts w:asciiTheme="minorHAnsi" w:hAnsiTheme="minorHAnsi"/>
          <w:sz w:val="26"/>
          <w:szCs w:val="26"/>
        </w:rPr>
        <w:t>8</w:t>
      </w: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4268E2" w:rsidRPr="00AA590D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4268E2" w:rsidRPr="00AA590D" w:rsidSect="00A1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BC7584" w:rsidRPr="00AA590D" w:rsidRDefault="00BC7584" w:rsidP="00411A7E">
      <w:pPr>
        <w:spacing w:after="240" w:line="360" w:lineRule="auto"/>
        <w:jc w:val="both"/>
        <w:rPr>
          <w:rFonts w:asciiTheme="minorHAnsi" w:hAnsiTheme="minorHAnsi"/>
          <w:b/>
          <w:i/>
          <w:sz w:val="44"/>
          <w:szCs w:val="44"/>
        </w:rPr>
      </w:pPr>
      <w:r w:rsidRPr="00AA590D">
        <w:rPr>
          <w:rFonts w:asciiTheme="minorHAnsi" w:hAnsiTheme="minorHAnsi"/>
          <w:b/>
          <w:i/>
          <w:sz w:val="44"/>
          <w:szCs w:val="44"/>
        </w:rPr>
        <w:lastRenderedPageBreak/>
        <w:t xml:space="preserve">Hlavní poznatky z analýzy 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>Česká ekonomika dosáhla ve třetím čtvrtletí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roku 2020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nižšího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meziročního poklesu hrubého domácího produktu </w:t>
      </w:r>
      <w:r w:rsidRPr="00AA590D">
        <w:rPr>
          <w:rFonts w:ascii="Calibri" w:hAnsi="Calibri" w:cs="Calibri"/>
          <w:sz w:val="26"/>
          <w:szCs w:val="26"/>
        </w:rPr>
        <w:t xml:space="preserve">ve stálých cenách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než v předchozím čtvrtletí. </w:t>
      </w:r>
      <w:r w:rsidRPr="00AA590D">
        <w:rPr>
          <w:rFonts w:ascii="Calibri" w:hAnsi="Calibri" w:cs="Calibri"/>
          <w:sz w:val="26"/>
          <w:szCs w:val="26"/>
        </w:rPr>
        <w:t xml:space="preserve">Meziroční snížení činilo </w:t>
      </w:r>
      <w:r w:rsidRPr="00AA590D">
        <w:rPr>
          <w:rFonts w:ascii="Calibri" w:hAnsi="Calibri" w:cs="Calibri"/>
          <w:b/>
          <w:bCs/>
          <w:sz w:val="26"/>
          <w:szCs w:val="26"/>
        </w:rPr>
        <w:t>5,0 %.</w:t>
      </w:r>
      <w:r w:rsidRPr="00AA590D">
        <w:rPr>
          <w:rFonts w:ascii="Calibri" w:hAnsi="Calibri" w:cs="Calibri"/>
          <w:sz w:val="26"/>
          <w:szCs w:val="26"/>
        </w:rPr>
        <w:t xml:space="preserve"> V mezičtvrtletním srovnání (vlivem uvolnění opatření proti pandem</w:t>
      </w:r>
      <w:r w:rsidR="000D5C8D" w:rsidRPr="00AA590D">
        <w:rPr>
          <w:rFonts w:ascii="Calibri" w:hAnsi="Calibri" w:cs="Calibri"/>
          <w:sz w:val="26"/>
          <w:szCs w:val="26"/>
        </w:rPr>
        <w:t>ii viru SARS-CoV-2</w:t>
      </w:r>
      <w:r w:rsidRPr="00AA590D">
        <w:rPr>
          <w:rFonts w:ascii="Calibri" w:hAnsi="Calibri" w:cs="Calibri"/>
          <w:sz w:val="26"/>
          <w:szCs w:val="26"/>
        </w:rPr>
        <w:t xml:space="preserve">) ekonomika vzrostla o 6,9 %. </w:t>
      </w:r>
      <w:r w:rsidRPr="00AA590D">
        <w:rPr>
          <w:rFonts w:ascii="Calibri" w:hAnsi="Calibri" w:cs="Calibri"/>
          <w:b/>
          <w:bCs/>
          <w:sz w:val="26"/>
          <w:szCs w:val="26"/>
        </w:rPr>
        <w:t>V komparaci s průměrem Evropské unie</w:t>
      </w:r>
      <w:r w:rsidRPr="00AA590D">
        <w:rPr>
          <w:rFonts w:ascii="Calibri" w:hAnsi="Calibri" w:cs="Calibri"/>
          <w:sz w:val="26"/>
          <w:szCs w:val="26"/>
        </w:rPr>
        <w:t xml:space="preserve"> (-4,2 %) </w:t>
      </w:r>
      <w:r w:rsidRPr="00AA590D">
        <w:rPr>
          <w:rFonts w:ascii="Calibri" w:hAnsi="Calibri" w:cs="Calibri"/>
          <w:b/>
          <w:bCs/>
          <w:sz w:val="26"/>
          <w:szCs w:val="26"/>
        </w:rPr>
        <w:t>byl</w:t>
      </w:r>
      <w:r w:rsidRPr="00AA590D">
        <w:rPr>
          <w:rFonts w:ascii="Calibri" w:hAnsi="Calibri" w:cs="Calibri"/>
          <w:sz w:val="26"/>
          <w:szCs w:val="26"/>
        </w:rPr>
        <w:t xml:space="preserve"> meziroční ekonomický </w:t>
      </w:r>
      <w:r w:rsidRPr="00AA590D">
        <w:rPr>
          <w:rFonts w:ascii="Calibri" w:hAnsi="Calibri" w:cs="Calibri"/>
          <w:b/>
          <w:bCs/>
          <w:sz w:val="26"/>
          <w:szCs w:val="26"/>
        </w:rPr>
        <w:t>propad mírně vyšší.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>Na</w:t>
      </w:r>
      <w:r w:rsidRPr="00AA590D">
        <w:rPr>
          <w:rFonts w:ascii="Calibri" w:hAnsi="Calibri" w:cs="Calibri"/>
          <w:sz w:val="26"/>
          <w:szCs w:val="26"/>
        </w:rPr>
        <w:t xml:space="preserve"> hospodářském </w:t>
      </w:r>
      <w:r w:rsidRPr="00AA590D">
        <w:rPr>
          <w:rFonts w:ascii="Calibri" w:hAnsi="Calibri" w:cs="Calibri"/>
          <w:b/>
          <w:bCs/>
          <w:sz w:val="26"/>
          <w:szCs w:val="26"/>
        </w:rPr>
        <w:t>poklesu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se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největší měrou podílela nízká investiční aktivita</w:t>
      </w:r>
      <w:r w:rsidRPr="00AA590D">
        <w:rPr>
          <w:rFonts w:ascii="Calibri" w:hAnsi="Calibri" w:cs="Calibri"/>
          <w:sz w:val="26"/>
          <w:szCs w:val="26"/>
        </w:rPr>
        <w:t xml:space="preserve"> (meziroční pokles tvorby hrubého kapitálu o 16,5 %) </w:t>
      </w:r>
      <w:r w:rsidRPr="00AA590D">
        <w:rPr>
          <w:rFonts w:ascii="Calibri" w:hAnsi="Calibri" w:cs="Calibri"/>
          <w:b/>
          <w:bCs/>
          <w:sz w:val="26"/>
          <w:szCs w:val="26"/>
        </w:rPr>
        <w:t>a spotřeba domácností</w:t>
      </w:r>
      <w:r w:rsidRPr="00AA590D">
        <w:rPr>
          <w:rFonts w:ascii="Calibri" w:hAnsi="Calibri" w:cs="Calibri"/>
          <w:sz w:val="26"/>
          <w:szCs w:val="26"/>
        </w:rPr>
        <w:t xml:space="preserve"> (-3,9 %). </w:t>
      </w:r>
      <w:r w:rsidRPr="00AA590D">
        <w:rPr>
          <w:rFonts w:ascii="Calibri" w:hAnsi="Calibri" w:cs="Calibri"/>
          <w:b/>
          <w:bCs/>
          <w:sz w:val="26"/>
          <w:szCs w:val="26"/>
        </w:rPr>
        <w:t>Výdaje vládních institucí</w:t>
      </w:r>
      <w:r w:rsidRPr="00AA590D">
        <w:rPr>
          <w:rFonts w:ascii="Calibri" w:hAnsi="Calibri" w:cs="Calibri"/>
          <w:sz w:val="26"/>
          <w:szCs w:val="26"/>
        </w:rPr>
        <w:t>, které nepatrně vzrostly (+0,1 %)</w:t>
      </w:r>
      <w:r w:rsidR="005A7AA6" w:rsidRPr="00AA590D">
        <w:rPr>
          <w:rFonts w:ascii="Calibri" w:hAnsi="Calibri" w:cs="Calibri"/>
          <w:sz w:val="26"/>
          <w:szCs w:val="26"/>
        </w:rPr>
        <w:t>,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působil</w:t>
      </w:r>
      <w:r w:rsidR="005A7AA6" w:rsidRPr="00AA590D">
        <w:rPr>
          <w:rFonts w:ascii="Calibri" w:hAnsi="Calibri" w:cs="Calibri"/>
          <w:b/>
          <w:bCs/>
          <w:sz w:val="26"/>
          <w:szCs w:val="26"/>
        </w:rPr>
        <w:t>y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neutrálně.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Jediná položka</w:t>
      </w:r>
      <w:r w:rsidRPr="00AA590D">
        <w:rPr>
          <w:rFonts w:ascii="Calibri" w:hAnsi="Calibri" w:cs="Calibri"/>
          <w:sz w:val="26"/>
          <w:szCs w:val="26"/>
        </w:rPr>
        <w:t xml:space="preserve"> hrubého domácího produktu, </w:t>
      </w:r>
      <w:r w:rsidRPr="00AA590D">
        <w:rPr>
          <w:rFonts w:ascii="Calibri" w:hAnsi="Calibri" w:cs="Calibri"/>
          <w:b/>
          <w:bCs/>
          <w:sz w:val="26"/>
          <w:szCs w:val="26"/>
        </w:rPr>
        <w:t>která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přispěla kladným příspěvkem,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byla bilance zahraničního obchodu.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Na nabídkové straně</w:t>
      </w:r>
      <w:r w:rsidRPr="00AA590D">
        <w:rPr>
          <w:rFonts w:ascii="Calibri" w:hAnsi="Calibri" w:cs="Calibri"/>
          <w:sz w:val="26"/>
          <w:szCs w:val="26"/>
        </w:rPr>
        <w:t xml:space="preserve"> měly </w:t>
      </w:r>
      <w:r w:rsidRPr="00AA590D">
        <w:rPr>
          <w:rFonts w:ascii="Calibri" w:hAnsi="Calibri" w:cs="Calibri"/>
          <w:b/>
          <w:bCs/>
          <w:sz w:val="26"/>
          <w:szCs w:val="26"/>
        </w:rPr>
        <w:t>největší vliv</w:t>
      </w:r>
      <w:r w:rsidRPr="00AA590D">
        <w:rPr>
          <w:rFonts w:ascii="Calibri" w:hAnsi="Calibri" w:cs="Calibri"/>
          <w:sz w:val="26"/>
          <w:szCs w:val="26"/>
        </w:rPr>
        <w:t xml:space="preserve"> na pokles hrubé přidané hodnoty </w:t>
      </w:r>
      <w:r w:rsidRPr="00AA590D">
        <w:rPr>
          <w:rFonts w:ascii="Calibri" w:hAnsi="Calibri" w:cs="Calibri"/>
          <w:b/>
          <w:bCs/>
          <w:sz w:val="26"/>
          <w:szCs w:val="26"/>
        </w:rPr>
        <w:t>odvětví služeb a zpracovatelský průmysl.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A590D">
        <w:rPr>
          <w:rFonts w:asciiTheme="minorHAnsi" w:eastAsia="Calibri" w:hAnsiTheme="minorHAnsi" w:cstheme="minorHAnsi"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Rozbor </w:t>
      </w:r>
      <w:r w:rsidRPr="00AA590D">
        <w:rPr>
          <w:rFonts w:asciiTheme="minorHAnsi" w:hAnsiTheme="minorHAnsi" w:cstheme="minorHAnsi"/>
          <w:sz w:val="26"/>
          <w:szCs w:val="26"/>
        </w:rPr>
        <w:t>příjmů a výdajů domácností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 přinesl </w:t>
      </w:r>
      <w:r w:rsidRPr="00AA590D">
        <w:rPr>
          <w:rFonts w:asciiTheme="minorHAnsi" w:hAnsiTheme="minorHAnsi" w:cstheme="minorHAnsi"/>
          <w:sz w:val="26"/>
          <w:szCs w:val="26"/>
        </w:rPr>
        <w:t xml:space="preserve">v 1. – 3. čtvrtletí 2020 zejména </w:t>
      </w:r>
      <w:r w:rsidRPr="00AA590D">
        <w:rPr>
          <w:rFonts w:asciiTheme="minorHAnsi" w:hAnsiTheme="minorHAnsi" w:cstheme="minorHAnsi"/>
          <w:b/>
          <w:sz w:val="26"/>
          <w:szCs w:val="26"/>
        </w:rPr>
        <w:t>tyto hlavní poznatky:</w:t>
      </w:r>
    </w:p>
    <w:p w:rsidR="00BA2373" w:rsidRPr="00AA590D" w:rsidRDefault="00BA2373" w:rsidP="006F4787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 xml:space="preserve">úhrnný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disponibilní důchod</w:t>
      </w:r>
      <w:r w:rsidRPr="00AA590D">
        <w:rPr>
          <w:rFonts w:asciiTheme="minorHAnsi" w:hAnsiTheme="minorHAnsi" w:cstheme="minorHAnsi"/>
          <w:sz w:val="26"/>
          <w:szCs w:val="26"/>
        </w:rPr>
        <w:t xml:space="preserve"> sektoru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domácností </w:t>
      </w:r>
      <w:r w:rsidRPr="00AA590D">
        <w:rPr>
          <w:rFonts w:asciiTheme="minorHAnsi" w:hAnsiTheme="minorHAnsi" w:cstheme="minorHAnsi"/>
          <w:sz w:val="26"/>
          <w:szCs w:val="26"/>
        </w:rPr>
        <w:t>(na makroúrovni statistiky národních účtů)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vzrostl </w:t>
      </w:r>
      <w:r w:rsidRPr="00AA590D">
        <w:rPr>
          <w:rFonts w:asciiTheme="minorHAnsi" w:hAnsiTheme="minorHAnsi" w:cstheme="minorHAnsi"/>
          <w:sz w:val="26"/>
          <w:szCs w:val="26"/>
        </w:rPr>
        <w:t xml:space="preserve">nominálně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o 4,8 % na 2 311,9 mld. Kč, </w:t>
      </w:r>
      <w:r w:rsidRPr="00AA590D">
        <w:rPr>
          <w:rFonts w:asciiTheme="minorHAnsi" w:hAnsiTheme="minorHAnsi" w:cstheme="minorHAnsi"/>
          <w:sz w:val="26"/>
          <w:szCs w:val="26"/>
        </w:rPr>
        <w:t xml:space="preserve">tj. reálně o 1,5 %; </w:t>
      </w:r>
      <w:r w:rsidRPr="00AA590D">
        <w:rPr>
          <w:rFonts w:ascii="Calibri" w:hAnsi="Calibri" w:cs="Calibri"/>
          <w:b/>
          <w:bCs/>
          <w:sz w:val="26"/>
          <w:szCs w:val="26"/>
        </w:rPr>
        <w:t>hlavní příčinou bylo nižší tempo růstu výdajů</w:t>
      </w:r>
      <w:r w:rsidRPr="00AA590D">
        <w:rPr>
          <w:rFonts w:ascii="Calibri" w:hAnsi="Calibri" w:cs="Calibri"/>
          <w:sz w:val="26"/>
          <w:szCs w:val="26"/>
        </w:rPr>
        <w:t xml:space="preserve"> oproti příjmům;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domácnosti</w:t>
      </w:r>
      <w:r w:rsidRPr="00AA590D">
        <w:rPr>
          <w:rFonts w:ascii="Calibri" w:hAnsi="Calibri" w:cs="Calibri"/>
          <w:sz w:val="26"/>
          <w:szCs w:val="26"/>
        </w:rPr>
        <w:t xml:space="preserve"> v době krize (pandemi</w:t>
      </w:r>
      <w:r w:rsidR="00D35865" w:rsidRPr="00AA590D">
        <w:rPr>
          <w:rFonts w:ascii="Calibri" w:hAnsi="Calibri" w:cs="Calibri"/>
          <w:sz w:val="26"/>
          <w:szCs w:val="26"/>
        </w:rPr>
        <w:t>e viru SARS-CoV-2</w:t>
      </w:r>
      <w:r w:rsidRPr="00AA590D">
        <w:rPr>
          <w:rFonts w:ascii="Calibri" w:hAnsi="Calibri" w:cs="Calibri"/>
          <w:sz w:val="26"/>
          <w:szCs w:val="26"/>
        </w:rPr>
        <w:t xml:space="preserve">) </w:t>
      </w:r>
      <w:r w:rsidRPr="00AA590D">
        <w:rPr>
          <w:rFonts w:ascii="Calibri" w:hAnsi="Calibri" w:cs="Calibri"/>
          <w:b/>
          <w:bCs/>
          <w:sz w:val="26"/>
          <w:szCs w:val="26"/>
        </w:rPr>
        <w:t>své prostředky ukládaly</w:t>
      </w:r>
      <w:r w:rsidRPr="00AA590D">
        <w:rPr>
          <w:rFonts w:ascii="Calibri" w:hAnsi="Calibri" w:cs="Calibri"/>
          <w:sz w:val="26"/>
          <w:szCs w:val="26"/>
        </w:rPr>
        <w:t xml:space="preserve"> ve velké míře </w:t>
      </w:r>
      <w:r w:rsidRPr="00AA590D">
        <w:rPr>
          <w:rFonts w:ascii="Calibri" w:hAnsi="Calibri" w:cs="Calibri"/>
          <w:b/>
          <w:bCs/>
          <w:sz w:val="26"/>
          <w:szCs w:val="26"/>
        </w:rPr>
        <w:t>do úspor,</w:t>
      </w:r>
    </w:p>
    <w:p w:rsidR="00BA2373" w:rsidRPr="00AA590D" w:rsidRDefault="00BA2373" w:rsidP="006F4787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>největším zdrojem peněžních příjmů domácností byly mzdy; průměrná měsíční nominální mzda v národním hospodářství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(na přepočtené počty zaměstnanců)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dosáhla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úrovně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34 611 Kč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a její meziroční dynamika růstu se ze 6,5 % (v lednu – září 2019) snížila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na 3,6 %,</w:t>
      </w:r>
    </w:p>
    <w:p w:rsidR="00BA2373" w:rsidRPr="00AA590D" w:rsidRDefault="00BA2373" w:rsidP="006F4787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Cs/>
          <w:sz w:val="26"/>
          <w:szCs w:val="26"/>
        </w:rPr>
        <w:t xml:space="preserve">po zohlednění nárůstu cenové inflace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došlo k velmi mírnému posílení průměrné reálné mzdy o 0,3 %</w:t>
      </w:r>
      <w:r w:rsidRPr="00AA590D">
        <w:rPr>
          <w:rFonts w:asciiTheme="minorHAnsi" w:hAnsiTheme="minorHAnsi" w:cstheme="minorHAnsi"/>
          <w:b/>
          <w:sz w:val="26"/>
          <w:szCs w:val="26"/>
        </w:rPr>
        <w:t>;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jednalo se o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nejnižší zaznamenané zvýšení její úrovně od roku 2013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(ve srovnatelném období),</w:t>
      </w:r>
    </w:p>
    <w:p w:rsidR="00BA2373" w:rsidRPr="00AA590D" w:rsidRDefault="00BA2373" w:rsidP="006F4787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lastRenderedPageBreak/>
        <w:t xml:space="preserve">celkový </w:t>
      </w:r>
      <w:r w:rsidRPr="00AA590D">
        <w:rPr>
          <w:rFonts w:asciiTheme="minorHAnsi" w:hAnsiTheme="minorHAnsi" w:cstheme="minorHAnsi"/>
          <w:b/>
          <w:sz w:val="26"/>
          <w:szCs w:val="26"/>
        </w:rPr>
        <w:t>objem sociálních příjmů dosáhl</w:t>
      </w:r>
      <w:r w:rsidRPr="00AA590D">
        <w:rPr>
          <w:rFonts w:asciiTheme="minorHAnsi" w:hAnsiTheme="minorHAnsi" w:cstheme="minorHAnsi"/>
          <w:sz w:val="26"/>
          <w:szCs w:val="26"/>
        </w:rPr>
        <w:t xml:space="preserve"> částky </w:t>
      </w:r>
      <w:r w:rsidRPr="00AA590D">
        <w:rPr>
          <w:rFonts w:asciiTheme="minorHAnsi" w:hAnsiTheme="minorHAnsi" w:cstheme="minorHAnsi"/>
          <w:b/>
          <w:sz w:val="26"/>
          <w:szCs w:val="26"/>
        </w:rPr>
        <w:t>484,4 mld. Kč a převýšil skutečnost stejného období roku 2019 o 53,6 mld. Kč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AA590D">
        <w:rPr>
          <w:rFonts w:asciiTheme="minorHAnsi" w:hAnsiTheme="minorHAnsi" w:cstheme="minorHAnsi"/>
          <w:sz w:val="26"/>
          <w:szCs w:val="26"/>
        </w:rPr>
        <w:t xml:space="preserve"> tj. o 12,4 % nominálně a o 8,8 % reálně. </w:t>
      </w:r>
      <w:r w:rsidRPr="00AA590D">
        <w:rPr>
          <w:rFonts w:asciiTheme="minorHAnsi" w:hAnsiTheme="minorHAnsi" w:cstheme="minorHAnsi"/>
          <w:b/>
          <w:sz w:val="26"/>
          <w:szCs w:val="26"/>
        </w:rPr>
        <w:t>Pokles byl zaznamenán pouze u dávek pro osoby se zdravotním postižením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AA590D">
        <w:rPr>
          <w:rFonts w:asciiTheme="minorHAnsi" w:hAnsiTheme="minorHAnsi" w:cstheme="minorHAnsi"/>
          <w:sz w:val="26"/>
          <w:szCs w:val="26"/>
        </w:rPr>
        <w:t xml:space="preserve"> příjmy občanů </w:t>
      </w:r>
      <w:r w:rsidRPr="00AA590D">
        <w:rPr>
          <w:rFonts w:asciiTheme="minorHAnsi" w:hAnsiTheme="minorHAnsi" w:cstheme="minorHAnsi"/>
          <w:b/>
          <w:sz w:val="26"/>
          <w:szCs w:val="26"/>
        </w:rPr>
        <w:t>z ostatních druhů sociálních dávek se zvýšily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,</w:t>
      </w:r>
    </w:p>
    <w:p w:rsidR="00BA2373" w:rsidRPr="00AA590D" w:rsidRDefault="00BA2373" w:rsidP="006F4787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/>
          <w:sz w:val="26"/>
          <w:szCs w:val="26"/>
        </w:rPr>
        <w:t>průměrná výše</w:t>
      </w:r>
      <w:r w:rsidRPr="00AA590D">
        <w:rPr>
          <w:rFonts w:asciiTheme="minorHAnsi" w:hAnsiTheme="minorHAnsi" w:cstheme="minorHAnsi"/>
          <w:sz w:val="26"/>
          <w:szCs w:val="26"/>
        </w:rPr>
        <w:t xml:space="preserve"> (samostatně vypláceného) starobního </w:t>
      </w:r>
      <w:r w:rsidRPr="00AA590D">
        <w:rPr>
          <w:rFonts w:asciiTheme="minorHAnsi" w:hAnsiTheme="minorHAnsi" w:cstheme="minorHAnsi"/>
          <w:b/>
          <w:sz w:val="26"/>
          <w:szCs w:val="26"/>
        </w:rPr>
        <w:t>důchodu byla meziročně vyšší o 7,6 %</w:t>
      </w:r>
      <w:r w:rsidRPr="00AA590D">
        <w:rPr>
          <w:rFonts w:asciiTheme="minorHAnsi" w:hAnsiTheme="minorHAnsi" w:cstheme="minorHAnsi"/>
          <w:sz w:val="26"/>
          <w:szCs w:val="26"/>
        </w:rPr>
        <w:t xml:space="preserve"> (nárůst na </w:t>
      </w:r>
      <w:r w:rsidRPr="00AA590D">
        <w:rPr>
          <w:rFonts w:asciiTheme="minorHAnsi" w:hAnsiTheme="minorHAnsi" w:cstheme="minorHAnsi"/>
          <w:b/>
          <w:sz w:val="26"/>
          <w:szCs w:val="26"/>
        </w:rPr>
        <w:t>14 437 Kč</w:t>
      </w:r>
      <w:r w:rsidRPr="00AA590D">
        <w:rPr>
          <w:rFonts w:asciiTheme="minorHAnsi" w:hAnsiTheme="minorHAnsi" w:cstheme="minorHAnsi"/>
          <w:sz w:val="26"/>
          <w:szCs w:val="26"/>
        </w:rPr>
        <w:t>), jeho reálná hodnota se zvýšila o 3,7 % (při</w:t>
      </w:r>
      <w:r w:rsidR="00411A7E" w:rsidRPr="00AA590D">
        <w:rPr>
          <w:rFonts w:asciiTheme="minorHAnsi" w:hAnsiTheme="minorHAnsi" w:cstheme="minorHAnsi"/>
          <w:sz w:val="26"/>
          <w:szCs w:val="26"/>
        </w:rPr>
        <w:t> </w:t>
      </w:r>
      <w:r w:rsidRPr="00AA590D">
        <w:rPr>
          <w:rFonts w:asciiTheme="minorHAnsi" w:hAnsiTheme="minorHAnsi" w:cstheme="minorHAnsi"/>
          <w:sz w:val="26"/>
          <w:szCs w:val="26"/>
        </w:rPr>
        <w:t>použití indexu životních nákladů domácností důchodců 103,8 %),</w:t>
      </w:r>
    </w:p>
    <w:p w:rsidR="00BA2373" w:rsidRPr="00AA590D" w:rsidRDefault="00BA2373" w:rsidP="006F4787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 xml:space="preserve">při nárůstu počtu evidovaných nezaměstnaných s nárokem na podporu (o 12,6 tis.) se </w:t>
      </w:r>
      <w:r w:rsidRPr="00AA590D">
        <w:rPr>
          <w:rFonts w:asciiTheme="minorHAnsi" w:hAnsiTheme="minorHAnsi" w:cstheme="minorHAnsi"/>
          <w:b/>
          <w:sz w:val="26"/>
          <w:szCs w:val="26"/>
        </w:rPr>
        <w:t>průměrná výše podpory v nezaměstnanosti</w:t>
      </w:r>
      <w:r w:rsidRPr="00AA590D">
        <w:rPr>
          <w:rFonts w:asciiTheme="minorHAnsi" w:hAnsiTheme="minorHAnsi" w:cstheme="minorHAnsi"/>
          <w:sz w:val="26"/>
          <w:szCs w:val="26"/>
        </w:rPr>
        <w:t xml:space="preserve"> meziročně </w:t>
      </w:r>
      <w:r w:rsidRPr="00AA590D">
        <w:rPr>
          <w:rFonts w:asciiTheme="minorHAnsi" w:hAnsiTheme="minorHAnsi" w:cstheme="minorHAnsi"/>
          <w:b/>
          <w:sz w:val="26"/>
          <w:szCs w:val="26"/>
        </w:rPr>
        <w:t>zvýšila</w:t>
      </w:r>
      <w:r w:rsidRPr="00AA590D">
        <w:rPr>
          <w:rFonts w:asciiTheme="minorHAnsi" w:hAnsiTheme="minorHAnsi" w:cstheme="minorHAnsi"/>
          <w:sz w:val="26"/>
          <w:szCs w:val="26"/>
        </w:rPr>
        <w:t xml:space="preserve"> o 8,7 % na </w:t>
      </w:r>
      <w:r w:rsidRPr="00AA590D">
        <w:rPr>
          <w:rFonts w:asciiTheme="minorHAnsi" w:hAnsiTheme="minorHAnsi" w:cstheme="minorHAnsi"/>
          <w:b/>
          <w:sz w:val="26"/>
          <w:szCs w:val="26"/>
        </w:rPr>
        <w:t>8 507 Kč</w:t>
      </w:r>
      <w:r w:rsidRPr="00AA590D">
        <w:rPr>
          <w:rFonts w:asciiTheme="minorHAnsi" w:hAnsiTheme="minorHAnsi" w:cstheme="minorHAnsi"/>
          <w:sz w:val="26"/>
          <w:szCs w:val="26"/>
        </w:rPr>
        <w:t xml:space="preserve"> měsíčně,</w:t>
      </w:r>
    </w:p>
    <w:p w:rsidR="008D5A3A" w:rsidRPr="00AA590D" w:rsidRDefault="008D5A3A" w:rsidP="008D5A3A">
      <w:pPr>
        <w:numPr>
          <w:ilvl w:val="0"/>
          <w:numId w:val="5"/>
        </w:numPr>
        <w:spacing w:after="24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bookmarkStart w:id="1" w:name="_Hlk61983593"/>
      <w:r w:rsidRPr="00AA590D">
        <w:rPr>
          <w:rFonts w:asciiTheme="minorHAnsi" w:hAnsiTheme="minorHAnsi" w:cstheme="minorHAnsi"/>
          <w:b/>
          <w:bCs/>
          <w:sz w:val="26"/>
          <w:szCs w:val="26"/>
        </w:rPr>
        <w:t>výdaje na ošetřovné se zvýšily o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 674,5 %</w:t>
      </w:r>
      <w:r w:rsidRPr="00AA590D">
        <w:rPr>
          <w:rFonts w:asciiTheme="minorHAnsi" w:hAnsiTheme="minorHAnsi" w:cstheme="minorHAnsi"/>
          <w:sz w:val="26"/>
          <w:szCs w:val="26"/>
        </w:rPr>
        <w:t xml:space="preserve"> (o 8,8 mld. Kč)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10,0 mld. Kč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AA590D">
        <w:rPr>
          <w:rFonts w:asciiTheme="minorHAnsi" w:hAnsiTheme="minorHAnsi" w:cstheme="minorHAnsi"/>
          <w:sz w:val="26"/>
          <w:szCs w:val="26"/>
        </w:rPr>
        <w:t xml:space="preserve"> Nárůst byl způsoben zejména přijatými sociálními opatřeními vlády v souvislosti s pandemií viru SARS-CoV-2,</w:t>
      </w:r>
    </w:p>
    <w:bookmarkEnd w:id="1"/>
    <w:p w:rsidR="00BA2373" w:rsidRPr="00AA590D" w:rsidRDefault="00BA2373" w:rsidP="006F4787">
      <w:pPr>
        <w:numPr>
          <w:ilvl w:val="0"/>
          <w:numId w:val="5"/>
        </w:numPr>
        <w:tabs>
          <w:tab w:val="left" w:pos="6435"/>
        </w:tabs>
        <w:spacing w:after="240" w:line="360" w:lineRule="auto"/>
        <w:ind w:left="35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/>
          <w:sz w:val="26"/>
          <w:szCs w:val="26"/>
        </w:rPr>
        <w:t>meziroční průměrný růst spotřebitelských cen</w:t>
      </w:r>
      <w:r w:rsidRPr="00AA590D">
        <w:rPr>
          <w:rFonts w:asciiTheme="minorHAnsi" w:hAnsiTheme="minorHAnsi" w:cstheme="minorHAnsi"/>
          <w:sz w:val="26"/>
          <w:szCs w:val="26"/>
        </w:rPr>
        <w:t xml:space="preserve"> (cenové inflace)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 xml:space="preserve">v lednu až září 2020 </w:t>
      </w:r>
      <w:r w:rsidRPr="00AA590D">
        <w:rPr>
          <w:rFonts w:asciiTheme="minorHAnsi" w:hAnsiTheme="minorHAnsi" w:cstheme="minorHAnsi"/>
          <w:b/>
          <w:sz w:val="26"/>
          <w:szCs w:val="26"/>
        </w:rPr>
        <w:t>dosáhl 3,3 %,</w:t>
      </w:r>
      <w:r w:rsidRPr="00AA590D">
        <w:rPr>
          <w:rFonts w:asciiTheme="minorHAnsi" w:hAnsiTheme="minorHAnsi" w:cstheme="minorHAnsi"/>
          <w:sz w:val="26"/>
          <w:szCs w:val="26"/>
        </w:rPr>
        <w:t xml:space="preserve"> přispělo k tomu zejména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zvýšení cen potravin, alkoholických nápojů, tabáku, elektrické energie, dovolených s komplexními službami a stravovacích služeb. </w:t>
      </w:r>
      <w:r w:rsidRPr="00AA590D">
        <w:rPr>
          <w:rFonts w:asciiTheme="minorHAnsi" w:hAnsiTheme="minorHAnsi" w:cstheme="minorHAnsi"/>
          <w:b/>
          <w:sz w:val="26"/>
          <w:szCs w:val="26"/>
        </w:rPr>
        <w:t>Domácnostem důchodců rostly ve sledovaném období životní náklady vyšším tempem</w:t>
      </w:r>
      <w:r w:rsidRPr="00AA590D">
        <w:rPr>
          <w:rFonts w:asciiTheme="minorHAnsi" w:hAnsiTheme="minorHAnsi" w:cstheme="minorHAnsi"/>
          <w:sz w:val="26"/>
          <w:szCs w:val="26"/>
        </w:rPr>
        <w:t xml:space="preserve"> (index 103,8 %)</w:t>
      </w:r>
      <w:r w:rsidR="002867F5" w:rsidRPr="00AA590D">
        <w:rPr>
          <w:rFonts w:asciiTheme="minorHAnsi" w:hAnsiTheme="minorHAnsi" w:cstheme="minorHAnsi"/>
          <w:sz w:val="26"/>
          <w:szCs w:val="26"/>
        </w:rPr>
        <w:t>,</w:t>
      </w:r>
    </w:p>
    <w:p w:rsidR="00BA2373" w:rsidRPr="00AA590D" w:rsidRDefault="00BA2373" w:rsidP="006F4787">
      <w:pPr>
        <w:numPr>
          <w:ilvl w:val="0"/>
          <w:numId w:val="6"/>
        </w:numPr>
        <w:spacing w:after="240" w:line="360" w:lineRule="auto"/>
        <w:ind w:left="35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celkový objem půjček domácností u bank </w:t>
      </w:r>
      <w:r w:rsidRPr="00AA590D">
        <w:rPr>
          <w:rFonts w:asciiTheme="minorHAnsi" w:hAnsiTheme="minorHAnsi" w:cstheme="minorHAnsi"/>
          <w:bCs/>
          <w:sz w:val="26"/>
          <w:szCs w:val="26"/>
        </w:rPr>
        <w:t>se meziročně zvýšil o 109,1 mld. Kč a</w:t>
      </w:r>
      <w:r w:rsidR="000D5C8D" w:rsidRPr="00AA590D">
        <w:rPr>
          <w:rFonts w:asciiTheme="minorHAnsi" w:hAnsiTheme="minorHAnsi" w:cstheme="minorHAnsi"/>
          <w:bCs/>
          <w:sz w:val="26"/>
          <w:szCs w:val="26"/>
        </w:rPr>
        <w:t> </w:t>
      </w:r>
      <w:r w:rsidRPr="00AA590D">
        <w:rPr>
          <w:rFonts w:asciiTheme="minorHAnsi" w:hAnsiTheme="minorHAnsi" w:cstheme="minorHAnsi"/>
          <w:bCs/>
          <w:sz w:val="26"/>
          <w:szCs w:val="26"/>
        </w:rPr>
        <w:t>k</w:t>
      </w:r>
      <w:r w:rsidR="009F3F8E" w:rsidRPr="00AA590D">
        <w:rPr>
          <w:rFonts w:asciiTheme="minorHAnsi" w:hAnsiTheme="minorHAnsi" w:cstheme="minorHAnsi"/>
          <w:bCs/>
          <w:sz w:val="26"/>
          <w:szCs w:val="26"/>
        </w:rPr>
        <w:t> 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30. 9. 2020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dosáhl 1 828,1 mld. Kč;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rozhodující část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představovaly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hypoteční a</w:t>
      </w:r>
      <w:r w:rsidR="009F3F8E" w:rsidRPr="00AA590D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jiné úvěry na bydlení </w:t>
      </w:r>
      <w:r w:rsidRPr="00AA590D">
        <w:rPr>
          <w:rFonts w:asciiTheme="minorHAnsi" w:hAnsiTheme="minorHAnsi" w:cstheme="minorHAnsi"/>
          <w:bCs/>
          <w:sz w:val="26"/>
          <w:szCs w:val="26"/>
        </w:rPr>
        <w:t>(přírůstek 97,9 mld. Kč, tj. o 7,5 % meziročně),</w:t>
      </w:r>
    </w:p>
    <w:p w:rsidR="00BA2373" w:rsidRPr="00AA590D" w:rsidRDefault="00BA2373" w:rsidP="006F4787">
      <w:pPr>
        <w:numPr>
          <w:ilvl w:val="0"/>
          <w:numId w:val="6"/>
        </w:numPr>
        <w:spacing w:after="240" w:line="360" w:lineRule="auto"/>
        <w:ind w:left="35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 xml:space="preserve">celková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AA590D">
        <w:rPr>
          <w:rFonts w:asciiTheme="minorHAnsi" w:hAnsiTheme="minorHAnsi" w:cstheme="minorHAnsi"/>
          <w:sz w:val="26"/>
          <w:szCs w:val="26"/>
        </w:rPr>
        <w:t xml:space="preserve"> bankovních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úspor domácností činila</w:t>
      </w:r>
      <w:r w:rsidRPr="00AA590D">
        <w:rPr>
          <w:rFonts w:asciiTheme="minorHAnsi" w:hAnsiTheme="minorHAnsi" w:cstheme="minorHAnsi"/>
          <w:sz w:val="26"/>
          <w:szCs w:val="26"/>
        </w:rPr>
        <w:t xml:space="preserve"> ke konci září 2020 podle dostupných údajů ČNB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2 960,5 mld. Kč; </w:t>
      </w:r>
      <w:r w:rsidRPr="00AA590D">
        <w:rPr>
          <w:rFonts w:asciiTheme="minorHAnsi" w:hAnsiTheme="minorHAnsi" w:cstheme="minorHAnsi"/>
          <w:sz w:val="26"/>
          <w:szCs w:val="26"/>
        </w:rPr>
        <w:t xml:space="preserve">domácnosti posílily zejména netermínovaná depozita </w:t>
      </w:r>
      <w:r w:rsidRPr="00AA590D">
        <w:rPr>
          <w:rFonts w:asciiTheme="minorHAnsi" w:hAnsiTheme="minorHAnsi" w:cstheme="minorHAnsi"/>
          <w:bCs/>
          <w:sz w:val="26"/>
          <w:szCs w:val="26"/>
        </w:rPr>
        <w:t>(meziroční přírůstek 335,5 mld. Kč)</w:t>
      </w:r>
      <w:r w:rsidR="000D5C8D" w:rsidRPr="00AA590D">
        <w:rPr>
          <w:rFonts w:asciiTheme="minorHAnsi" w:hAnsiTheme="minorHAnsi" w:cstheme="minorHAnsi"/>
          <w:bCs/>
          <w:sz w:val="26"/>
          <w:szCs w:val="26"/>
        </w:rPr>
        <w:t>.</w:t>
      </w:r>
    </w:p>
    <w:p w:rsidR="00411A7E" w:rsidRPr="00AA590D" w:rsidRDefault="00411A7E" w:rsidP="006F4787">
      <w:pPr>
        <w:pStyle w:val="Odstavecseseznamem"/>
        <w:numPr>
          <w:ilvl w:val="0"/>
          <w:numId w:val="6"/>
        </w:numPr>
      </w:pPr>
      <w:r w:rsidRPr="00AA590D">
        <w:br w:type="page"/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AA590D">
        <w:rPr>
          <w:rFonts w:asciiTheme="minorHAnsi" w:hAnsiTheme="minorHAnsi" w:cstheme="minorHAnsi"/>
          <w:i/>
          <w:iCs/>
          <w:sz w:val="26"/>
          <w:szCs w:val="26"/>
        </w:rPr>
        <w:t>Zpráva přináší v dalších částech základní charakteristiku a hodnocení souvislostí, které v lednu – září 2020 ovlivňovaly vývoj příjmů a výdajů domácností v České republice. Jejím hlavním cílem je vyjádřit především rozhodující tendence ve vývoji základních (dostupných) ukazatelů životní úrovně českých domácností.</w:t>
      </w:r>
    </w:p>
    <w:p w:rsidR="00BA2373" w:rsidRPr="00AA590D" w:rsidRDefault="00BA2373" w:rsidP="00411A7E">
      <w:pPr>
        <w:pStyle w:val="Zkladntextodsazen"/>
        <w:spacing w:after="240"/>
        <w:ind w:firstLine="0"/>
        <w:rPr>
          <w:rFonts w:asciiTheme="minorHAnsi" w:hAnsiTheme="minorHAnsi" w:cstheme="minorHAnsi"/>
          <w:i/>
          <w:iCs/>
          <w:sz w:val="26"/>
          <w:szCs w:val="26"/>
        </w:rPr>
      </w:pPr>
      <w:r w:rsidRPr="00AA590D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bCs/>
          <w:i/>
          <w:iCs/>
          <w:sz w:val="26"/>
          <w:szCs w:val="26"/>
        </w:rPr>
        <w:t>Analýza mzdového vývoje</w:t>
      </w:r>
      <w:r w:rsidRPr="00AA590D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i/>
          <w:iCs/>
          <w:sz w:val="26"/>
          <w:szCs w:val="26"/>
        </w:rPr>
        <w:t>byla</w:t>
      </w:r>
      <w:r w:rsidRPr="00AA590D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i/>
          <w:iCs/>
          <w:sz w:val="26"/>
          <w:szCs w:val="26"/>
        </w:rPr>
        <w:t>zpracována na základě údajů ČSÚ.</w:t>
      </w:r>
      <w:r w:rsidRPr="00AA590D">
        <w:rPr>
          <w:rFonts w:asciiTheme="minorHAnsi" w:hAnsiTheme="minorHAnsi" w:cstheme="minorHAnsi"/>
          <w:i/>
          <w:iCs/>
          <w:sz w:val="26"/>
          <w:szCs w:val="26"/>
        </w:rPr>
        <w:t xml:space="preserve"> Průměrná mzda byla vykazována na přepočtené počty zaměstnanců (zohledňující délku pracovního úvazku) v celém národním hospodářství (není-li v textu uvedeno jinak). Údaje o průměrné mzdě v členění na podnikatelskou a nepodnikatelskou sféru nejsou již od referenčního roku 2017 k dispozici vzhledem ke změně metodiky národního účetnictví (povinný přechod z metodiky ESA 1995 na ESA 2010), proto je ČSÚ přestal publikovat. Data za jednotlivé regiony byla získána tzv. </w:t>
      </w:r>
      <w:proofErr w:type="spellStart"/>
      <w:r w:rsidRPr="00AA590D">
        <w:rPr>
          <w:rFonts w:asciiTheme="minorHAnsi" w:hAnsiTheme="minorHAnsi" w:cstheme="minorHAnsi"/>
          <w:i/>
          <w:iCs/>
          <w:sz w:val="26"/>
          <w:szCs w:val="26"/>
        </w:rPr>
        <w:t>pracovištní</w:t>
      </w:r>
      <w:proofErr w:type="spellEnd"/>
      <w:r w:rsidRPr="00AA590D">
        <w:rPr>
          <w:rFonts w:asciiTheme="minorHAnsi" w:hAnsiTheme="minorHAnsi" w:cstheme="minorHAnsi"/>
          <w:i/>
          <w:iCs/>
          <w:sz w:val="26"/>
          <w:szCs w:val="26"/>
        </w:rPr>
        <w:t xml:space="preserve"> metodou – tj. podle místa skutečného pracoviště zaměstnanců. 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AA590D">
        <w:rPr>
          <w:rFonts w:asciiTheme="minorHAnsi" w:hAnsiTheme="minorHAnsi" w:cstheme="minorHAnsi"/>
          <w:i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bCs/>
          <w:i/>
          <w:sz w:val="26"/>
          <w:szCs w:val="26"/>
        </w:rPr>
        <w:t>Od ČSÚ byla převzata rovněž data o hrubém domácím produktu,</w:t>
      </w:r>
      <w:r w:rsidRPr="00AA590D">
        <w:rPr>
          <w:rFonts w:asciiTheme="minorHAnsi" w:hAnsiTheme="minorHAnsi" w:cstheme="minorHAnsi"/>
          <w:bCs/>
          <w:i/>
          <w:sz w:val="26"/>
          <w:szCs w:val="26"/>
        </w:rPr>
        <w:t xml:space="preserve"> statistice </w:t>
      </w:r>
      <w:r w:rsidRPr="00AA590D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národních účtů, úhrnné produktivitě práce a indexu spotřebitelských cen </w:t>
      </w:r>
      <w:r w:rsidRPr="00AA590D">
        <w:rPr>
          <w:rFonts w:asciiTheme="minorHAnsi" w:hAnsiTheme="minorHAnsi" w:cstheme="minorHAnsi"/>
          <w:bCs/>
          <w:i/>
          <w:sz w:val="26"/>
          <w:szCs w:val="26"/>
        </w:rPr>
        <w:t>(životních nákladů).</w:t>
      </w:r>
      <w:r w:rsidRPr="00AA590D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i/>
          <w:sz w:val="26"/>
          <w:szCs w:val="26"/>
        </w:rPr>
        <w:tab/>
        <w:t>Analýza bankovních vkladů a úvěrů</w:t>
      </w:r>
      <w:r w:rsidRPr="00AA590D">
        <w:rPr>
          <w:rFonts w:asciiTheme="minorHAnsi" w:hAnsiTheme="minorHAnsi" w:cstheme="minorHAnsi"/>
          <w:i/>
          <w:sz w:val="26"/>
          <w:szCs w:val="26"/>
        </w:rPr>
        <w:t xml:space="preserve"> domácností </w:t>
      </w:r>
      <w:r w:rsidRPr="00AA590D">
        <w:rPr>
          <w:rFonts w:asciiTheme="minorHAnsi" w:hAnsiTheme="minorHAnsi" w:cstheme="minorHAnsi"/>
          <w:b/>
          <w:bCs/>
          <w:i/>
          <w:sz w:val="26"/>
          <w:szCs w:val="26"/>
        </w:rPr>
        <w:t>byla založena na rozboru údajů ČNB.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A590D">
        <w:rPr>
          <w:rFonts w:asciiTheme="minorHAnsi" w:hAnsiTheme="minorHAnsi" w:cstheme="minorHAnsi"/>
          <w:i/>
          <w:iCs/>
          <w:sz w:val="26"/>
          <w:szCs w:val="26"/>
        </w:rPr>
        <w:tab/>
        <w:t>Při zpracování materiálu byla taktéž použita data a analýzy: MPSV, ČSSZ, TREXIMA a odborného tisku.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A590D">
        <w:rPr>
          <w:rFonts w:asciiTheme="minorHAnsi" w:hAnsiTheme="minorHAnsi" w:cstheme="minorHAnsi"/>
          <w:i/>
          <w:iCs/>
          <w:sz w:val="26"/>
          <w:szCs w:val="26"/>
        </w:rPr>
        <w:tab/>
        <w:t>Podrobnější zhodnocení vývoje bude předmětem analýzy těchto atributů za celý rok 2020, která bude předložena vládě koncem dubna letošního roku.</w:t>
      </w:r>
    </w:p>
    <w:p w:rsidR="00BA2373" w:rsidRPr="00AA590D" w:rsidRDefault="00BA2373" w:rsidP="00411A7E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</w:p>
    <w:p w:rsidR="00BA2373" w:rsidRPr="00AA590D" w:rsidRDefault="00BA2373" w:rsidP="00411A7E">
      <w:pPr>
        <w:spacing w:after="240" w:line="360" w:lineRule="auto"/>
        <w:rPr>
          <w:rFonts w:asciiTheme="minorHAnsi" w:hAnsiTheme="minorHAnsi"/>
          <w:i/>
          <w:iCs/>
          <w:sz w:val="26"/>
          <w:szCs w:val="26"/>
          <w:u w:val="single"/>
        </w:rPr>
      </w:pPr>
      <w:r w:rsidRPr="00AA590D">
        <w:rPr>
          <w:rFonts w:asciiTheme="minorHAnsi" w:hAnsiTheme="minorHAnsi"/>
          <w:i/>
          <w:iCs/>
          <w:sz w:val="26"/>
          <w:szCs w:val="26"/>
          <w:u w:val="single"/>
        </w:rPr>
        <w:t>Zpráva obsahuje data platná k 15. lednu 2021.</w:t>
      </w:r>
    </w:p>
    <w:p w:rsidR="00411A7E" w:rsidRPr="00AA590D" w:rsidRDefault="00411A7E" w:rsidP="00411A7E">
      <w:r w:rsidRPr="00AA590D">
        <w:br w:type="page"/>
      </w:r>
    </w:p>
    <w:p w:rsidR="004621C0" w:rsidRPr="00AA590D" w:rsidRDefault="004621C0" w:rsidP="00BF2E3D">
      <w:pPr>
        <w:pStyle w:val="Nadpis1"/>
        <w:numPr>
          <w:ilvl w:val="0"/>
          <w:numId w:val="0"/>
        </w:numPr>
        <w:spacing w:after="240"/>
        <w:rPr>
          <w:rFonts w:asciiTheme="minorHAnsi" w:hAnsiTheme="minorHAnsi"/>
          <w:sz w:val="44"/>
        </w:rPr>
      </w:pPr>
      <w:r w:rsidRPr="00AA590D">
        <w:rPr>
          <w:rFonts w:asciiTheme="minorHAnsi" w:hAnsiTheme="minorHAnsi"/>
          <w:sz w:val="44"/>
        </w:rPr>
        <w:lastRenderedPageBreak/>
        <w:t>1. Příjmy domácností</w:t>
      </w:r>
    </w:p>
    <w:p w:rsidR="004621C0" w:rsidRPr="00AA590D" w:rsidRDefault="004621C0" w:rsidP="00BF2E3D">
      <w:pPr>
        <w:spacing w:after="240" w:line="360" w:lineRule="auto"/>
        <w:rPr>
          <w:rFonts w:asciiTheme="minorHAnsi" w:hAnsiTheme="minorHAnsi"/>
          <w:b/>
          <w:bCs/>
          <w:i/>
          <w:iCs/>
          <w:sz w:val="40"/>
        </w:rPr>
      </w:pPr>
      <w:r w:rsidRPr="00AA590D">
        <w:rPr>
          <w:rFonts w:asciiTheme="minorHAnsi" w:hAnsiTheme="minorHAnsi"/>
          <w:b/>
          <w:bCs/>
          <w:i/>
          <w:iCs/>
          <w:sz w:val="40"/>
        </w:rPr>
        <w:t>1. 1 Základní charakteristika</w:t>
      </w:r>
    </w:p>
    <w:p w:rsidR="00F574F6" w:rsidRPr="00AA590D" w:rsidRDefault="00F574F6" w:rsidP="00BF2E3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Běžné příjmy </w:t>
      </w:r>
      <w:r w:rsidRPr="00AA590D">
        <w:rPr>
          <w:rFonts w:asciiTheme="minorHAnsi" w:hAnsiTheme="minorHAnsi" w:cstheme="minorHAnsi"/>
          <w:sz w:val="26"/>
          <w:szCs w:val="26"/>
        </w:rPr>
        <w:t>sektoru domácností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>(podle statistiky národních účtů)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dosáhly </w:t>
      </w:r>
      <w:r w:rsidRPr="00AA590D">
        <w:rPr>
          <w:rFonts w:asciiTheme="minorHAnsi" w:hAnsiTheme="minorHAnsi" w:cstheme="minorHAnsi"/>
          <w:sz w:val="26"/>
          <w:szCs w:val="26"/>
        </w:rPr>
        <w:t xml:space="preserve">celkové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3 524,5 mld. Kč.</w:t>
      </w:r>
      <w:r w:rsidRPr="00AA590D">
        <w:rPr>
          <w:rFonts w:asciiTheme="minorHAnsi" w:hAnsiTheme="minorHAnsi" w:cstheme="minorHAnsi"/>
          <w:sz w:val="26"/>
          <w:szCs w:val="26"/>
        </w:rPr>
        <w:t xml:space="preserve"> Meziročně tak </w:t>
      </w:r>
      <w:r w:rsidRPr="00AA590D">
        <w:rPr>
          <w:rFonts w:asciiTheme="minorHAnsi" w:hAnsiTheme="minorHAnsi" w:cstheme="minorHAnsi"/>
          <w:b/>
          <w:sz w:val="26"/>
          <w:szCs w:val="26"/>
        </w:rPr>
        <w:t>vzrostly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nominálně o 2,6 %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(+90,1 mld. Kč)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ale reálně poklesly o 0,7 %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(při poklesu hrubého domácího produktu ve stálých cenách o 5,9 %)</w:t>
      </w:r>
      <w:r w:rsidRPr="00AA590D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F574F6" w:rsidRPr="00AA590D" w:rsidRDefault="00F574F6" w:rsidP="00BF2E3D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reálném poklesu</w:t>
      </w:r>
      <w:r w:rsidRPr="00AA590D">
        <w:rPr>
          <w:rFonts w:asciiTheme="minorHAnsi" w:hAnsiTheme="minorHAnsi" w:cstheme="minorHAnsi"/>
          <w:sz w:val="26"/>
          <w:szCs w:val="26"/>
        </w:rPr>
        <w:t xml:space="preserve"> úhrnného objemu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běžných příjmů </w:t>
      </w:r>
      <w:r w:rsidRPr="00AA590D">
        <w:rPr>
          <w:rFonts w:asciiTheme="minorHAnsi" w:hAnsiTheme="minorHAnsi" w:cstheme="minorHAnsi"/>
          <w:b/>
          <w:sz w:val="26"/>
          <w:szCs w:val="26"/>
        </w:rPr>
        <w:t>se</w:t>
      </w:r>
      <w:r w:rsidRPr="00AA590D">
        <w:rPr>
          <w:rFonts w:asciiTheme="minorHAnsi" w:hAnsiTheme="minorHAnsi" w:cstheme="minorHAnsi"/>
          <w:sz w:val="26"/>
          <w:szCs w:val="26"/>
        </w:rPr>
        <w:t xml:space="preserve"> 44 %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podílely náhrady zaměstnancům </w:t>
      </w:r>
      <w:r w:rsidRPr="00AA590D">
        <w:rPr>
          <w:rFonts w:asciiTheme="minorHAnsi" w:hAnsiTheme="minorHAnsi" w:cstheme="minorHAnsi"/>
          <w:bCs/>
          <w:sz w:val="26"/>
          <w:szCs w:val="26"/>
        </w:rPr>
        <w:t>(pokles o 2,2 %). Přibližně 25 % a 23 % se na poklesu reálných příjmů podílely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ostatní běžné transfery </w:t>
      </w:r>
      <w:r w:rsidRPr="00AA590D">
        <w:rPr>
          <w:rFonts w:asciiTheme="minorHAnsi" w:hAnsiTheme="minorHAnsi" w:cstheme="minorHAnsi"/>
          <w:sz w:val="26"/>
          <w:szCs w:val="26"/>
        </w:rPr>
        <w:t>(-10,1 %)</w:t>
      </w:r>
      <w:r w:rsidRPr="00AA590D">
        <w:rPr>
          <w:rFonts w:asciiTheme="minorHAnsi" w:hAnsiTheme="minorHAnsi" w:cstheme="minorHAnsi"/>
          <w:b/>
          <w:sz w:val="26"/>
          <w:szCs w:val="26"/>
        </w:rPr>
        <w:t> </w:t>
      </w:r>
      <w:r w:rsidRPr="00AA590D">
        <w:rPr>
          <w:rFonts w:asciiTheme="minorHAnsi" w:hAnsiTheme="minorHAnsi" w:cstheme="minorHAnsi"/>
          <w:sz w:val="26"/>
          <w:szCs w:val="26"/>
        </w:rPr>
        <w:t xml:space="preserve">– jedná se o náhrady z neživotního pojištění, výhry ze sázek a loterií apod. a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smíšený důchod</w:t>
      </w:r>
      <w:r w:rsidRPr="00AA590D">
        <w:rPr>
          <w:rFonts w:asciiTheme="minorHAnsi" w:hAnsiTheme="minorHAnsi" w:cstheme="minorHAnsi"/>
          <w:sz w:val="26"/>
          <w:szCs w:val="26"/>
        </w:rPr>
        <w:t xml:space="preserve"> (zahrnující zejména příjmy z podnikatelských aktivit -3,6 %). V menší míře pak na něm participovaly </w:t>
      </w:r>
      <w:r w:rsidRPr="00AA590D">
        <w:rPr>
          <w:rFonts w:asciiTheme="minorHAnsi" w:hAnsiTheme="minorHAnsi" w:cstheme="minorHAnsi"/>
          <w:b/>
          <w:sz w:val="26"/>
          <w:szCs w:val="26"/>
        </w:rPr>
        <w:t>důchod</w:t>
      </w:r>
      <w:r w:rsidR="00A97A5F" w:rsidRPr="00AA590D">
        <w:rPr>
          <w:rFonts w:asciiTheme="minorHAnsi" w:hAnsiTheme="minorHAnsi" w:cstheme="minorHAnsi"/>
          <w:b/>
          <w:sz w:val="26"/>
          <w:szCs w:val="26"/>
        </w:rPr>
        <w:t>y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 z vlastnictví</w:t>
      </w:r>
      <w:r w:rsidRPr="00AA590D">
        <w:rPr>
          <w:rFonts w:asciiTheme="minorHAnsi" w:hAnsiTheme="minorHAnsi" w:cstheme="minorHAnsi"/>
          <w:sz w:val="26"/>
          <w:szCs w:val="26"/>
        </w:rPr>
        <w:t xml:space="preserve"> (-5,5 %). Naopak </w:t>
      </w:r>
      <w:r w:rsidRPr="00AA590D">
        <w:rPr>
          <w:rFonts w:asciiTheme="minorHAnsi" w:hAnsiTheme="minorHAnsi" w:cstheme="minorHAnsi"/>
          <w:b/>
          <w:sz w:val="26"/>
          <w:szCs w:val="26"/>
        </w:rPr>
        <w:t>vzrostla kupní síla sociálních dávek</w:t>
      </w:r>
      <w:r w:rsidRPr="00AA590D">
        <w:rPr>
          <w:rFonts w:asciiTheme="minorHAnsi" w:hAnsiTheme="minorHAnsi" w:cstheme="minorHAnsi"/>
          <w:sz w:val="26"/>
          <w:szCs w:val="26"/>
        </w:rPr>
        <w:t xml:space="preserve"> (+13,4 %).</w:t>
      </w:r>
    </w:p>
    <w:p w:rsidR="00F574F6" w:rsidRPr="00AA590D" w:rsidRDefault="00F574F6" w:rsidP="00BF2E3D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574F6" w:rsidRPr="00AA590D" w:rsidRDefault="00F574F6" w:rsidP="00BF2E3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ab/>
        <w:t xml:space="preserve">Po odpočtu běžných výdajů (především daní z příjmů a příspěvků na sociální a zdravotní pojištění) zůstal sektoru domácností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úhrnný disponibilní důchod </w:t>
      </w:r>
      <w:r w:rsidRPr="00AA590D">
        <w:rPr>
          <w:rFonts w:asciiTheme="minorHAnsi" w:hAnsiTheme="minorHAnsi" w:cstheme="minorHAnsi"/>
          <w:sz w:val="26"/>
          <w:szCs w:val="26"/>
        </w:rPr>
        <w:t>v částce 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2 311,9 mld. Kč,</w:t>
      </w:r>
      <w:r w:rsidRPr="00AA590D">
        <w:rPr>
          <w:rFonts w:asciiTheme="minorHAnsi" w:hAnsiTheme="minorHAnsi" w:cstheme="minorHAnsi"/>
          <w:sz w:val="26"/>
          <w:szCs w:val="26"/>
        </w:rPr>
        <w:t xml:space="preserve"> což bylo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reálně o 1,5 % více </w:t>
      </w:r>
      <w:r w:rsidRPr="00AA590D">
        <w:rPr>
          <w:rFonts w:asciiTheme="minorHAnsi" w:hAnsiTheme="minorHAnsi" w:cstheme="minorHAnsi"/>
          <w:sz w:val="26"/>
          <w:szCs w:val="26"/>
        </w:rPr>
        <w:t>než ve srovnatelném období předchozího roku (kdy se kupní síla jeho objemu meziročně zvýšila o 3,3 %).</w:t>
      </w:r>
    </w:p>
    <w:p w:rsidR="00F574F6" w:rsidRPr="00AA590D" w:rsidRDefault="00F574F6" w:rsidP="00BF2E3D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sz w:val="26"/>
          <w:szCs w:val="26"/>
        </w:rPr>
        <w:t>Relace disponibilního důchodu k objemu hrubého domácího produktu</w:t>
      </w:r>
      <w:r w:rsidRPr="00AA590D">
        <w:rPr>
          <w:rFonts w:asciiTheme="minorHAnsi" w:hAnsiTheme="minorHAnsi" w:cstheme="minorHAnsi"/>
          <w:sz w:val="26"/>
          <w:szCs w:val="26"/>
        </w:rPr>
        <w:t xml:space="preserve"> (v běžných cenách) meziročně </w:t>
      </w:r>
      <w:r w:rsidRPr="00AA590D">
        <w:rPr>
          <w:rFonts w:asciiTheme="minorHAnsi" w:hAnsiTheme="minorHAnsi" w:cstheme="minorHAnsi"/>
          <w:b/>
          <w:sz w:val="26"/>
          <w:szCs w:val="26"/>
        </w:rPr>
        <w:t>stoupla</w:t>
      </w:r>
      <w:r w:rsidRPr="00AA590D">
        <w:rPr>
          <w:rFonts w:asciiTheme="minorHAnsi" w:hAnsiTheme="minorHAnsi" w:cstheme="minorHAnsi"/>
          <w:sz w:val="26"/>
          <w:szCs w:val="26"/>
        </w:rPr>
        <w:t xml:space="preserve"> o 3,6 p. b. na </w:t>
      </w:r>
      <w:r w:rsidRPr="00AA590D">
        <w:rPr>
          <w:rFonts w:asciiTheme="minorHAnsi" w:hAnsiTheme="minorHAnsi" w:cstheme="minorHAnsi"/>
          <w:b/>
          <w:sz w:val="26"/>
          <w:szCs w:val="26"/>
        </w:rPr>
        <w:t>55,0 %.</w:t>
      </w:r>
    </w:p>
    <w:p w:rsidR="00F574F6" w:rsidRPr="00AA590D" w:rsidRDefault="00F574F6" w:rsidP="00BF2E3D">
      <w:pPr>
        <w:spacing w:after="240" w:line="360" w:lineRule="auto"/>
        <w:jc w:val="both"/>
      </w:pPr>
      <w:r w:rsidRPr="00AA590D">
        <w:rPr>
          <w:rFonts w:asciiTheme="minorHAnsi" w:hAnsiTheme="minorHAnsi" w:cstheme="minorHAnsi"/>
          <w:sz w:val="26"/>
          <w:szCs w:val="26"/>
        </w:rPr>
        <w:tab/>
        <w:t>Podrobnější číselné údaje o vývoji ukazatelů v sektoru domácností jsou součástí tabulky č. 1 v příloze.</w:t>
      </w:r>
    </w:p>
    <w:p w:rsidR="004621C0" w:rsidRPr="00AA590D" w:rsidRDefault="004621C0" w:rsidP="004621C0">
      <w:r w:rsidRPr="00AA590D">
        <w:br w:type="page"/>
      </w:r>
    </w:p>
    <w:p w:rsidR="00D97A60" w:rsidRPr="00AA590D" w:rsidRDefault="00D97A60" w:rsidP="00806A37">
      <w:pPr>
        <w:spacing w:after="240" w:line="360" w:lineRule="auto"/>
        <w:rPr>
          <w:rFonts w:asciiTheme="minorHAnsi" w:hAnsiTheme="minorHAnsi" w:cs="Arial"/>
          <w:b/>
          <w:i/>
          <w:sz w:val="40"/>
          <w:szCs w:val="40"/>
        </w:rPr>
      </w:pPr>
      <w:r w:rsidRPr="00AA590D">
        <w:rPr>
          <w:rFonts w:asciiTheme="minorHAnsi" w:hAnsiTheme="minorHAnsi" w:cs="Arial"/>
          <w:b/>
          <w:i/>
          <w:sz w:val="40"/>
          <w:szCs w:val="40"/>
        </w:rPr>
        <w:lastRenderedPageBreak/>
        <w:t>1. 2 Mzdy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 w:rsidRPr="00AA590D">
        <w:rPr>
          <w:rFonts w:ascii="Calibri" w:hAnsi="Calibri" w:cs="Calibri"/>
          <w:sz w:val="26"/>
          <w:szCs w:val="26"/>
        </w:rPr>
        <w:tab/>
      </w:r>
      <w:r w:rsidRPr="00AA590D">
        <w:rPr>
          <w:rFonts w:ascii="Calibri" w:hAnsi="Calibri" w:cs="Calibri"/>
          <w:b/>
          <w:sz w:val="26"/>
          <w:szCs w:val="26"/>
        </w:rPr>
        <w:t>Rozhodující část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Cs/>
          <w:sz w:val="26"/>
          <w:szCs w:val="26"/>
        </w:rPr>
        <w:t>peněžních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příjmů domácností </w:t>
      </w:r>
      <w:r w:rsidRPr="00AA590D">
        <w:rPr>
          <w:rFonts w:ascii="Calibri" w:hAnsi="Calibri" w:cs="Calibri"/>
          <w:bCs/>
          <w:sz w:val="26"/>
          <w:szCs w:val="26"/>
        </w:rPr>
        <w:t>tvořily</w:t>
      </w:r>
      <w:r w:rsidRPr="00AA590D">
        <w:rPr>
          <w:rFonts w:ascii="Calibri" w:hAnsi="Calibri" w:cs="Calibri"/>
          <w:b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mzdy.</w:t>
      </w:r>
      <w:r w:rsidRPr="00AA590D">
        <w:rPr>
          <w:rFonts w:ascii="Calibri" w:hAnsi="Calibri" w:cs="Calibri"/>
          <w:bCs/>
          <w:sz w:val="26"/>
          <w:szCs w:val="26"/>
        </w:rPr>
        <w:t xml:space="preserve"> Celkový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objem mzdových prostředků </w:t>
      </w:r>
      <w:r w:rsidRPr="00AA590D">
        <w:rPr>
          <w:rFonts w:ascii="Calibri" w:hAnsi="Calibri" w:cs="Calibri"/>
          <w:sz w:val="26"/>
          <w:szCs w:val="26"/>
        </w:rPr>
        <w:t xml:space="preserve">(bez ostatních osobních nákladů) zúčtovaný všem zaměstnancům k výplatě za celé národní hospodářství dosáhl </w:t>
      </w:r>
      <w:r w:rsidRPr="00AA590D">
        <w:rPr>
          <w:rFonts w:ascii="Calibri" w:hAnsi="Calibri" w:cs="Calibri"/>
          <w:b/>
          <w:sz w:val="26"/>
          <w:szCs w:val="26"/>
        </w:rPr>
        <w:t>za 1. </w:t>
      </w:r>
      <w:r w:rsidRPr="00AA590D">
        <w:rPr>
          <w:rFonts w:ascii="Calibri" w:hAnsi="Calibri" w:cs="Calibri"/>
          <w:b/>
          <w:sz w:val="26"/>
          <w:szCs w:val="26"/>
        </w:rPr>
        <w:noBreakHyphen/>
        <w:t> 3. čtvrtletí loňského roku 1 239,0</w:t>
      </w:r>
      <w:r w:rsidRPr="00AA590D">
        <w:rPr>
          <w:rFonts w:ascii="Calibri" w:hAnsi="Calibri" w:cs="Calibri"/>
          <w:b/>
          <w:bCs/>
          <w:sz w:val="26"/>
          <w:szCs w:val="26"/>
        </w:rPr>
        <w:t> mld. Kč</w:t>
      </w:r>
      <w:r w:rsidRPr="00AA590D">
        <w:rPr>
          <w:rFonts w:ascii="Calibri" w:hAnsi="Calibri" w:cs="Calibri"/>
          <w:sz w:val="26"/>
          <w:szCs w:val="26"/>
        </w:rPr>
        <w:t xml:space="preserve"> a byl tak nominálně </w:t>
      </w:r>
      <w:r w:rsidRPr="00AA590D">
        <w:rPr>
          <w:rFonts w:ascii="Calibri" w:hAnsi="Calibri" w:cs="Calibri"/>
          <w:b/>
          <w:bCs/>
          <w:sz w:val="26"/>
          <w:szCs w:val="26"/>
        </w:rPr>
        <w:t>o 1</w:t>
      </w:r>
      <w:r w:rsidRPr="00AA590D">
        <w:rPr>
          <w:rFonts w:ascii="Calibri" w:hAnsi="Calibri" w:cs="Calibri"/>
          <w:b/>
          <w:sz w:val="26"/>
          <w:szCs w:val="26"/>
        </w:rPr>
        <w:t>,0 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% vyšší </w:t>
      </w:r>
      <w:r w:rsidRPr="00AA590D">
        <w:rPr>
          <w:rFonts w:ascii="Calibri" w:hAnsi="Calibri" w:cs="Calibri"/>
          <w:sz w:val="26"/>
          <w:szCs w:val="26"/>
        </w:rPr>
        <w:t>než ve stejném období roku 2019.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/>
          <w:iCs/>
          <w:sz w:val="26"/>
          <w:szCs w:val="26"/>
        </w:rPr>
      </w:pPr>
      <w:r w:rsidRPr="00AA590D">
        <w:rPr>
          <w:rFonts w:ascii="Calibri" w:hAnsi="Calibri" w:cs="Calibri"/>
          <w:sz w:val="26"/>
          <w:szCs w:val="26"/>
        </w:rPr>
        <w:tab/>
      </w:r>
      <w:r w:rsidRPr="00AA590D">
        <w:rPr>
          <w:rFonts w:ascii="Calibri" w:hAnsi="Calibri" w:cs="Calibri"/>
          <w:b/>
          <w:iCs/>
          <w:sz w:val="26"/>
          <w:szCs w:val="26"/>
        </w:rPr>
        <w:t>Průměrná hrubá měsíční nominální mzda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na přepočtené počty zaměstnanců </w:t>
      </w:r>
      <w:r w:rsidRPr="00AA590D">
        <w:rPr>
          <w:rFonts w:ascii="Calibri" w:hAnsi="Calibri" w:cs="Calibri"/>
          <w:b/>
          <w:iCs/>
          <w:sz w:val="26"/>
          <w:szCs w:val="26"/>
        </w:rPr>
        <w:t>v národním hospodářství dosáhla v 1. </w:t>
      </w:r>
      <w:r w:rsidRPr="00AA590D">
        <w:rPr>
          <w:rFonts w:ascii="Calibri" w:hAnsi="Calibri" w:cs="Calibri"/>
          <w:b/>
          <w:iCs/>
          <w:sz w:val="26"/>
          <w:szCs w:val="26"/>
        </w:rPr>
        <w:noBreakHyphen/>
        <w:t> 3. čtvrtletí 2020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iCs/>
          <w:sz w:val="26"/>
          <w:szCs w:val="26"/>
        </w:rPr>
        <w:t>výše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iCs/>
          <w:sz w:val="26"/>
          <w:szCs w:val="26"/>
        </w:rPr>
        <w:t>34 611 Kč</w:t>
      </w:r>
      <w:r w:rsidRPr="00AA590D">
        <w:rPr>
          <w:rFonts w:ascii="Calibri" w:hAnsi="Calibri" w:cs="Calibri"/>
          <w:iCs/>
          <w:sz w:val="26"/>
          <w:szCs w:val="26"/>
        </w:rPr>
        <w:t xml:space="preserve">, což představovalo </w:t>
      </w:r>
      <w:r w:rsidRPr="00AA590D">
        <w:rPr>
          <w:rFonts w:ascii="Calibri" w:hAnsi="Calibri" w:cs="Calibri"/>
          <w:b/>
          <w:iCs/>
          <w:sz w:val="26"/>
          <w:szCs w:val="26"/>
        </w:rPr>
        <w:t>meziroční nominální</w:t>
      </w:r>
      <w:r w:rsidRPr="00AA590D">
        <w:rPr>
          <w:rFonts w:ascii="Calibri" w:hAnsi="Calibri" w:cs="Calibri"/>
          <w:iCs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iCs/>
          <w:sz w:val="26"/>
          <w:szCs w:val="26"/>
        </w:rPr>
        <w:t>nárůst o 3,6 %</w:t>
      </w:r>
      <w:r w:rsidRPr="00AA590D">
        <w:rPr>
          <w:rFonts w:ascii="Calibri" w:hAnsi="Calibri" w:cs="Calibri"/>
          <w:bCs/>
          <w:iCs/>
          <w:sz w:val="26"/>
          <w:szCs w:val="26"/>
        </w:rPr>
        <w:t>, tj. o 1 188 Kč. Spotřebitelské ceny se v porovnání se stejným obdobím předchozího roku zvýšily o 3,3 % (v 1. </w:t>
      </w:r>
      <w:r w:rsidRPr="00AA590D">
        <w:rPr>
          <w:rFonts w:ascii="Calibri" w:hAnsi="Calibri" w:cs="Calibri"/>
          <w:bCs/>
          <w:iCs/>
          <w:sz w:val="26"/>
          <w:szCs w:val="26"/>
        </w:rPr>
        <w:noBreakHyphen/>
        <w:t xml:space="preserve"> 3. čtvrtletí 2019 stouply o 2,8 %),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průměrná reálná mzda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tedy vzhledem k míře cenové inflace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vzrostla o 0,3 %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(v 1. </w:t>
      </w:r>
      <w:r w:rsidRPr="00AA590D">
        <w:rPr>
          <w:rFonts w:ascii="Calibri" w:hAnsi="Calibri" w:cs="Calibri"/>
          <w:bCs/>
          <w:iCs/>
          <w:sz w:val="26"/>
          <w:szCs w:val="26"/>
        </w:rPr>
        <w:noBreakHyphen/>
        <w:t xml:space="preserve"> 3. čtvrtletí 2019 se zvýšila nominálně o 6,5 %, reálně o 3,6 %). </w:t>
      </w:r>
      <w:r w:rsidRPr="00AA590D">
        <w:rPr>
          <w:rFonts w:ascii="Calibri" w:hAnsi="Calibri" w:cs="Calibri"/>
          <w:b/>
          <w:iCs/>
          <w:sz w:val="26"/>
          <w:szCs w:val="26"/>
        </w:rPr>
        <w:t xml:space="preserve">Dynamika růstu mezd se v hodnoceném období druhým rokem po sobě snížila. 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Na uvedený vývoj měla v rozhodující míře vliv zavedená restriktivní omezení ekonomické činnosti ve vybraných odvětvích v souvislosti s pandemií </w:t>
      </w:r>
      <w:r w:rsidR="000D5C8D" w:rsidRPr="00AA590D">
        <w:rPr>
          <w:rFonts w:ascii="Calibri" w:hAnsi="Calibri" w:cs="Calibri"/>
          <w:bCs/>
          <w:iCs/>
          <w:sz w:val="26"/>
          <w:szCs w:val="26"/>
        </w:rPr>
        <w:t xml:space="preserve">viru SARS-CoV-2 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ve 2. čtvrtletí 2020. Nižší tempo nominálního růstu mezd a zejména vyšší míra inflace zapříčinily jen </w:t>
      </w:r>
      <w:r w:rsidRPr="00AA590D">
        <w:rPr>
          <w:rFonts w:ascii="Calibri" w:hAnsi="Calibri" w:cs="Calibri"/>
          <w:b/>
          <w:iCs/>
          <w:sz w:val="26"/>
          <w:szCs w:val="26"/>
        </w:rPr>
        <w:t>velmi mírné posílení kupní síly výdělků.</w:t>
      </w:r>
    </w:p>
    <w:p w:rsidR="006D20CE" w:rsidRPr="00AA590D" w:rsidRDefault="00806A37" w:rsidP="00806A37">
      <w:pPr>
        <w:spacing w:after="240" w:line="360" w:lineRule="auto"/>
        <w:jc w:val="both"/>
        <w:rPr>
          <w:rFonts w:ascii="Calibri" w:hAnsi="Calibri" w:cs="Calibri"/>
          <w:bCs/>
          <w:iCs/>
          <w:sz w:val="26"/>
          <w:szCs w:val="26"/>
        </w:rPr>
      </w:pPr>
      <w:r w:rsidRPr="00AA590D">
        <w:rPr>
          <w:rFonts w:ascii="Calibri" w:hAnsi="Calibri" w:cs="Calibri"/>
          <w:b/>
          <w:iCs/>
          <w:sz w:val="26"/>
          <w:szCs w:val="26"/>
        </w:rPr>
        <w:tab/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>V samotném 3. čtvrtletí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 loňského roku, ve kterém došlo k takřka plnému obnovení ekonomické aktivity před jejím následným opětovným omezením v důsledku nástupu tzv. druhé vlny pandemie, </w:t>
      </w:r>
      <w:r w:rsidR="006D20CE" w:rsidRPr="00AA590D">
        <w:rPr>
          <w:rFonts w:ascii="Calibri" w:hAnsi="Calibri" w:cs="Calibri"/>
          <w:b/>
          <w:iCs/>
          <w:sz w:val="26"/>
          <w:szCs w:val="26"/>
        </w:rPr>
        <w:t xml:space="preserve">bylo zaznamenáno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>o 1,5 p. b. vyšší tempo růstu průměrné nominální mzdy než souhrnně v 1. 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noBreakHyphen/>
        <w:t> 3. čtvrtletí – meziročně o 5,1 % a reálně o 1,7 %. Průměrná hrubá měsíční nominální mzda</w:t>
      </w:r>
      <w:r w:rsidR="006D20CE" w:rsidRPr="00AA590D">
        <w:rPr>
          <w:rFonts w:ascii="Calibri" w:hAnsi="Calibri" w:cs="Calibri"/>
          <w:b/>
          <w:iCs/>
          <w:sz w:val="26"/>
          <w:szCs w:val="26"/>
        </w:rPr>
        <w:t xml:space="preserve">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>v národním hospodářství dosáhla úrovně 35 402 Kč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 – podrobněji viz tabulku č. 2 v příloze.</w:t>
      </w:r>
    </w:p>
    <w:p w:rsidR="006D20CE" w:rsidRPr="00AA590D" w:rsidRDefault="00806A37" w:rsidP="00806A37">
      <w:pPr>
        <w:spacing w:after="240" w:line="360" w:lineRule="auto"/>
        <w:jc w:val="both"/>
        <w:rPr>
          <w:rFonts w:ascii="Calibri" w:hAnsi="Calibri" w:cs="Calibri"/>
          <w:bCs/>
          <w:iCs/>
          <w:sz w:val="26"/>
          <w:szCs w:val="26"/>
        </w:rPr>
      </w:pPr>
      <w:r w:rsidRPr="00AA590D">
        <w:rPr>
          <w:rFonts w:ascii="Calibri" w:hAnsi="Calibri" w:cs="Calibri"/>
          <w:bCs/>
          <w:iCs/>
          <w:sz w:val="26"/>
          <w:szCs w:val="26"/>
        </w:rPr>
        <w:tab/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>Nedílnou součástí pravidelně publikovaných dat ČSÚ o průměrných mzdách byl i medián.</w:t>
      </w:r>
      <w:r w:rsidR="006D20CE" w:rsidRPr="00AA590D">
        <w:rPr>
          <w:rFonts w:ascii="Calibri" w:hAnsi="Calibri" w:cs="Calibri"/>
          <w:iCs/>
          <w:sz w:val="26"/>
          <w:szCs w:val="26"/>
        </w:rPr>
        <w:t xml:space="preserve">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>Medián mezd</w:t>
      </w:r>
      <w:r w:rsidR="006D20CE" w:rsidRPr="00AA590D">
        <w:rPr>
          <w:rFonts w:ascii="Calibri" w:hAnsi="Calibri" w:cs="Calibri"/>
          <w:iCs/>
          <w:sz w:val="26"/>
          <w:szCs w:val="26"/>
        </w:rPr>
        <w:t xml:space="preserve"> 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(prostřední hodnota mzdového rozdělení)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>dosáhl ve 3. čtvrtletí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 loňského roku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 xml:space="preserve">úrovně 31 183 Kč. Proti stejnému období předchozího roku vzrostl nominálně o 5,1 % 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(1 506 Kč)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 xml:space="preserve">a reálně o 1,7 %. Medián mezd byl 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ve 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lastRenderedPageBreak/>
        <w:t xml:space="preserve">sledovaném období </w:t>
      </w:r>
      <w:r w:rsidR="006D20CE" w:rsidRPr="00AA590D">
        <w:rPr>
          <w:rFonts w:ascii="Calibri" w:hAnsi="Calibri" w:cs="Calibri"/>
          <w:b/>
          <w:bCs/>
          <w:iCs/>
          <w:sz w:val="26"/>
          <w:szCs w:val="26"/>
        </w:rPr>
        <w:t>nižší o 4 219 Kč než průměrná mzda.</w:t>
      </w:r>
      <w:r w:rsidR="006D20CE" w:rsidRPr="00AA590D">
        <w:rPr>
          <w:rFonts w:ascii="Calibri" w:hAnsi="Calibri" w:cs="Calibri"/>
          <w:bCs/>
          <w:iCs/>
          <w:sz w:val="26"/>
          <w:szCs w:val="26"/>
        </w:rPr>
        <w:t xml:space="preserve"> Medián mezd žen činil 28 825 Kč, medián mezd mužů byl o 4 436 Kč vyšší a dosáhl 33 261 Kč (jejich vzájemná relace dosáhla úrovně 115,4 %).</w:t>
      </w:r>
    </w:p>
    <w:p w:rsidR="006D20CE" w:rsidRPr="00AA590D" w:rsidRDefault="006D20CE" w:rsidP="00806A37">
      <w:pPr>
        <w:spacing w:after="240"/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 xml:space="preserve">Informační systém o průměrném výdělku (ISPV) MPSV, který na základě výběrového šetření doplňuje mzdové statistiky ČSÚ, poskytuje řadu detailnějších statistik o mzdách (platech) zaměstnanců. Podle jeho výstupů za 3. čtvrtletí 2020 činil medián hrubé měsíční mzdy ve mzdové sféře 31 073 Kč a v platové sféře 39 512 Kč. Největší rozdíl mezi průměrnou mzdou a mediánem byl zaznamenán v odvětví „informační a komunikační činnosti“ 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noBreakHyphen/>
      </w:r>
      <w:r w:rsidRPr="00AA590D">
        <w:rPr>
          <w:rFonts w:ascii="Calibri" w:hAnsi="Calibri" w:cs="Calibri"/>
          <w:bCs/>
          <w:sz w:val="26"/>
          <w:szCs w:val="26"/>
        </w:rPr>
        <w:t xml:space="preserve"> 12 892 Kč, což svědčí o výrazných rozdílech ve mzdách jednotlivých zaměstnanců tohoto odvětví mzdové sféry. Opačná situace, tedy velmi malá diferenciace platů, byla pozorována u odvětví „vzdělávání“ platové sféry, ve které byl medián platu o 1 381 Kč vyšší než průměrný plat a činil 38 173 Kč.</w:t>
      </w:r>
    </w:p>
    <w:p w:rsidR="00806A37" w:rsidRPr="00AA590D" w:rsidRDefault="00806A37" w:rsidP="00806A37">
      <w:pPr>
        <w:spacing w:after="240"/>
        <w:ind w:left="709"/>
        <w:jc w:val="both"/>
        <w:rPr>
          <w:rFonts w:ascii="Calibri" w:hAnsi="Calibri" w:cs="Calibri"/>
          <w:bCs/>
          <w:sz w:val="26"/>
          <w:szCs w:val="26"/>
        </w:rPr>
      </w:pP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>Výše průměrné</w:t>
      </w:r>
      <w:r w:rsidRPr="00AA590D">
        <w:rPr>
          <w:rFonts w:ascii="Calibri" w:hAnsi="Calibri" w:cs="Calibri"/>
          <w:bCs/>
          <w:sz w:val="26"/>
          <w:szCs w:val="26"/>
        </w:rPr>
        <w:t xml:space="preserve"> měsíční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mzdy zaměstnanců pracujících v malých firmách </w:t>
      </w:r>
      <w:r w:rsidRPr="00AA590D">
        <w:rPr>
          <w:rFonts w:ascii="Calibri" w:hAnsi="Calibri" w:cs="Calibri"/>
          <w:bCs/>
          <w:sz w:val="26"/>
          <w:szCs w:val="26"/>
        </w:rPr>
        <w:t>(subjekty s méně než 20 zaměstnanci) v 1. 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noBreakHyphen/>
      </w:r>
      <w:r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sz w:val="26"/>
          <w:szCs w:val="26"/>
        </w:rPr>
        <w:t xml:space="preserve">3. čtvrtletí loňského roku </w:t>
      </w:r>
      <w:r w:rsidRPr="00AA590D">
        <w:rPr>
          <w:rFonts w:ascii="Calibri" w:hAnsi="Calibri" w:cs="Calibri"/>
          <w:b/>
          <w:bCs/>
          <w:sz w:val="26"/>
          <w:szCs w:val="26"/>
        </w:rPr>
        <w:t>činila 25 346 Kč, tj. 73,2 %</w:t>
      </w:r>
      <w:r w:rsidRPr="00AA590D">
        <w:rPr>
          <w:rFonts w:ascii="Calibri" w:hAnsi="Calibri" w:cs="Calibri"/>
          <w:bCs/>
          <w:sz w:val="26"/>
          <w:szCs w:val="26"/>
        </w:rPr>
        <w:t xml:space="preserve"> celospolečenského </w:t>
      </w:r>
      <w:r w:rsidRPr="00AA590D">
        <w:rPr>
          <w:rFonts w:ascii="Calibri" w:hAnsi="Calibri" w:cs="Calibri"/>
          <w:b/>
          <w:bCs/>
          <w:sz w:val="26"/>
          <w:szCs w:val="26"/>
        </w:rPr>
        <w:t>výdělkového průměru</w:t>
      </w:r>
      <w:r w:rsidRPr="00AA590D">
        <w:rPr>
          <w:rFonts w:ascii="Calibri" w:hAnsi="Calibri" w:cs="Calibri"/>
          <w:bCs/>
          <w:sz w:val="26"/>
          <w:szCs w:val="26"/>
        </w:rPr>
        <w:t>; v porovnání se stejným obdobím roku 2019 došlo ke zvýšení tohoto podílu o 0,2 p. b. – viz tabulku č. 3 v příloze.</w:t>
      </w:r>
    </w:p>
    <w:p w:rsidR="006D20CE" w:rsidRPr="00AA590D" w:rsidRDefault="006D20CE" w:rsidP="00806A37">
      <w:pPr>
        <w:spacing w:after="12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  <w:t>Vývoj mezd v období leden 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noBreakHyphen/>
      </w:r>
      <w:r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sz w:val="26"/>
          <w:szCs w:val="26"/>
        </w:rPr>
        <w:t>září 2020 charakterizovaly zejména následující skutečnosti:</w:t>
      </w:r>
    </w:p>
    <w:p w:rsidR="006D20CE" w:rsidRPr="00AA590D" w:rsidRDefault="006D20CE" w:rsidP="006F4787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/>
          <w:bCs/>
          <w:sz w:val="26"/>
          <w:szCs w:val="26"/>
        </w:rPr>
        <w:t>klesající dynamika růstu</w:t>
      </w:r>
      <w:r w:rsidRPr="00AA590D">
        <w:rPr>
          <w:rFonts w:ascii="Calibri" w:hAnsi="Calibri" w:cs="Calibri"/>
          <w:bCs/>
          <w:sz w:val="26"/>
          <w:szCs w:val="26"/>
        </w:rPr>
        <w:t xml:space="preserve"> meziroční </w:t>
      </w:r>
      <w:r w:rsidRPr="00AA590D">
        <w:rPr>
          <w:rFonts w:ascii="Calibri" w:hAnsi="Calibri" w:cs="Calibri"/>
          <w:b/>
          <w:bCs/>
          <w:sz w:val="26"/>
          <w:szCs w:val="26"/>
        </w:rPr>
        <w:t>průměrné nominální mzdy</w:t>
      </w:r>
      <w:r w:rsidRPr="00AA590D">
        <w:rPr>
          <w:rFonts w:ascii="Calibri" w:hAnsi="Calibri" w:cs="Calibri"/>
          <w:bCs/>
          <w:sz w:val="26"/>
          <w:szCs w:val="26"/>
        </w:rPr>
        <w:t xml:space="preserve"> v národním hospodářství,</w:t>
      </w:r>
    </w:p>
    <w:p w:rsidR="006D20CE" w:rsidRPr="00AA590D" w:rsidRDefault="006D20CE" w:rsidP="006F4787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/>
          <w:bCs/>
          <w:sz w:val="26"/>
          <w:szCs w:val="26"/>
        </w:rPr>
        <w:t>mírné zvýšení kupní síly výdělků zaměstnanců,</w:t>
      </w:r>
    </w:p>
    <w:p w:rsidR="006D20CE" w:rsidRPr="00AA590D" w:rsidRDefault="006D20CE" w:rsidP="006F4787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/>
          <w:bCs/>
          <w:sz w:val="26"/>
          <w:szCs w:val="26"/>
        </w:rPr>
        <w:t>pokles produktivity práce vyšší, než</w:t>
      </w:r>
      <w:r w:rsidRPr="00AA590D">
        <w:rPr>
          <w:rFonts w:ascii="Calibri" w:hAnsi="Calibri" w:cs="Calibri"/>
          <w:bCs/>
          <w:sz w:val="26"/>
          <w:szCs w:val="26"/>
        </w:rPr>
        <w:t xml:space="preserve"> byla </w:t>
      </w:r>
      <w:r w:rsidRPr="00AA590D">
        <w:rPr>
          <w:rFonts w:ascii="Calibri" w:hAnsi="Calibri" w:cs="Calibri"/>
          <w:b/>
          <w:bCs/>
          <w:sz w:val="26"/>
          <w:szCs w:val="26"/>
        </w:rPr>
        <w:t>dynamika růstu mezd,</w:t>
      </w:r>
    </w:p>
    <w:p w:rsidR="006D20CE" w:rsidRPr="00AA590D" w:rsidRDefault="006D20CE" w:rsidP="006F478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 xml:space="preserve">mírné </w:t>
      </w:r>
      <w:r w:rsidRPr="00AA590D">
        <w:rPr>
          <w:rFonts w:ascii="Calibri" w:hAnsi="Calibri" w:cs="Calibri"/>
          <w:b/>
          <w:bCs/>
          <w:sz w:val="26"/>
          <w:szCs w:val="26"/>
        </w:rPr>
        <w:t>zvýšení</w:t>
      </w:r>
      <w:r w:rsidRPr="00AA590D">
        <w:rPr>
          <w:rFonts w:ascii="Calibri" w:hAnsi="Calibri" w:cs="Calibri"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meziodvětvové </w:t>
      </w:r>
      <w:proofErr w:type="gramStart"/>
      <w:r w:rsidRPr="00AA590D">
        <w:rPr>
          <w:rFonts w:ascii="Calibri" w:hAnsi="Calibri" w:cs="Calibri"/>
          <w:b/>
          <w:bCs/>
          <w:sz w:val="26"/>
          <w:szCs w:val="26"/>
        </w:rPr>
        <w:t>diferenciace</w:t>
      </w:r>
      <w:proofErr w:type="gramEnd"/>
      <w:r w:rsidRPr="00AA590D">
        <w:rPr>
          <w:rFonts w:ascii="Calibri" w:hAnsi="Calibri" w:cs="Calibri"/>
          <w:bCs/>
          <w:sz w:val="26"/>
          <w:szCs w:val="26"/>
        </w:rPr>
        <w:t xml:space="preserve"> a naopak </w:t>
      </w:r>
      <w:r w:rsidRPr="00AA590D">
        <w:rPr>
          <w:rFonts w:ascii="Calibri" w:hAnsi="Calibri" w:cs="Calibri"/>
          <w:b/>
          <w:sz w:val="26"/>
          <w:szCs w:val="26"/>
        </w:rPr>
        <w:t xml:space="preserve">snížení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územní diferenciace mezd zaměstnanců </w:t>
      </w:r>
      <w:r w:rsidRPr="00AA590D">
        <w:rPr>
          <w:rFonts w:ascii="Calibri" w:hAnsi="Calibri" w:cs="Calibri"/>
          <w:bCs/>
          <w:sz w:val="26"/>
          <w:szCs w:val="26"/>
        </w:rPr>
        <w:t>(na makroúrovni).</w:t>
      </w:r>
    </w:p>
    <w:p w:rsidR="00806A37" w:rsidRPr="00AA590D" w:rsidRDefault="00806A37" w:rsidP="00806A37">
      <w:pPr>
        <w:spacing w:line="360" w:lineRule="auto"/>
        <w:jc w:val="both"/>
        <w:rPr>
          <w:rFonts w:ascii="Calibri" w:hAnsi="Calibri" w:cs="Calibri"/>
          <w:bCs/>
          <w:sz w:val="26"/>
          <w:szCs w:val="26"/>
        </w:rPr>
      </w:pP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Nárůst </w:t>
      </w:r>
      <w:r w:rsidRPr="00AA590D">
        <w:rPr>
          <w:rFonts w:ascii="Calibri" w:hAnsi="Calibri" w:cs="Calibri"/>
          <w:bCs/>
          <w:sz w:val="26"/>
          <w:szCs w:val="26"/>
        </w:rPr>
        <w:t>průměrné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reálné hodnoty mezd </w:t>
      </w:r>
      <w:r w:rsidRPr="00AA590D">
        <w:rPr>
          <w:rFonts w:ascii="Calibri" w:hAnsi="Calibri" w:cs="Calibri"/>
          <w:bCs/>
          <w:sz w:val="26"/>
          <w:szCs w:val="26"/>
        </w:rPr>
        <w:t>(0,3 %)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byl nižší </w:t>
      </w:r>
      <w:r w:rsidRPr="00AA590D">
        <w:rPr>
          <w:rFonts w:ascii="Calibri" w:hAnsi="Calibri" w:cs="Calibri"/>
          <w:bCs/>
          <w:sz w:val="26"/>
          <w:szCs w:val="26"/>
        </w:rPr>
        <w:t xml:space="preserve">o 3,3 p. b. proti dynamice ve stejném období roku 2019. </w:t>
      </w:r>
      <w:r w:rsidRPr="00AA590D">
        <w:rPr>
          <w:rFonts w:ascii="Calibri" w:hAnsi="Calibri" w:cs="Calibri"/>
          <w:b/>
          <w:bCs/>
          <w:sz w:val="26"/>
          <w:szCs w:val="26"/>
        </w:rPr>
        <w:t>Na velmi mírné posílení koupěschopné poptávky</w:t>
      </w:r>
      <w:r w:rsidRPr="00AA590D">
        <w:rPr>
          <w:rFonts w:ascii="Calibri" w:hAnsi="Calibri" w:cs="Calibri"/>
          <w:bCs/>
          <w:sz w:val="26"/>
          <w:szCs w:val="26"/>
        </w:rPr>
        <w:t xml:space="preserve"> působilo </w:t>
      </w:r>
      <w:r w:rsidRPr="00AA590D">
        <w:rPr>
          <w:rFonts w:ascii="Calibri" w:hAnsi="Calibri" w:cs="Calibri"/>
          <w:b/>
          <w:bCs/>
          <w:sz w:val="26"/>
          <w:szCs w:val="26"/>
        </w:rPr>
        <w:t>klesající tempo nominálního nárůstu mezd</w:t>
      </w:r>
      <w:r w:rsidRPr="00AA590D">
        <w:rPr>
          <w:rFonts w:ascii="Calibri" w:hAnsi="Calibri" w:cs="Calibri"/>
          <w:bCs/>
          <w:sz w:val="26"/>
          <w:szCs w:val="26"/>
        </w:rPr>
        <w:t xml:space="preserve"> doprovázené </w:t>
      </w:r>
      <w:r w:rsidRPr="00AA590D">
        <w:rPr>
          <w:rFonts w:ascii="Calibri" w:hAnsi="Calibri" w:cs="Calibri"/>
          <w:b/>
          <w:bCs/>
          <w:sz w:val="26"/>
          <w:szCs w:val="26"/>
        </w:rPr>
        <w:t>vyšší dynamikou spotřebitelských cen</w:t>
      </w:r>
      <w:r w:rsidRPr="00AA590D">
        <w:rPr>
          <w:rFonts w:ascii="Calibri" w:hAnsi="Calibri" w:cs="Calibri"/>
          <w:bCs/>
          <w:sz w:val="26"/>
          <w:szCs w:val="26"/>
        </w:rPr>
        <w:t xml:space="preserve"> (podrobněji viz část 2 materiálu).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Zvýšení průměrné </w:t>
      </w:r>
      <w:r w:rsidRPr="00AA590D">
        <w:rPr>
          <w:rFonts w:ascii="Calibri" w:hAnsi="Calibri" w:cs="Calibri"/>
          <w:b/>
          <w:bCs/>
          <w:sz w:val="26"/>
          <w:szCs w:val="26"/>
        </w:rPr>
        <w:lastRenderedPageBreak/>
        <w:t>reálné mzdy</w:t>
      </w:r>
      <w:r w:rsidRPr="00AA590D">
        <w:rPr>
          <w:rFonts w:ascii="Calibri" w:hAnsi="Calibri" w:cs="Calibri"/>
          <w:bCs/>
          <w:sz w:val="26"/>
          <w:szCs w:val="26"/>
        </w:rPr>
        <w:t xml:space="preserve"> v 1. </w:t>
      </w:r>
      <w:r w:rsidRPr="00AA590D">
        <w:rPr>
          <w:rFonts w:ascii="Calibri" w:hAnsi="Calibri" w:cs="Calibri"/>
          <w:bCs/>
          <w:sz w:val="26"/>
          <w:szCs w:val="26"/>
        </w:rPr>
        <w:noBreakHyphen/>
        <w:t> 3. čtvrtletí bylo zaznamenáno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v 8 z 19 </w:t>
      </w:r>
      <w:r w:rsidRPr="00AA590D">
        <w:rPr>
          <w:rFonts w:ascii="Calibri" w:hAnsi="Calibri" w:cs="Calibri"/>
          <w:bCs/>
          <w:sz w:val="26"/>
          <w:szCs w:val="26"/>
        </w:rPr>
        <w:t xml:space="preserve">sledovaných </w:t>
      </w:r>
      <w:r w:rsidRPr="00AA590D">
        <w:rPr>
          <w:rFonts w:ascii="Calibri" w:hAnsi="Calibri" w:cs="Calibri"/>
          <w:b/>
          <w:bCs/>
          <w:sz w:val="26"/>
          <w:szCs w:val="26"/>
        </w:rPr>
        <w:t>odvětvových agregací CZ</w:t>
      </w:r>
      <w:r w:rsidRPr="00AA590D">
        <w:rPr>
          <w:rFonts w:ascii="Calibri" w:hAnsi="Calibri" w:cs="Calibri"/>
          <w:b/>
          <w:bCs/>
          <w:sz w:val="26"/>
          <w:szCs w:val="26"/>
        </w:rPr>
        <w:noBreakHyphen/>
        <w:t xml:space="preserve">NACE a v regionálním členění v 9 ze 14 krajích </w:t>
      </w:r>
      <w:r w:rsidRPr="00AA590D">
        <w:rPr>
          <w:rFonts w:ascii="Calibri" w:hAnsi="Calibri" w:cs="Calibri"/>
          <w:bCs/>
          <w:sz w:val="26"/>
          <w:szCs w:val="26"/>
        </w:rPr>
        <w:t>(viz dále).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Přírůstek kupní síly výdělků byl </w:t>
      </w:r>
      <w:r w:rsidRPr="00AA590D">
        <w:rPr>
          <w:rFonts w:ascii="Calibri" w:hAnsi="Calibri" w:cs="Calibri"/>
          <w:bCs/>
          <w:sz w:val="26"/>
          <w:szCs w:val="26"/>
        </w:rPr>
        <w:t xml:space="preserve">v hodnoceném období </w:t>
      </w:r>
      <w:r w:rsidRPr="00AA590D">
        <w:rPr>
          <w:rFonts w:ascii="Calibri" w:hAnsi="Calibri" w:cs="Calibri"/>
          <w:b/>
          <w:bCs/>
          <w:sz w:val="26"/>
          <w:szCs w:val="26"/>
        </w:rPr>
        <w:t>vyšší než vykázaná produktivita práce.</w:t>
      </w:r>
      <w:r w:rsidRPr="00AA590D">
        <w:rPr>
          <w:rFonts w:ascii="Calibri" w:hAnsi="Calibri" w:cs="Calibri"/>
          <w:bCs/>
          <w:sz w:val="26"/>
          <w:szCs w:val="26"/>
        </w:rPr>
        <w:t xml:space="preserve"> Dynamika úhrnné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produktivity práce </w:t>
      </w:r>
      <w:r w:rsidRPr="00AA590D">
        <w:rPr>
          <w:rFonts w:ascii="Calibri" w:hAnsi="Calibri" w:cs="Calibri"/>
          <w:bCs/>
          <w:sz w:val="26"/>
          <w:szCs w:val="26"/>
        </w:rPr>
        <w:t xml:space="preserve">(v pojetí hrubého domácího produktu ve stálých cenách na 1 pracovníka v národním hospodářství) </w:t>
      </w:r>
      <w:r w:rsidRPr="00AA590D">
        <w:rPr>
          <w:rFonts w:ascii="Calibri" w:hAnsi="Calibri" w:cs="Calibri"/>
          <w:b/>
          <w:bCs/>
          <w:sz w:val="26"/>
          <w:szCs w:val="26"/>
        </w:rPr>
        <w:t>poklesla</w:t>
      </w:r>
      <w:r w:rsidRPr="00AA590D">
        <w:rPr>
          <w:rFonts w:ascii="Calibri" w:hAnsi="Calibri" w:cs="Calibri"/>
          <w:bCs/>
          <w:sz w:val="26"/>
          <w:szCs w:val="26"/>
        </w:rPr>
        <w:t xml:space="preserve"> ve sledovaném období meziročně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o 4,5 % </w:t>
      </w:r>
      <w:r w:rsidRPr="00AA590D">
        <w:rPr>
          <w:rFonts w:ascii="Calibri" w:hAnsi="Calibri" w:cs="Calibri"/>
          <w:bCs/>
          <w:sz w:val="26"/>
          <w:szCs w:val="26"/>
        </w:rPr>
        <w:t>a byla o 4,8 p. b. nižší, než činil nárůst průměrné reálné mzdy – podrobný vývoj za jednotlivá čtvrtletí viz graf č. 1 v příloze.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Relace </w:t>
      </w:r>
      <w:r w:rsidRPr="00AA590D">
        <w:rPr>
          <w:rFonts w:ascii="Calibri" w:hAnsi="Calibri" w:cs="Calibri"/>
          <w:bCs/>
          <w:sz w:val="26"/>
          <w:szCs w:val="26"/>
        </w:rPr>
        <w:t>produktivity práce a mezd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se promítla do vývoje jednotkových mzdových nákladů</w:t>
      </w:r>
      <w:r w:rsidRPr="00AA590D">
        <w:rPr>
          <w:rFonts w:ascii="Calibri" w:hAnsi="Calibri" w:cs="Calibri"/>
          <w:bCs/>
          <w:sz w:val="26"/>
          <w:szCs w:val="26"/>
        </w:rPr>
        <w:t>, které v meziročním pohledu za leden 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noBreakHyphen/>
      </w:r>
      <w:r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sz w:val="26"/>
          <w:szCs w:val="26"/>
        </w:rPr>
        <w:t xml:space="preserve">září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nominálně vzrostly o 8,5 % a reálně o 5,0 %, což však </w:t>
      </w:r>
      <w:r w:rsidRPr="00AA590D">
        <w:rPr>
          <w:rFonts w:ascii="Calibri" w:hAnsi="Calibri" w:cs="Calibri"/>
          <w:bCs/>
          <w:sz w:val="26"/>
          <w:szCs w:val="26"/>
        </w:rPr>
        <w:t xml:space="preserve">stále ještě vzhledem k ekonomickému vývoji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nepředstavovalo vážnější riziko </w:t>
      </w:r>
      <w:r w:rsidRPr="00AA590D">
        <w:rPr>
          <w:rFonts w:ascii="Calibri" w:hAnsi="Calibri" w:cs="Calibri"/>
          <w:bCs/>
          <w:sz w:val="26"/>
          <w:szCs w:val="26"/>
        </w:rPr>
        <w:t>z pohledu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udržení konkurenceschopnosti tuzemské produkce.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AA590D">
        <w:rPr>
          <w:rFonts w:ascii="Calibri" w:hAnsi="Calibri" w:cs="Calibri"/>
          <w:b/>
          <w:bCs/>
          <w:sz w:val="26"/>
          <w:szCs w:val="26"/>
        </w:rPr>
        <w:tab/>
        <w:t xml:space="preserve">Reálná hodnota objemu mzdových prostředků </w:t>
      </w:r>
      <w:r w:rsidRPr="00AA590D">
        <w:rPr>
          <w:rFonts w:ascii="Calibri" w:hAnsi="Calibri" w:cs="Calibri"/>
          <w:bCs/>
          <w:sz w:val="26"/>
          <w:szCs w:val="26"/>
        </w:rPr>
        <w:t xml:space="preserve">zúčtovaných k výplatě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poklesla </w:t>
      </w:r>
      <w:r w:rsidRPr="00AA590D">
        <w:rPr>
          <w:rFonts w:ascii="Calibri" w:hAnsi="Calibri" w:cs="Calibri"/>
          <w:bCs/>
          <w:sz w:val="26"/>
          <w:szCs w:val="26"/>
        </w:rPr>
        <w:t>oproti 1. </w:t>
      </w:r>
      <w:r w:rsidRPr="00AA590D">
        <w:rPr>
          <w:rFonts w:ascii="Calibri" w:hAnsi="Calibri" w:cs="Calibri"/>
          <w:bCs/>
          <w:sz w:val="26"/>
          <w:szCs w:val="26"/>
        </w:rPr>
        <w:noBreakHyphen/>
        <w:t> 3. čtvrtletí 2019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o 2,2 %; mzdová náročnost HDP</w:t>
      </w:r>
      <w:r w:rsidRPr="00AA590D">
        <w:rPr>
          <w:rFonts w:ascii="Calibri" w:hAnsi="Calibri" w:cs="Calibri"/>
          <w:bCs/>
          <w:sz w:val="26"/>
          <w:szCs w:val="26"/>
        </w:rPr>
        <w:t xml:space="preserve"> (relace objemu mzdových prostředků k objemu hrubého domácího produktu v běžných cenách) </w:t>
      </w:r>
      <w:r w:rsidRPr="00AA590D">
        <w:rPr>
          <w:rFonts w:ascii="Calibri" w:hAnsi="Calibri" w:cs="Calibri"/>
          <w:b/>
          <w:bCs/>
          <w:sz w:val="26"/>
          <w:szCs w:val="26"/>
        </w:rPr>
        <w:t>se</w:t>
      </w:r>
      <w:r w:rsidRPr="00AA590D">
        <w:rPr>
          <w:rFonts w:ascii="Calibri" w:hAnsi="Calibri" w:cs="Calibri"/>
          <w:bCs/>
          <w:sz w:val="26"/>
          <w:szCs w:val="26"/>
        </w:rPr>
        <w:t xml:space="preserve"> ve stejném porovnání </w:t>
      </w:r>
      <w:r w:rsidRPr="00AA590D">
        <w:rPr>
          <w:rFonts w:ascii="Calibri" w:hAnsi="Calibri" w:cs="Calibri"/>
          <w:b/>
          <w:bCs/>
          <w:sz w:val="26"/>
          <w:szCs w:val="26"/>
        </w:rPr>
        <w:t>zvýšila</w:t>
      </w:r>
      <w:r w:rsidRPr="00AA590D">
        <w:rPr>
          <w:rFonts w:ascii="Calibri" w:hAnsi="Calibri" w:cs="Calibri"/>
          <w:bCs/>
          <w:sz w:val="26"/>
          <w:szCs w:val="26"/>
        </w:rPr>
        <w:t xml:space="preserve"> o 0,9 p. b.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na 29,5 %.</w:t>
      </w:r>
    </w:p>
    <w:p w:rsidR="006D20CE" w:rsidRPr="00AA590D" w:rsidRDefault="006D20CE" w:rsidP="00806A37">
      <w:pPr>
        <w:spacing w:after="240"/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 xml:space="preserve">Část mezd, které svým zaměstnancům dlužili zaměstnavatelé v platební neschopnosti, jim byla vyplacena Úřadem práce ČR </w:t>
      </w:r>
      <w:r w:rsidRPr="00AA590D">
        <w:rPr>
          <w:rFonts w:ascii="Calibri" w:hAnsi="Calibri" w:cs="Calibri"/>
          <w:b/>
          <w:bCs/>
          <w:sz w:val="26"/>
          <w:szCs w:val="26"/>
        </w:rPr>
        <w:t>na základě zákona</w:t>
      </w:r>
      <w:r w:rsidRPr="00AA590D">
        <w:rPr>
          <w:rFonts w:ascii="Calibri" w:hAnsi="Calibri" w:cs="Calibri"/>
          <w:bCs/>
          <w:sz w:val="26"/>
          <w:szCs w:val="26"/>
        </w:rPr>
        <w:t xml:space="preserve"> č. 118/2000 Sb., </w:t>
      </w:r>
      <w:r w:rsidRPr="00AA590D">
        <w:rPr>
          <w:rFonts w:ascii="Calibri" w:hAnsi="Calibri" w:cs="Calibri"/>
          <w:b/>
          <w:bCs/>
          <w:sz w:val="26"/>
          <w:szCs w:val="26"/>
        </w:rPr>
        <w:t>o ochraně zaměstnanců při platební neschopnosti zaměstnavatele</w:t>
      </w:r>
      <w:r w:rsidRPr="00AA590D">
        <w:rPr>
          <w:rFonts w:ascii="Calibri" w:hAnsi="Calibri" w:cs="Calibri"/>
          <w:bCs/>
          <w:sz w:val="26"/>
          <w:szCs w:val="26"/>
        </w:rPr>
        <w:t xml:space="preserve"> a o změně některých zákonů, ve znění pozdějších předpisů.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Cs/>
          <w:sz w:val="26"/>
          <w:szCs w:val="26"/>
        </w:rPr>
        <w:t xml:space="preserve">Celkem bylo takto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k 30. 9. 2020 poskytnuto 190,5 mil. Kč </w:t>
      </w:r>
      <w:r w:rsidRPr="00AA590D">
        <w:rPr>
          <w:rFonts w:ascii="Calibri" w:hAnsi="Calibri" w:cs="Calibri"/>
          <w:bCs/>
          <w:sz w:val="26"/>
          <w:szCs w:val="26"/>
        </w:rPr>
        <w:t>(o 31,2 mil. Kč méně</w:t>
      </w:r>
      <w:r w:rsidR="00AC2CFA" w:rsidRPr="00AA590D">
        <w:rPr>
          <w:rFonts w:ascii="Calibri" w:hAnsi="Calibri" w:cs="Calibri"/>
          <w:bCs/>
          <w:sz w:val="26"/>
          <w:szCs w:val="26"/>
        </w:rPr>
        <w:t> </w:t>
      </w:r>
      <w:r w:rsidRPr="00AA590D">
        <w:rPr>
          <w:rFonts w:ascii="Calibri" w:hAnsi="Calibri" w:cs="Calibri"/>
          <w:bCs/>
          <w:sz w:val="26"/>
          <w:szCs w:val="26"/>
        </w:rPr>
        <w:t>než v 1. </w:t>
      </w:r>
      <w:r w:rsidRPr="00AA590D">
        <w:rPr>
          <w:rFonts w:ascii="Calibri" w:hAnsi="Calibri" w:cs="Calibri"/>
          <w:bCs/>
          <w:sz w:val="26"/>
          <w:szCs w:val="26"/>
        </w:rPr>
        <w:noBreakHyphen/>
        <w:t> 3. čtvrtletí 2019), z toho nejvíce v hl. m. Praze (67,8 mil. Kč), v Moravskoslezském kraji (33,1 mil. Kč), v Jihomoravském kraji (20,2 mil. Kč),</w:t>
      </w:r>
      <w:r w:rsidR="00AC2CFA" w:rsidRPr="00AA590D">
        <w:rPr>
          <w:rFonts w:ascii="Calibri" w:hAnsi="Calibri" w:cs="Calibri"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Cs/>
          <w:sz w:val="26"/>
          <w:szCs w:val="26"/>
        </w:rPr>
        <w:t>v Karlovarském kraji (19,7 mil. Kč) a ve Středočeském kraji (18,0 mil. Kč).</w:t>
      </w:r>
    </w:p>
    <w:p w:rsidR="00806A37" w:rsidRPr="00AA590D" w:rsidRDefault="00806A37" w:rsidP="00806A37">
      <w:pPr>
        <w:spacing w:after="240"/>
        <w:ind w:left="709"/>
        <w:jc w:val="both"/>
        <w:rPr>
          <w:rFonts w:ascii="Calibri" w:hAnsi="Calibri" w:cs="Calibri"/>
          <w:bCs/>
          <w:sz w:val="26"/>
          <w:szCs w:val="26"/>
        </w:rPr>
      </w:pP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/>
          <w:bCs/>
          <w:sz w:val="26"/>
          <w:szCs w:val="26"/>
        </w:rPr>
        <w:tab/>
      </w:r>
      <w:r w:rsidRPr="00AA590D">
        <w:rPr>
          <w:rFonts w:ascii="Calibri" w:hAnsi="Calibri" w:cs="Calibri"/>
          <w:bCs/>
          <w:sz w:val="26"/>
          <w:szCs w:val="26"/>
        </w:rPr>
        <w:t xml:space="preserve">S výjimkou odvětví </w:t>
      </w:r>
      <w:r w:rsidRPr="00AA590D">
        <w:rPr>
          <w:rFonts w:ascii="Calibri" w:hAnsi="Calibri" w:cs="Calibri"/>
          <w:b/>
          <w:bCs/>
          <w:sz w:val="26"/>
          <w:szCs w:val="26"/>
        </w:rPr>
        <w:t>„kulturní, zábavní a sportovní činnosti“</w:t>
      </w:r>
      <w:r w:rsidRPr="00AA590D">
        <w:rPr>
          <w:rFonts w:ascii="Calibri" w:hAnsi="Calibri" w:cs="Calibri"/>
          <w:bCs/>
          <w:sz w:val="26"/>
          <w:szCs w:val="26"/>
        </w:rPr>
        <w:t xml:space="preserve"> došlo v ostatních </w:t>
      </w:r>
      <w:r w:rsidRPr="00AA590D">
        <w:rPr>
          <w:rFonts w:ascii="Calibri" w:hAnsi="Calibri" w:cs="Calibri"/>
          <w:b/>
          <w:bCs/>
          <w:sz w:val="26"/>
          <w:szCs w:val="26"/>
        </w:rPr>
        <w:t>odvětvích tzv. veřejné služby a správy</w:t>
      </w:r>
      <w:r w:rsidRPr="00AA590D">
        <w:rPr>
          <w:rFonts w:ascii="Calibri" w:hAnsi="Calibri" w:cs="Calibri"/>
          <w:bCs/>
          <w:sz w:val="26"/>
          <w:szCs w:val="26"/>
        </w:rPr>
        <w:t xml:space="preserve"> k výrazně nadprůměrnému zvýšení průměrného platu. </w:t>
      </w:r>
      <w:r w:rsidRPr="00AA590D">
        <w:rPr>
          <w:rFonts w:ascii="Calibri" w:hAnsi="Calibri" w:cs="Calibri"/>
          <w:b/>
          <w:bCs/>
          <w:sz w:val="26"/>
          <w:szCs w:val="26"/>
        </w:rPr>
        <w:t>Největší</w:t>
      </w:r>
      <w:r w:rsidRPr="00AA590D">
        <w:rPr>
          <w:rFonts w:ascii="Calibri" w:hAnsi="Calibri" w:cs="Calibri"/>
          <w:bCs/>
          <w:sz w:val="26"/>
          <w:szCs w:val="26"/>
        </w:rPr>
        <w:t xml:space="preserve"> meziroční nominální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nárůst o 7,6 % </w:t>
      </w:r>
      <w:r w:rsidRPr="00AA590D">
        <w:rPr>
          <w:rFonts w:ascii="Calibri" w:hAnsi="Calibri" w:cs="Calibri"/>
          <w:bCs/>
          <w:sz w:val="26"/>
          <w:szCs w:val="26"/>
        </w:rPr>
        <w:t>byl zaznamenán v odvětví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„zdravotní, sociální péče“</w:t>
      </w:r>
      <w:r w:rsidRPr="00AA590D">
        <w:rPr>
          <w:rFonts w:ascii="Calibri" w:hAnsi="Calibri" w:cs="Calibri"/>
          <w:bCs/>
          <w:sz w:val="26"/>
          <w:szCs w:val="26"/>
        </w:rPr>
        <w:t xml:space="preserve">. Ještě lépe na tom byli v rámci tohoto odvětví zaměstnanci </w:t>
      </w:r>
      <w:r w:rsidRPr="00AA590D">
        <w:rPr>
          <w:rFonts w:ascii="Calibri" w:hAnsi="Calibri" w:cs="Calibri"/>
          <w:bCs/>
          <w:sz w:val="26"/>
          <w:szCs w:val="26"/>
        </w:rPr>
        <w:lastRenderedPageBreak/>
        <w:t>sociální péče, u kterých došlo k vyššímu nárůstu průměrného platu o 6,2 p. b. (na</w:t>
      </w:r>
      <w:r w:rsidR="00AC2CFA" w:rsidRPr="00AA590D">
        <w:rPr>
          <w:rFonts w:ascii="Calibri" w:hAnsi="Calibri" w:cs="Calibri"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Cs/>
          <w:sz w:val="26"/>
          <w:szCs w:val="26"/>
        </w:rPr>
        <w:t xml:space="preserve">13,8 %). </w:t>
      </w:r>
      <w:r w:rsidRPr="00AA590D">
        <w:rPr>
          <w:rFonts w:ascii="Calibri" w:hAnsi="Calibri" w:cs="Calibri"/>
          <w:b/>
          <w:bCs/>
          <w:sz w:val="26"/>
          <w:szCs w:val="26"/>
        </w:rPr>
        <w:t>K nejmenšímu zvýšení o 0,9 %</w:t>
      </w:r>
      <w:r w:rsidRPr="00AA590D">
        <w:rPr>
          <w:rFonts w:ascii="Calibri" w:hAnsi="Calibri" w:cs="Calibri"/>
          <w:bCs/>
          <w:sz w:val="26"/>
          <w:szCs w:val="26"/>
        </w:rPr>
        <w:t xml:space="preserve"> došlo v odvětví </w:t>
      </w:r>
      <w:r w:rsidRPr="00AA590D">
        <w:rPr>
          <w:rFonts w:ascii="Calibri" w:hAnsi="Calibri" w:cs="Calibri"/>
          <w:b/>
          <w:bCs/>
          <w:sz w:val="26"/>
          <w:szCs w:val="26"/>
        </w:rPr>
        <w:t>„kulturní, zábavní a sportovní činnosti“</w:t>
      </w:r>
      <w:r w:rsidRPr="00AA590D">
        <w:rPr>
          <w:rFonts w:ascii="Calibri" w:hAnsi="Calibri" w:cs="Calibri"/>
          <w:bCs/>
          <w:sz w:val="26"/>
          <w:szCs w:val="26"/>
        </w:rPr>
        <w:t xml:space="preserve">. </w:t>
      </w:r>
      <w:r w:rsidRPr="00AA590D">
        <w:rPr>
          <w:rFonts w:ascii="Calibri" w:hAnsi="Calibri" w:cs="Calibri"/>
          <w:b/>
          <w:sz w:val="26"/>
          <w:szCs w:val="26"/>
        </w:rPr>
        <w:t>A</w:t>
      </w:r>
      <w:r w:rsidRPr="00AA590D">
        <w:rPr>
          <w:rFonts w:ascii="Calibri" w:hAnsi="Calibri" w:cs="Calibri"/>
          <w:b/>
          <w:bCs/>
          <w:sz w:val="26"/>
          <w:szCs w:val="26"/>
        </w:rPr>
        <w:t>bsolutní úroveň průměrného výdělku</w:t>
      </w:r>
      <w:r w:rsidRPr="00AA590D">
        <w:rPr>
          <w:rFonts w:ascii="Calibri" w:hAnsi="Calibri" w:cs="Calibri"/>
          <w:bCs/>
          <w:sz w:val="26"/>
          <w:szCs w:val="26"/>
        </w:rPr>
        <w:t xml:space="preserve"> zaměstnanců v tomto odvětví </w:t>
      </w:r>
      <w:r w:rsidRPr="00AA590D">
        <w:rPr>
          <w:rFonts w:ascii="Calibri" w:hAnsi="Calibri" w:cs="Calibri"/>
          <w:b/>
          <w:bCs/>
          <w:sz w:val="26"/>
          <w:szCs w:val="26"/>
        </w:rPr>
        <w:t>patřila k těm nejnižším</w:t>
      </w:r>
      <w:r w:rsidRPr="00AA590D">
        <w:rPr>
          <w:rFonts w:ascii="Calibri" w:hAnsi="Calibri" w:cs="Calibri"/>
          <w:bCs/>
          <w:sz w:val="26"/>
          <w:szCs w:val="26"/>
        </w:rPr>
        <w:t xml:space="preserve"> z celé oblasti veřejné služby a správy – podrobně viz tabulku č. 4 v příloze.</w:t>
      </w:r>
    </w:p>
    <w:p w:rsidR="006D20CE" w:rsidRPr="00AA590D" w:rsidRDefault="006D20CE" w:rsidP="00806A37">
      <w:pPr>
        <w:spacing w:after="12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Na nárůst </w:t>
      </w:r>
      <w:r w:rsidRPr="00AA590D">
        <w:rPr>
          <w:rFonts w:ascii="Calibri" w:hAnsi="Calibri" w:cs="Calibri"/>
          <w:bCs/>
          <w:sz w:val="26"/>
          <w:szCs w:val="26"/>
        </w:rPr>
        <w:t>průměrné mzdy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v soukromé sféře </w:t>
      </w:r>
      <w:r w:rsidRPr="00AA590D">
        <w:rPr>
          <w:rFonts w:ascii="Calibri" w:hAnsi="Calibri" w:cs="Calibri"/>
          <w:bCs/>
          <w:sz w:val="26"/>
          <w:szCs w:val="26"/>
        </w:rPr>
        <w:t>působily v 1. </w:t>
      </w:r>
      <w:r w:rsidRPr="00AA590D">
        <w:rPr>
          <w:rFonts w:ascii="Calibri" w:hAnsi="Calibri" w:cs="Calibri"/>
          <w:bCs/>
          <w:sz w:val="26"/>
          <w:szCs w:val="26"/>
        </w:rPr>
        <w:noBreakHyphen/>
        <w:t> 3. čtvrtletí 2020 především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tyto </w:t>
      </w:r>
      <w:r w:rsidRPr="00AA590D">
        <w:rPr>
          <w:rFonts w:ascii="Calibri" w:hAnsi="Calibri" w:cs="Calibri"/>
          <w:bCs/>
          <w:sz w:val="26"/>
          <w:szCs w:val="26"/>
        </w:rPr>
        <w:t>základní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faktory:</w:t>
      </w:r>
    </w:p>
    <w:p w:rsidR="006D20CE" w:rsidRPr="00AA590D" w:rsidRDefault="006D20CE" w:rsidP="006F4787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sz w:val="26"/>
          <w:szCs w:val="26"/>
        </w:rPr>
      </w:pPr>
      <w:r w:rsidRPr="00AA590D">
        <w:rPr>
          <w:rFonts w:ascii="Calibri" w:hAnsi="Calibri" w:cs="Calibri"/>
          <w:b/>
          <w:bCs/>
          <w:sz w:val="26"/>
          <w:szCs w:val="26"/>
        </w:rPr>
        <w:t>zásadní omezení ekonomické aktivity</w:t>
      </w:r>
      <w:r w:rsidRPr="00AA590D">
        <w:rPr>
          <w:rFonts w:ascii="Calibri" w:hAnsi="Calibri" w:cs="Calibri"/>
          <w:sz w:val="26"/>
          <w:szCs w:val="26"/>
        </w:rPr>
        <w:t xml:space="preserve"> v celé řadě podniků a firem </w:t>
      </w:r>
      <w:r w:rsidRPr="00AA590D">
        <w:rPr>
          <w:rFonts w:ascii="Calibri" w:hAnsi="Calibri" w:cs="Calibri"/>
          <w:b/>
          <w:bCs/>
          <w:sz w:val="26"/>
          <w:szCs w:val="26"/>
        </w:rPr>
        <w:t>v souvislosti s pandemií viru SARS-CoV-2</w:t>
      </w:r>
      <w:r w:rsidRPr="00AA590D">
        <w:rPr>
          <w:rFonts w:ascii="Calibri" w:hAnsi="Calibri" w:cs="Calibri"/>
          <w:sz w:val="26"/>
          <w:szCs w:val="26"/>
        </w:rPr>
        <w:t>,</w:t>
      </w:r>
    </w:p>
    <w:p w:rsidR="006D20CE" w:rsidRPr="00AA590D" w:rsidRDefault="006D20CE" w:rsidP="006F4787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sz w:val="26"/>
          <w:szCs w:val="26"/>
        </w:rPr>
      </w:pPr>
      <w:r w:rsidRPr="00AA590D">
        <w:rPr>
          <w:rFonts w:ascii="Calibri" w:hAnsi="Calibri" w:cs="Calibri"/>
          <w:sz w:val="26"/>
          <w:szCs w:val="26"/>
        </w:rPr>
        <w:t xml:space="preserve">pokles zaměstnanosti a </w:t>
      </w:r>
      <w:r w:rsidRPr="00AA590D">
        <w:rPr>
          <w:rFonts w:ascii="Calibri" w:hAnsi="Calibri" w:cs="Calibri"/>
          <w:b/>
          <w:sz w:val="26"/>
          <w:szCs w:val="26"/>
        </w:rPr>
        <w:t>nárůst nezaměstnanosti,</w:t>
      </w:r>
      <w:r w:rsidRPr="00AA590D">
        <w:rPr>
          <w:rFonts w:ascii="Calibri" w:hAnsi="Calibri" w:cs="Calibri"/>
          <w:sz w:val="26"/>
          <w:szCs w:val="26"/>
        </w:rPr>
        <w:t xml:space="preserve"> podíl nezaměstnaných osob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činil 3,8 % k 30. září 2020 </w:t>
      </w:r>
      <w:r w:rsidRPr="00AA590D">
        <w:rPr>
          <w:rFonts w:ascii="Calibri" w:hAnsi="Calibri" w:cs="Calibri"/>
          <w:bCs/>
          <w:sz w:val="26"/>
          <w:szCs w:val="26"/>
        </w:rPr>
        <w:t>(k 30. září 2019 byl o 1,1 p. b. nižší, tj. 2,7 %).</w:t>
      </w:r>
    </w:p>
    <w:p w:rsidR="00806A37" w:rsidRPr="00AA590D" w:rsidRDefault="00806A37" w:rsidP="00806A37">
      <w:pPr>
        <w:spacing w:line="360" w:lineRule="auto"/>
        <w:ind w:left="709"/>
        <w:jc w:val="both"/>
        <w:rPr>
          <w:rFonts w:ascii="Calibri" w:hAnsi="Calibri" w:cs="Calibri"/>
          <w:bCs/>
          <w:sz w:val="26"/>
          <w:szCs w:val="26"/>
        </w:rPr>
      </w:pPr>
    </w:p>
    <w:p w:rsidR="006D20CE" w:rsidRPr="00AA590D" w:rsidRDefault="006D20CE" w:rsidP="00806A37">
      <w:pPr>
        <w:spacing w:after="240"/>
        <w:ind w:left="709"/>
        <w:jc w:val="both"/>
        <w:rPr>
          <w:rFonts w:ascii="Calibri" w:hAnsi="Calibri" w:cs="Calibri"/>
          <w:bCs/>
          <w:i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 xml:space="preserve">Z údajů o </w:t>
      </w:r>
      <w:r w:rsidRPr="00AA590D">
        <w:rPr>
          <w:rFonts w:ascii="Calibri" w:hAnsi="Calibri" w:cs="Calibri"/>
          <w:b/>
          <w:bCs/>
          <w:sz w:val="26"/>
          <w:szCs w:val="26"/>
        </w:rPr>
        <w:t>průměrném evidenčním počtu zaměstnanců</w:t>
      </w:r>
      <w:r w:rsidRPr="00AA590D">
        <w:rPr>
          <w:rFonts w:ascii="Calibri" w:hAnsi="Calibri" w:cs="Calibri"/>
          <w:bCs/>
          <w:sz w:val="26"/>
          <w:szCs w:val="26"/>
        </w:rPr>
        <w:t xml:space="preserve"> na přepočtené počty (podle Podnikové statistiky o mzdách a zaměstnancích, jedná se o druhý nejvýznamnější zdroj dat, který se však liší od Výběrových šetření pracovních sil)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byl i v tomto šetření zaznamenán pokles zaměstnanců, a to celkem o 102,0 tis. V detailnějším odvětvovém členění však byly patrné rozdíly ve vývoji počtu zaměstnanců. Největší a nejvýznamnější nárůst zaměstnanců byl vykázán v odvětví „vzdělávání“ o 9,7 tis. (3,2 %), dále pak v odvětvích „činnosti v oblasti nemovitostí“ o 5,0 tis. a „zdravotní a sociální péče“ o 1,5 tis. Ke snížení počtu zaměstnanců došlo ve dvanácti odvětvích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>–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>nejvíce ve „zpracovatelském průmyslu“ o 50,8 tis. (4,4 %), „administrativní a podpůrné činnosti“ o 26,6 tis. a „ubytování, stravování a pohostinství“ o 14,1 tis.</w:t>
      </w:r>
    </w:p>
    <w:p w:rsidR="00806A37" w:rsidRPr="00AA590D" w:rsidRDefault="00806A37" w:rsidP="00806A37">
      <w:pPr>
        <w:spacing w:after="240"/>
        <w:ind w:left="709"/>
        <w:jc w:val="both"/>
        <w:rPr>
          <w:rFonts w:ascii="Calibri" w:hAnsi="Calibri" w:cs="Calibri"/>
          <w:bCs/>
          <w:iCs/>
          <w:sz w:val="26"/>
          <w:szCs w:val="26"/>
        </w:rPr>
      </w:pP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i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Z hlediska odvětvového členění (podle Klasifikace ekonomických činností 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 xml:space="preserve">         </w:t>
      </w:r>
      <w:r w:rsidRPr="00AA590D">
        <w:rPr>
          <w:rFonts w:ascii="Calibri" w:hAnsi="Calibri" w:cs="Calibri"/>
          <w:bCs/>
          <w:iCs/>
          <w:sz w:val="26"/>
          <w:szCs w:val="26"/>
        </w:rPr>
        <w:t>CZ-NACE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>–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viz tabulku č. 5 v příloze)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bylo v 1. 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noBreakHyphen/>
        <w:t> 3. čtvrtletí 2020 dosaženo nejvyšší nominální průměrné mzdy v odvětví „informační a komunikační činnosti“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(61 532 Kč),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 xml:space="preserve">v odvětví „peněžnictví a pojišťovnictví“ 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(59 973 Kč) a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v odvětví „výroba</w:t>
      </w:r>
      <w:r w:rsidR="004C6D57" w:rsidRPr="00AA590D">
        <w:rPr>
          <w:rFonts w:ascii="Calibri" w:hAnsi="Calibri" w:cs="Calibri"/>
          <w:b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a rozvod elektřiny, plynu, tepla a klimatizovaného vzduchu“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(51 936 Kč). Celorepublikový průměr (34 611 Kč) byl překročen rovněž v odvětvích „profesní,</w:t>
      </w:r>
      <w:r w:rsidR="004C6D57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vědecké a technické činnosti“ (41 073 Kč), „veřejná správa a obrana; </w:t>
      </w:r>
      <w:r w:rsidRPr="00AA590D">
        <w:rPr>
          <w:rFonts w:ascii="Calibri" w:hAnsi="Calibri" w:cs="Calibri"/>
          <w:bCs/>
          <w:iCs/>
          <w:sz w:val="26"/>
          <w:szCs w:val="26"/>
        </w:rPr>
        <w:lastRenderedPageBreak/>
        <w:t xml:space="preserve">povinné sociální zabezpečení“ (39 862 Kč), „zdravotní a sociální péče“ (38 287 Kč), „těžba a dobývání“ (36 464 Kč) a „vzdělávání“ (35 284 Kč).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Nejnižší průměrná mzda byla v odvětvích „ubytování, stravování a pohostinství“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(19 678 Kč),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„administrativní a podpůrné činnosti“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(24 197 Kč) a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„ostatní činnosti“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(25 325 Kč) – tj. např. činnosti podnikatelských, zaměstnavatelských a profesních organizací a odborových svazů, opravy počítačů a komunikačních zařízení a výrobků pro osobní potřebu, praní a chemické čištění, kadeřnické, kosmetické činnosti, pohřební služby apod.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iCs/>
          <w:sz w:val="26"/>
          <w:szCs w:val="26"/>
        </w:rPr>
      </w:pPr>
      <w:r w:rsidRPr="00AA590D">
        <w:rPr>
          <w:rFonts w:ascii="Calibri" w:hAnsi="Calibri" w:cs="Calibri"/>
          <w:b/>
          <w:bCs/>
          <w:iCs/>
          <w:sz w:val="26"/>
          <w:szCs w:val="26"/>
        </w:rPr>
        <w:tab/>
        <w:t>Dynamika vývoje mezd v jednotlivých odvětvích byla diferencovaná, a to nominálně od -3,3 % do +9,3 %. Největší meziroční nárůst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byl zaznamenán v odvětvích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„administrativní a podpůrné činnosti“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9,3 %),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„výroba a rozvod elektřiny, plynu, tepla a klimatizovaného vzduchu“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,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„zdravotní a sociální péče“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(obě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shodně o 7,6 %) a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„vzdělávání“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6,6 %). Naopak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meziroční pokles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průměrné mzdy byl v odvětvích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„činnosti v oblasti nemovitostí“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3,3 %) a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„ubytování, stravování a pohostinství“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2,2 %). K poklesu kupní síly průměrné mzdy (v rozsahu od 6,4 % do 0,1 %) došlo v 11 odvětvích. Ke zvýšení průměrné reálné mzdy došlo u</w:t>
      </w:r>
      <w:r w:rsidR="00AC2CFA" w:rsidRPr="00AA590D">
        <w:rPr>
          <w:rFonts w:ascii="Calibri" w:hAnsi="Calibri" w:cs="Calibri"/>
          <w:bCs/>
          <w:iCs/>
          <w:sz w:val="26"/>
          <w:szCs w:val="26"/>
        </w:rPr>
        <w:t> </w:t>
      </w:r>
      <w:r w:rsidRPr="00AA590D">
        <w:rPr>
          <w:rFonts w:ascii="Calibri" w:hAnsi="Calibri" w:cs="Calibri"/>
          <w:bCs/>
          <w:iCs/>
          <w:sz w:val="26"/>
          <w:szCs w:val="26"/>
        </w:rPr>
        <w:t>zbývajících 8 odvětví (až o 5,8 %).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>Meziodvětvová mzdová diferenciace</w:t>
      </w:r>
      <w:r w:rsidRPr="00AA590D">
        <w:rPr>
          <w:rFonts w:ascii="Calibri" w:hAnsi="Calibri" w:cs="Calibri"/>
          <w:bCs/>
          <w:sz w:val="26"/>
          <w:szCs w:val="26"/>
        </w:rPr>
        <w:t xml:space="preserve"> se proti stejnému období předchozího roku </w:t>
      </w:r>
      <w:r w:rsidRPr="00AA590D">
        <w:rPr>
          <w:rFonts w:ascii="Calibri" w:hAnsi="Calibri" w:cs="Calibri"/>
          <w:b/>
          <w:sz w:val="26"/>
          <w:szCs w:val="26"/>
        </w:rPr>
        <w:t xml:space="preserve">mírně </w:t>
      </w:r>
      <w:r w:rsidRPr="00AA590D">
        <w:rPr>
          <w:rFonts w:ascii="Calibri" w:hAnsi="Calibri" w:cs="Calibri"/>
          <w:b/>
          <w:bCs/>
          <w:sz w:val="26"/>
          <w:szCs w:val="26"/>
        </w:rPr>
        <w:t>zvýšila;</w:t>
      </w:r>
      <w:r w:rsidRPr="00AA590D">
        <w:rPr>
          <w:rFonts w:ascii="Calibri" w:hAnsi="Calibri" w:cs="Calibri"/>
          <w:bCs/>
          <w:sz w:val="26"/>
          <w:szCs w:val="26"/>
        </w:rPr>
        <w:t xml:space="preserve"> variační koeficient průměrných mezd (podle sekcí CZ-NACE) vzrostl o 0,6 p. b. na 30,9 %.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Výše průměrné nominální mzdy se </w:t>
      </w:r>
      <w:r w:rsidRPr="00AA590D">
        <w:rPr>
          <w:rFonts w:ascii="Calibri" w:hAnsi="Calibri" w:cs="Calibri"/>
          <w:bCs/>
          <w:sz w:val="26"/>
          <w:szCs w:val="26"/>
        </w:rPr>
        <w:t>výrazně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lišila i podle velikosti zpravodajské jednotky, tj. čím větší byl počet zaměstnanců, tím vyšší byla průměrná mzda. V malých podnicích do 19 zaměstnanců</w:t>
      </w:r>
      <w:r w:rsidRPr="00AA590D">
        <w:rPr>
          <w:rFonts w:ascii="Calibri" w:hAnsi="Calibri" w:cs="Calibri"/>
          <w:bCs/>
          <w:sz w:val="26"/>
          <w:szCs w:val="26"/>
        </w:rPr>
        <w:t xml:space="preserve"> (velikostní kategorii s druhým nejvyšším počtem zaměstnanců – cca 817 tis.) byla s úrovní </w:t>
      </w:r>
      <w:r w:rsidRPr="00AA590D">
        <w:rPr>
          <w:rFonts w:ascii="Calibri" w:hAnsi="Calibri" w:cs="Calibri"/>
          <w:b/>
          <w:bCs/>
          <w:sz w:val="26"/>
          <w:szCs w:val="26"/>
        </w:rPr>
        <w:t>25 346 Kč nejnižší</w:t>
      </w:r>
      <w:r w:rsidRPr="00AA590D">
        <w:rPr>
          <w:rFonts w:ascii="Calibri" w:hAnsi="Calibri" w:cs="Calibri"/>
          <w:bCs/>
          <w:sz w:val="26"/>
          <w:szCs w:val="26"/>
        </w:rPr>
        <w:t xml:space="preserve"> (cca 73 % průměrné mzdy v národním hospodářství). Naopak </w:t>
      </w:r>
      <w:r w:rsidRPr="00AA590D">
        <w:rPr>
          <w:rFonts w:ascii="Calibri" w:hAnsi="Calibri" w:cs="Calibri"/>
          <w:b/>
          <w:bCs/>
          <w:sz w:val="26"/>
          <w:szCs w:val="26"/>
        </w:rPr>
        <w:t>nejvyšší průměrná mzda</w:t>
      </w:r>
      <w:r w:rsidRPr="00AA590D">
        <w:rPr>
          <w:rFonts w:ascii="Calibri" w:hAnsi="Calibri" w:cs="Calibri"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sz w:val="26"/>
          <w:szCs w:val="26"/>
        </w:rPr>
        <w:t>42 092 Kč</w:t>
      </w:r>
      <w:r w:rsidRPr="00AA590D">
        <w:rPr>
          <w:rFonts w:ascii="Calibri" w:hAnsi="Calibri" w:cs="Calibri"/>
          <w:bCs/>
          <w:sz w:val="26"/>
          <w:szCs w:val="26"/>
        </w:rPr>
        <w:t xml:space="preserve"> (téměř 122 % průměru) byla vyplacena </w:t>
      </w:r>
      <w:r w:rsidRPr="00AA590D">
        <w:rPr>
          <w:rFonts w:ascii="Calibri" w:hAnsi="Calibri" w:cs="Calibri"/>
          <w:b/>
          <w:bCs/>
          <w:sz w:val="26"/>
          <w:szCs w:val="26"/>
        </w:rPr>
        <w:t>v organizacích s 1 000 a více zaměstnanci.</w:t>
      </w:r>
      <w:r w:rsidRPr="00AA590D">
        <w:rPr>
          <w:rFonts w:ascii="Calibri" w:hAnsi="Calibri" w:cs="Calibri"/>
          <w:bCs/>
          <w:sz w:val="26"/>
          <w:szCs w:val="26"/>
        </w:rPr>
        <w:t xml:space="preserve"> Nejvyšší relativní zvýšení průměrné mzdy bylo zaznamenáno v podnicích s </w:t>
      </w:r>
      <w:proofErr w:type="gramStart"/>
      <w:r w:rsidRPr="00AA590D">
        <w:rPr>
          <w:rFonts w:ascii="Calibri" w:hAnsi="Calibri" w:cs="Calibri"/>
          <w:bCs/>
          <w:sz w:val="26"/>
          <w:szCs w:val="26"/>
        </w:rPr>
        <w:t>20 </w:t>
      </w:r>
      <w:r w:rsidRPr="00AA590D">
        <w:rPr>
          <w:rFonts w:ascii="Calibri" w:hAnsi="Calibri" w:cs="Calibri"/>
          <w:bCs/>
          <w:iCs/>
          <w:sz w:val="26"/>
          <w:szCs w:val="26"/>
        </w:rPr>
        <w:t>- </w:t>
      </w:r>
      <w:r w:rsidRPr="00AA590D">
        <w:rPr>
          <w:rFonts w:ascii="Calibri" w:hAnsi="Calibri" w:cs="Calibri"/>
          <w:bCs/>
          <w:sz w:val="26"/>
          <w:szCs w:val="26"/>
        </w:rPr>
        <w:t>49</w:t>
      </w:r>
      <w:proofErr w:type="gramEnd"/>
      <w:r w:rsidRPr="00AA590D">
        <w:rPr>
          <w:rFonts w:ascii="Calibri" w:hAnsi="Calibri" w:cs="Calibri"/>
          <w:bCs/>
          <w:sz w:val="26"/>
          <w:szCs w:val="26"/>
        </w:rPr>
        <w:t xml:space="preserve"> zaměstnanci, nejnižší zvýšení v organizacích s 250 </w:t>
      </w:r>
      <w:r w:rsidRPr="00AA590D">
        <w:rPr>
          <w:rFonts w:ascii="Calibri" w:hAnsi="Calibri" w:cs="Calibri"/>
          <w:bCs/>
          <w:iCs/>
          <w:sz w:val="26"/>
          <w:szCs w:val="26"/>
        </w:rPr>
        <w:t>- </w:t>
      </w:r>
      <w:r w:rsidRPr="00AA590D">
        <w:rPr>
          <w:rFonts w:ascii="Calibri" w:hAnsi="Calibri" w:cs="Calibri"/>
          <w:bCs/>
          <w:sz w:val="26"/>
          <w:szCs w:val="26"/>
        </w:rPr>
        <w:t xml:space="preserve">499 zaměstnanci.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K posílení reálné průměrné mzdy došlo ve všech sledovaných velikostních kategorií ekonomických </w:t>
      </w:r>
      <w:r w:rsidRPr="00AA590D">
        <w:rPr>
          <w:rFonts w:ascii="Calibri" w:hAnsi="Calibri" w:cs="Calibri"/>
          <w:b/>
          <w:bCs/>
          <w:sz w:val="26"/>
          <w:szCs w:val="26"/>
        </w:rPr>
        <w:lastRenderedPageBreak/>
        <w:t>subjektů, vyjma organizací</w:t>
      </w:r>
      <w:r w:rsidRPr="00AA590D">
        <w:rPr>
          <w:rFonts w:ascii="Calibri" w:hAnsi="Calibri" w:cs="Calibri"/>
          <w:b/>
          <w:sz w:val="26"/>
          <w:szCs w:val="26"/>
        </w:rPr>
        <w:t xml:space="preserve"> s </w:t>
      </w:r>
      <w:proofErr w:type="gramStart"/>
      <w:r w:rsidRPr="00AA590D">
        <w:rPr>
          <w:rFonts w:ascii="Calibri" w:hAnsi="Calibri" w:cs="Calibri"/>
          <w:b/>
          <w:sz w:val="26"/>
          <w:szCs w:val="26"/>
        </w:rPr>
        <w:t>250 </w:t>
      </w:r>
      <w:r w:rsidRPr="00AA590D">
        <w:rPr>
          <w:rFonts w:ascii="Calibri" w:hAnsi="Calibri" w:cs="Calibri"/>
          <w:b/>
          <w:iCs/>
          <w:sz w:val="26"/>
          <w:szCs w:val="26"/>
        </w:rPr>
        <w:t>- </w:t>
      </w:r>
      <w:r w:rsidRPr="00AA590D">
        <w:rPr>
          <w:rFonts w:ascii="Calibri" w:hAnsi="Calibri" w:cs="Calibri"/>
          <w:b/>
          <w:sz w:val="26"/>
          <w:szCs w:val="26"/>
        </w:rPr>
        <w:t>499</w:t>
      </w:r>
      <w:proofErr w:type="gramEnd"/>
      <w:r w:rsidRPr="00AA590D">
        <w:rPr>
          <w:rFonts w:ascii="Calibri" w:hAnsi="Calibri" w:cs="Calibri"/>
          <w:b/>
          <w:sz w:val="26"/>
          <w:szCs w:val="26"/>
        </w:rPr>
        <w:t xml:space="preserve"> zaměstnanci</w:t>
      </w:r>
      <w:r w:rsidRPr="00AA590D">
        <w:rPr>
          <w:rFonts w:ascii="Calibri" w:hAnsi="Calibri" w:cs="Calibri"/>
          <w:b/>
          <w:bCs/>
          <w:sz w:val="26"/>
          <w:szCs w:val="26"/>
        </w:rPr>
        <w:t>.</w:t>
      </w:r>
      <w:r w:rsidRPr="00AA590D">
        <w:rPr>
          <w:rFonts w:ascii="Calibri" w:hAnsi="Calibri" w:cs="Calibri"/>
          <w:bCs/>
          <w:sz w:val="26"/>
          <w:szCs w:val="26"/>
        </w:rPr>
        <w:t xml:space="preserve"> Pokles počtu zaměstnanců byl zaznamenán ve všech velikostních kategoriích (od 8,2 do 42,2 tis. zaměstnanců) s výjimkou nejmenších podniků do 19 zaměstnanců, kde se jejich počet naopak zvýšil o 0,4 tis. – podrobněji viz tabulku č. 6 v příloze.</w:t>
      </w:r>
    </w:p>
    <w:p w:rsidR="006D20CE" w:rsidRPr="00AA590D" w:rsidRDefault="006D20CE" w:rsidP="00806A37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AA590D">
        <w:rPr>
          <w:rFonts w:ascii="Calibri" w:hAnsi="Calibri" w:cs="Calibri"/>
          <w:bCs/>
          <w:sz w:val="26"/>
          <w:szCs w:val="26"/>
        </w:rPr>
        <w:tab/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V krajském členění </w:t>
      </w:r>
      <w:r w:rsidRPr="00AA590D">
        <w:rPr>
          <w:rFonts w:ascii="Calibri" w:hAnsi="Calibri" w:cs="Calibri"/>
          <w:bCs/>
          <w:sz w:val="26"/>
          <w:szCs w:val="26"/>
        </w:rPr>
        <w:t xml:space="preserve">došlo k meziročnímu 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nominálnímu růstu průměrné mzdy ve všech 14 krajích. </w:t>
      </w:r>
      <w:r w:rsidRPr="00AA590D">
        <w:rPr>
          <w:rFonts w:ascii="Calibri" w:hAnsi="Calibri" w:cs="Calibri"/>
          <w:bCs/>
          <w:sz w:val="26"/>
          <w:szCs w:val="26"/>
        </w:rPr>
        <w:t xml:space="preserve">Dlouhodobě </w:t>
      </w:r>
      <w:r w:rsidRPr="00AA590D">
        <w:rPr>
          <w:rFonts w:ascii="Calibri" w:hAnsi="Calibri" w:cs="Calibri"/>
          <w:b/>
          <w:bCs/>
          <w:sz w:val="26"/>
          <w:szCs w:val="26"/>
        </w:rPr>
        <w:t>nejvyšší úroveň průměrné mzdy vykazuje hl. m. Praha</w:t>
      </w:r>
      <w:r w:rsidRPr="00AA590D">
        <w:rPr>
          <w:rFonts w:ascii="Calibri" w:hAnsi="Calibri" w:cs="Calibri"/>
          <w:bCs/>
          <w:sz w:val="26"/>
          <w:szCs w:val="26"/>
        </w:rPr>
        <w:t xml:space="preserve">, ve sledovaném období dosáhla její výše </w:t>
      </w:r>
      <w:r w:rsidRPr="00AA590D">
        <w:rPr>
          <w:rFonts w:ascii="Calibri" w:hAnsi="Calibri" w:cs="Calibri"/>
          <w:b/>
          <w:bCs/>
          <w:sz w:val="26"/>
          <w:szCs w:val="26"/>
        </w:rPr>
        <w:t>42 811 Kč </w:t>
      </w:r>
      <w:r w:rsidRPr="00AA590D">
        <w:rPr>
          <w:rFonts w:ascii="Calibri" w:hAnsi="Calibri" w:cs="Calibri"/>
          <w:bCs/>
          <w:sz w:val="26"/>
          <w:szCs w:val="26"/>
        </w:rPr>
        <w:t xml:space="preserve">– tj. cca 124 % celorepublikového průměru. </w:t>
      </w:r>
      <w:r w:rsidRPr="00AA590D">
        <w:rPr>
          <w:rFonts w:ascii="Calibri" w:hAnsi="Calibri" w:cs="Calibri"/>
          <w:b/>
          <w:bCs/>
          <w:sz w:val="26"/>
          <w:szCs w:val="26"/>
        </w:rPr>
        <w:t>Nejvýznamnější relativní vzestup</w:t>
      </w:r>
      <w:r w:rsidRPr="00AA590D">
        <w:rPr>
          <w:rFonts w:ascii="Calibri" w:hAnsi="Calibri" w:cs="Calibri"/>
          <w:bCs/>
          <w:sz w:val="26"/>
          <w:szCs w:val="26"/>
        </w:rPr>
        <w:t xml:space="preserve"> průměrné nominální mzdy vykázaly</w:t>
      </w:r>
      <w:r w:rsidRPr="00AA59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Ústecký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4,8 %),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 xml:space="preserve"> Jihočeský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4,6 %) 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>a Jihomoravský kraj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 4,5 %)</w:t>
      </w:r>
      <w:r w:rsidRPr="00AA590D">
        <w:rPr>
          <w:rFonts w:ascii="Calibri" w:hAnsi="Calibri" w:cs="Calibri"/>
          <w:bCs/>
          <w:sz w:val="26"/>
          <w:szCs w:val="26"/>
        </w:rPr>
        <w:t xml:space="preserve">; naopak </w:t>
      </w:r>
      <w:r w:rsidRPr="00AA590D">
        <w:rPr>
          <w:rFonts w:ascii="Calibri" w:hAnsi="Calibri" w:cs="Calibri"/>
          <w:b/>
          <w:bCs/>
          <w:sz w:val="26"/>
          <w:szCs w:val="26"/>
        </w:rPr>
        <w:t>nejnižší nárůst</w:t>
      </w:r>
      <w:r w:rsidRPr="00AA590D">
        <w:rPr>
          <w:rFonts w:ascii="Calibri" w:hAnsi="Calibri" w:cs="Calibri"/>
          <w:bCs/>
          <w:sz w:val="26"/>
          <w:szCs w:val="26"/>
        </w:rPr>
        <w:t xml:space="preserve"> byl zaznamenán </w:t>
      </w:r>
      <w:r w:rsidRPr="00AA590D">
        <w:rPr>
          <w:rFonts w:ascii="Calibri" w:hAnsi="Calibri" w:cs="Calibri"/>
          <w:b/>
          <w:sz w:val="26"/>
          <w:szCs w:val="26"/>
        </w:rPr>
        <w:t>v 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 xml:space="preserve">Libereckém kraji </w:t>
      </w:r>
      <w:r w:rsidRPr="00AA590D">
        <w:rPr>
          <w:rFonts w:ascii="Calibri" w:hAnsi="Calibri" w:cs="Calibri"/>
          <w:bCs/>
          <w:sz w:val="26"/>
          <w:szCs w:val="26"/>
        </w:rPr>
        <w:t xml:space="preserve">(o 2,2 %), </w:t>
      </w:r>
      <w:r w:rsidRPr="00AA590D">
        <w:rPr>
          <w:rFonts w:ascii="Calibri" w:hAnsi="Calibri" w:cs="Calibri"/>
          <w:b/>
          <w:bCs/>
          <w:sz w:val="26"/>
          <w:szCs w:val="26"/>
        </w:rPr>
        <w:t>hl. m. Praze </w:t>
      </w:r>
      <w:r w:rsidRPr="00AA590D">
        <w:rPr>
          <w:rFonts w:ascii="Calibri" w:hAnsi="Calibri" w:cs="Calibri"/>
          <w:bCs/>
          <w:sz w:val="26"/>
          <w:szCs w:val="26"/>
        </w:rPr>
        <w:t>(o 2,6 %),</w:t>
      </w:r>
      <w:r w:rsidRPr="00AA590D">
        <w:rPr>
          <w:rFonts w:ascii="Calibri" w:hAnsi="Calibri" w:cs="Calibri"/>
          <w:b/>
          <w:bCs/>
          <w:iCs/>
          <w:sz w:val="26"/>
          <w:szCs w:val="26"/>
        </w:rPr>
        <w:t xml:space="preserve"> ve Středočeském a Plzeňském kraji</w:t>
      </w:r>
      <w:r w:rsidRPr="00AA590D">
        <w:rPr>
          <w:rFonts w:ascii="Calibri" w:hAnsi="Calibri" w:cs="Calibri"/>
          <w:bCs/>
          <w:iCs/>
          <w:sz w:val="26"/>
          <w:szCs w:val="26"/>
        </w:rPr>
        <w:t xml:space="preserve"> (oba shodně o 3,0 %)</w:t>
      </w:r>
      <w:r w:rsidRPr="00AA590D">
        <w:rPr>
          <w:rFonts w:ascii="Calibri" w:hAnsi="Calibri" w:cs="Calibri"/>
          <w:bCs/>
          <w:sz w:val="26"/>
          <w:szCs w:val="26"/>
        </w:rPr>
        <w:t xml:space="preserve"> </w:t>
      </w:r>
      <w:r w:rsidRPr="00AA590D">
        <w:rPr>
          <w:rFonts w:ascii="Calibri" w:hAnsi="Calibri" w:cs="Calibri"/>
          <w:bCs/>
          <w:iCs/>
          <w:sz w:val="26"/>
          <w:szCs w:val="26"/>
        </w:rPr>
        <w:t>–</w:t>
      </w:r>
      <w:r w:rsidRPr="00AA590D">
        <w:rPr>
          <w:rFonts w:ascii="Calibri" w:hAnsi="Calibri" w:cs="Calibri"/>
          <w:bCs/>
          <w:sz w:val="26"/>
          <w:szCs w:val="26"/>
        </w:rPr>
        <w:t xml:space="preserve"> viz</w:t>
      </w:r>
      <w:r w:rsidR="00AC2CFA" w:rsidRPr="00AA590D">
        <w:rPr>
          <w:rFonts w:ascii="Calibri" w:hAnsi="Calibri" w:cs="Calibri"/>
          <w:bCs/>
          <w:sz w:val="26"/>
          <w:szCs w:val="26"/>
        </w:rPr>
        <w:t> </w:t>
      </w:r>
      <w:r w:rsidRPr="00AA590D">
        <w:rPr>
          <w:rFonts w:ascii="Calibri" w:hAnsi="Calibri" w:cs="Calibri"/>
          <w:bCs/>
          <w:sz w:val="26"/>
          <w:szCs w:val="26"/>
        </w:rPr>
        <w:t xml:space="preserve">tabulku č. 7 v příloze. </w:t>
      </w:r>
      <w:r w:rsidRPr="00AA590D">
        <w:rPr>
          <w:rFonts w:ascii="Calibri" w:hAnsi="Calibri" w:cs="Calibri"/>
          <w:b/>
          <w:bCs/>
          <w:sz w:val="26"/>
          <w:szCs w:val="26"/>
        </w:rPr>
        <w:t>Nejnižší absolutní úroveň průměrné mzdy 30 188 Kč byla v Karlovarském kraji.</w:t>
      </w:r>
      <w:r w:rsidRPr="00AA590D">
        <w:rPr>
          <w:rFonts w:ascii="Calibri" w:hAnsi="Calibri" w:cs="Calibri"/>
          <w:bCs/>
          <w:sz w:val="26"/>
          <w:szCs w:val="26"/>
        </w:rPr>
        <w:t xml:space="preserve"> Současně došlo k mírnému </w:t>
      </w:r>
      <w:r w:rsidRPr="00AA590D">
        <w:rPr>
          <w:rFonts w:ascii="Calibri" w:hAnsi="Calibri" w:cs="Calibri"/>
          <w:b/>
          <w:bCs/>
          <w:sz w:val="26"/>
          <w:szCs w:val="26"/>
        </w:rPr>
        <w:t>nárůstu diferenciace</w:t>
      </w:r>
      <w:r w:rsidRPr="00AA590D">
        <w:rPr>
          <w:rFonts w:ascii="Calibri" w:hAnsi="Calibri" w:cs="Calibri"/>
          <w:bCs/>
          <w:sz w:val="26"/>
          <w:szCs w:val="26"/>
        </w:rPr>
        <w:t>, tj. zvýšení extrémních mzdových hladin (hl. m. Praha x Karlovarský kraj) o 101 Kč na 12 623 Kč. Hodnota variačního koeficientu se naopak v tomto členění snížila z 9,7 % v 1. </w:t>
      </w:r>
      <w:r w:rsidRPr="00AA590D">
        <w:rPr>
          <w:rFonts w:ascii="Calibri" w:hAnsi="Calibri" w:cs="Calibri"/>
          <w:bCs/>
          <w:sz w:val="26"/>
          <w:szCs w:val="26"/>
        </w:rPr>
        <w:noBreakHyphen/>
        <w:t> 3. čtvrtletí 2019 na 9,3 % ve stejném období roku 2020.</w:t>
      </w:r>
    </w:p>
    <w:p w:rsidR="00D97A60" w:rsidRPr="00AA590D" w:rsidRDefault="00D97A60" w:rsidP="00806A37">
      <w:pPr>
        <w:spacing w:after="240" w:line="360" w:lineRule="auto"/>
        <w:jc w:val="both"/>
      </w:pPr>
      <w:r w:rsidRPr="00AA590D">
        <w:rPr>
          <w:rFonts w:asciiTheme="minorHAnsi" w:hAnsiTheme="minorHAnsi" w:cs="Arial"/>
          <w:sz w:val="26"/>
          <w:szCs w:val="26"/>
        </w:rPr>
        <w:tab/>
      </w:r>
      <w:r w:rsidRPr="00AA590D">
        <w:br w:type="page"/>
      </w:r>
    </w:p>
    <w:p w:rsidR="00687AA8" w:rsidRPr="00AA590D" w:rsidRDefault="00687AA8" w:rsidP="004C6D57">
      <w:pPr>
        <w:spacing w:after="240" w:line="360" w:lineRule="auto"/>
        <w:rPr>
          <w:rFonts w:asciiTheme="minorHAnsi" w:hAnsiTheme="minorHAnsi" w:cs="Arial"/>
          <w:b/>
          <w:i/>
          <w:sz w:val="40"/>
          <w:szCs w:val="40"/>
        </w:rPr>
      </w:pPr>
      <w:r w:rsidRPr="00AA590D">
        <w:rPr>
          <w:rFonts w:asciiTheme="minorHAnsi" w:hAnsiTheme="minorHAnsi" w:cs="Arial"/>
          <w:b/>
          <w:i/>
          <w:sz w:val="40"/>
          <w:szCs w:val="40"/>
        </w:rPr>
        <w:lastRenderedPageBreak/>
        <w:t>1.3 Sociální příjmy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bookmarkStart w:id="2" w:name="_Hlk60863659"/>
      <w:r w:rsidRPr="00AA590D">
        <w:rPr>
          <w:rFonts w:ascii="Calibri" w:eastAsia="Calibri" w:hAnsi="Calibri" w:cs="Calibri"/>
          <w:b/>
          <w:szCs w:val="24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Celkový objem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sociálních příjmů (druhé nejvyšší složky peněžních příjmů domácností)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dosáhl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od počátku roku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do konce září 2020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částky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484,4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a převýšil skutečnost stejného období roku 2019 o 53,6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tj. o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12,4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nominálně a o 8,8 % reálně.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Pokles byl zaznamenán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pouze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u dávek pro osoby se zdravotním postižením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příjmy občanů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 ostatních druhů sociálních dávek se zvýšily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 8 v příloze.</w:t>
      </w:r>
    </w:p>
    <w:p w:rsidR="00930F35" w:rsidRPr="00AA590D" w:rsidRDefault="00930F35" w:rsidP="001726CE">
      <w:pPr>
        <w:spacing w:after="24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Dávky důchodového pojištění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na které bylo v 1.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– 3.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čtvrtletí 2020 bez dávek vyplácených do ciziny poskytnuto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364,3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24,3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7,1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více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než ve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srovnatelném období roku 2019, se podílely na celkové úrovni sociálních příjmů domácností 75,3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Nárůst zaznamenaly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výdaje na starobní důchody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které (bez dávek vyplácených do ciziny)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vzrostly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21,2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304,0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 Jejich podíl na celkovém objemu výdajů na dávky důchodového pojištění dosáhl 83,4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%. Výdaje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invalidní důchody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činily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37,7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2,1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více než v 1.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–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3.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čtvrtletí roku 2019). Výdaje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pozůstalostní důchody ve výši 22,3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vzrostly o 1,0 mld. Kč.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Průměrná výše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(samostatně vypláceného)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starobního důchodu se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v období </w:t>
      </w:r>
      <w:proofErr w:type="gramStart"/>
      <w:r w:rsidRPr="00AA590D">
        <w:rPr>
          <w:rFonts w:ascii="Calibri" w:eastAsia="Calibri" w:hAnsi="Calibri" w:cs="Calibri"/>
          <w:sz w:val="26"/>
          <w:szCs w:val="26"/>
          <w:lang w:eastAsia="en-US"/>
        </w:rPr>
        <w:t>leden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–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září</w:t>
      </w:r>
      <w:proofErr w:type="gramEnd"/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2020 meziročně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zvýšila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 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021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(o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7,6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14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437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v reálném vyjádření se zvýšila o 3,7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(při použití indexu životních nákladů domácností důchodců 103,8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%).</w:t>
      </w:r>
    </w:p>
    <w:p w:rsidR="00930F35" w:rsidRPr="00AA590D" w:rsidRDefault="00930F35" w:rsidP="001726CE">
      <w:pPr>
        <w:spacing w:after="12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 září 2020:</w:t>
      </w:r>
    </w:p>
    <w:p w:rsidR="00930F35" w:rsidRPr="00AA590D" w:rsidRDefault="00930F35" w:rsidP="006F4787">
      <w:pPr>
        <w:numPr>
          <w:ilvl w:val="0"/>
          <w:numId w:val="7"/>
        </w:numPr>
        <w:spacing w:after="240"/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pobíralo důchod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2 879,7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tis. osob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přičemž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jejich počet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se meziročně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snížil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 8,0 tis.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Starobní důchod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(včetně poměrného) pobíralo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2 403,8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tis. osob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 5,9 tis. osob méně než v září 2019), z toho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trvale krácený předčasný důchod 648,3 tis. osob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1726C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11,1 tis. více). Invalidní důchod pobíralo o 1,6 tis. osob méně – 418,9 tis. V rámci pozůstalostních důchodů došlo ke zvýšení počtu příjemců o 0,4 tis. u sirotčího důchodu a ke snížení počtu příjemců o 0,9 tis. u vdovského a vdoveckého důchodu,</w:t>
      </w:r>
    </w:p>
    <w:p w:rsidR="00930F35" w:rsidRPr="00AA590D" w:rsidRDefault="00930F35" w:rsidP="006F4787">
      <w:pPr>
        <w:numPr>
          <w:ilvl w:val="0"/>
          <w:numId w:val="7"/>
        </w:numPr>
        <w:spacing w:after="240"/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průměrný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nominální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starobní důchod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(vyplácený samostatně) dosáhl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14 470 Kč a</w:t>
      </w:r>
      <w:r w:rsidR="001726C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převýšil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 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015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 (tj.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7,5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) skutečnost stejného měsíce roku 2019 (tabulka č.</w:t>
      </w:r>
      <w:r w:rsidR="001726C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9 v příloze). U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žen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činil 13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191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 a představoval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83,2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 průměrného důchodu mužů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(15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864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Kč). Průměrná výše trvale kráceného předčasného důchodu byla oproti průměrnému starobnímu důchodu o 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546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nižší a dosáhla 12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924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(o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931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více než v září roku 2019), z toho u mužů 14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235 Kč a u žen 11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743</w:t>
      </w:r>
      <w:r w:rsidR="006001A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Kč,</w:t>
      </w:r>
    </w:p>
    <w:p w:rsidR="00930F35" w:rsidRPr="00AA590D" w:rsidRDefault="00930F35" w:rsidP="006F4787">
      <w:pPr>
        <w:numPr>
          <w:ilvl w:val="0"/>
          <w:numId w:val="7"/>
        </w:numPr>
        <w:spacing w:after="240"/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pobíralo samostatně vyplácený starobní důchod ve výši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do 10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999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Kč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měsíčně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11,2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osob, ve výši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11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000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–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13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999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měsíčně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34,1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osob, důchod ve výši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14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000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–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17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999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měsíčně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43,8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osob a ve výši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18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000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 a více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10,9</w:t>
      </w:r>
      <w:r w:rsidR="006001A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osob.</w:t>
      </w:r>
    </w:p>
    <w:p w:rsidR="00930F35" w:rsidRPr="00AA590D" w:rsidRDefault="00930F35" w:rsidP="001726CE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V pořadí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druhou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objemově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největší položku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sociálních příjmů domácností v 1. – 3.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2020 tvořily </w:t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dávky nemocenského pojištění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. Touto formou bylo poskytnuto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42,8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což bylo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47,4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13,8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Kč) více než ve srovnatelném období předchozího roku – viz tabulku č. 8 v příloze.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Rozhodující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dávkou bylo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nemocenské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; jeho podíl na dávkách nemocenského pojištění činil 57,6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a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objem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finančních prostředků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se zvýšil o 23,2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4,6</w:t>
      </w:r>
      <w:r w:rsidR="00E92EC9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mld. Kč)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24,7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E92EC9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</w:t>
      </w:r>
    </w:p>
    <w:p w:rsidR="008D5A3A" w:rsidRPr="00AA590D" w:rsidRDefault="008D5A3A" w:rsidP="008D5A3A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bookmarkStart w:id="3" w:name="_Hlk61983711"/>
      <w:bookmarkStart w:id="4" w:name="_Hlk60125033"/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Výdaje na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ošetřovné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se ve sledovaném období zvýšily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 674,5 %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 8,8 mld. Kč) na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10,0 mld. 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</w:t>
      </w:r>
      <w:r w:rsidRPr="00AA590D">
        <w:rPr>
          <w:rFonts w:ascii="Calibri" w:hAnsi="Calibri" w:cs="Calibri"/>
          <w:sz w:val="26"/>
          <w:szCs w:val="26"/>
        </w:rPr>
        <w:t xml:space="preserve">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Nárůst byl způsoben zejména přijatými sociálními opatřeními vlády v souvislosti s pandemií viru SARS-CoV-2.</w:t>
      </w:r>
    </w:p>
    <w:bookmarkEnd w:id="3"/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bookmarkEnd w:id="4"/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peněžitou pomoc v mateřství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bylo za leden až září 2020 vyplaceno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7,8 mld. 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tedy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1A4AD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5,0</w:t>
      </w:r>
      <w:r w:rsidR="001A4AD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0,4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Kč) meziročně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více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 Její podíl na dávkách nemocenského pojištění činil 18,3 %.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otcovskou poporodní péči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bylo v 1. – 3.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2020 vynaloženo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205,9 mil. 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tedy téměř stejně (205,8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Kč) jako ve stejném období roku 2019.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U dlouhodobého ošetřovného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došlo ke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zvýšení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finančních prostředků o 21,7 mil.</w:t>
      </w:r>
      <w:r w:rsidR="001A4ADE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101,4</w:t>
      </w:r>
      <w:r w:rsidR="001A4AD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mil.</w:t>
      </w:r>
      <w:r w:rsidR="001A4AD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 14 v příloze.</w:t>
      </w:r>
    </w:p>
    <w:p w:rsidR="001726CE" w:rsidRPr="00AA590D" w:rsidRDefault="001726CE" w:rsidP="001726CE">
      <w:r w:rsidRPr="00AA590D">
        <w:br w:type="page"/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lastRenderedPageBreak/>
        <w:tab/>
        <w:t xml:space="preserve">Na </w:t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dávkách státní sociální podpory a pěstounské péče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bylo od ledna do září 2020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vyplaceno 39,0</w:t>
      </w:r>
      <w:r w:rsidR="001A4AD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1A4ADE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a byly tak s 8,0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podílem třetí nejvýznamnější složkou sociálních příjmů domácností. V hodnoceném období bylo touto formou vyplaceno meziročně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="0034469B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0,5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 více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finančních prostředků (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 36,8 %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) než ve stejném období předchozího roku – viz tabulky č. 8 a 10 v příloze.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Výdaje na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rozhodující dávku tohoto systému –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rodičovský příspěvek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(s podílem 74,4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na celkovém objemu těchto dávek)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se zvýšily o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58,4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 10,7 mld. Kč)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29,0 mld. 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 Průměrný počet měsíčně poskytovaných rodičovských příspěvků se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zvýšil (o 11,7 %, tj. 32,9 tis.) na 314,8 tis.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Pokles byl naopak zaznamenán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u příspěvku na bydlení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(13,6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podíl na celkové výši výdajů na dávky státní sociální podpory a pěstounské péče). V lednu až září 2020 na něj bylo vynaloženo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5,3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1,6</w:t>
      </w:r>
      <w:r w:rsidR="00C917F8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88,6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méně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při sníženém počtu v průměru měsíčně vyplácených dávek (o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7,1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%, tj. o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11,9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tis.) na 156,7</w:t>
      </w:r>
      <w:r w:rsidR="00C917F8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tis., jejichž průměrná výše činila 3 769 Kč (zvýšení o 5,6 %).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Formou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přídavku na dítě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(s podílem 4,1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na celkovém objemu dávek státní sociální podpory a pěstounské péče) bylo vyplaceno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1,6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(pokles o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8,3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%), průměrný měsíční počet dávek se ve sledovaném období snížil o 7,9 % na 223,2 tis. 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Ke snížení dále došlo i u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porodného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bylo na něj vyčerpáno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80,7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mil.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tj.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 22,0 % méně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Na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dávky pěstounské péče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bylo vynaloženo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1,6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 46,4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Kč) meziročně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více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tedy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3,0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920362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 Jejich průměrný měsíční počet vzrostl o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1,0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 na 30,9 tis. – viz</w:t>
      </w:r>
      <w:r w:rsidR="00920362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tabulky č. </w:t>
      </w:r>
      <w:proofErr w:type="gramStart"/>
      <w:r w:rsidRPr="00AA590D">
        <w:rPr>
          <w:rFonts w:ascii="Calibri" w:eastAsia="Calibri" w:hAnsi="Calibri" w:cs="Calibri"/>
          <w:sz w:val="26"/>
          <w:szCs w:val="26"/>
          <w:lang w:eastAsia="en-US"/>
        </w:rPr>
        <w:t>10 – 13</w:t>
      </w:r>
      <w:proofErr w:type="gramEnd"/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v příloze.</w:t>
      </w:r>
    </w:p>
    <w:p w:rsidR="001726CE" w:rsidRPr="00AA590D" w:rsidRDefault="001726CE" w:rsidP="001726CE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Další významnou složkou sociálních příjmů domácností je </w:t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příspěvek na péči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. V hodnoceném období bylo takto čerpáno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24,8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což bylo o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14,4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(3,1 mld. Kč) meziročně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více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. Ve všech krajích došlo k meziročnímu nárůstu, nejvíce v kraji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lastRenderedPageBreak/>
        <w:t>Středočeském (o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17,9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%) – viz tabulku č.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15 v příloze.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Měsíčně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bylo v průměru vyplaceno 367,2 tis. dávek, z toho v I.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stupni závislosti 104,7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tis. (28,5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%), ve II.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stupni 117,6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tis.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(32,0 %), ve III.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stupni 91,0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tis. (24,8 %) a ve IV. stupni 54,0 tis. dávek (14,7 %).</w:t>
      </w:r>
    </w:p>
    <w:p w:rsidR="00263FFD" w:rsidRPr="00AA590D" w:rsidRDefault="00263FFD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Prostředky vyplacené formou </w:t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podpory v nezaměstnanosti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se podílely na celkových sociálních příjmech 1,7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%. V lednu – září 2020 na ně bylo čerpáno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8,0 mld. 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při meziročním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nárůstu o 29,1 %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 8 v příloze.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V uvedeném období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se zvýšil průměrný podíl nezaměstnaných osob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(podíl dosažitelných uchazečů o zaměstnání ve věku 15 až 64 let k obyvatelstvu stejného věku)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ze 2,9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 na 3,4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Průměrný počet evidovaných nezaměstnaných se zvýšil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 36,8 tis. na 253,1 tis., přičemž průměrný počet evidovaných nezaměstnaných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s nárokem na podporu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v nezaměstnanosti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vzrostl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o 12,6 tis.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91,6 tis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. Podíl žen pobírajících podporu v nezaměstnanosti na celkovém počtu uchazečů s podporou činil 50,3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% (o 3,4 p. b. méně než v 1.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–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3.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čtvrtletí 2019). Na jedno volné pracovní místo připadalo 0,7 uchazeče (ve stejném období předchozího roku 0,6 uchazeče).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Průměrná výše podpory v nezaměstnanosti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se meziročně ve sledovaném období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zvýšila o 8,7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 680 Kč)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na 8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507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přičemž vzrostla ve všech krajích. Nejnižší průměrná úroveň podpory byla vykázána v kraji Moravskoslezském (7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861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Kč), nejvyšší v hl. m. Praze (10 207 Kč) – viz tabulku č. 16 v příloze.</w:t>
      </w:r>
    </w:p>
    <w:p w:rsidR="00263FFD" w:rsidRPr="00AA590D" w:rsidRDefault="00263FFD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Dávky pomoci v hmotné nouzi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byly čerpány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ve výši 3,5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. V porovnání s množstvím prostředků poskytnutých touto formou v lednu – září 2019 se jednalo o jejich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zvýšení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 4,3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tj. o 142,7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Kč) – viz tabulky č. 8 a 17 v příloze.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Výdaje na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příspěvek na živobytí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(jejichž podíl činil 64,3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z úhrnného objemu prostředků na dávky pomoci v hmotné nouzi)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vzrostly na 2,2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a byly tak oproti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lastRenderedPageBreak/>
        <w:t>skutečnosti srovnávaného období předchozího roku o 144,0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(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6,9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) vyšší. Meziročně se zvýšily ve všech krajích – viz tabulku č. 18 v příloze.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 xml:space="preserve">Na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doplatku na bydlení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, který představuje 34,0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 z úhrnu dávek pomoci v hmotné nouzi, bylo vyplaceno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1,2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22,2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mil.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Kč 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(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1,8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)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méně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roku 2019.</w:t>
      </w: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  <w:t>Výdaje na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mimořádnou okamžitou pomoc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se proti srovnatelnému období roku 2019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zvýšily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. Bylo na nich vyplaceno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60,6 mil. 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 52,6 %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(o 20,9 mil. Kč) více.</w:t>
      </w:r>
    </w:p>
    <w:p w:rsidR="00263FFD" w:rsidRPr="00AA590D" w:rsidRDefault="00263FFD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0F35" w:rsidRPr="00AA590D" w:rsidRDefault="00930F35" w:rsidP="004C6D5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A590D"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AA590D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Dávky pro osoby se zdravotním postižením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se podílely na celkových sociálních příjmech domácností pouze 0,4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%. Bylo na nich vyplaceno 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2,0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o 1,8</w:t>
      </w:r>
      <w:r w:rsidR="00263FFD" w:rsidRPr="00AA590D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b/>
          <w:sz w:val="26"/>
          <w:szCs w:val="26"/>
          <w:lang w:eastAsia="en-US"/>
        </w:rPr>
        <w:t>% méně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 xml:space="preserve"> než ve sledovaném období roku 2019). V 1.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–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3.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čtvrtletí 2020 bylo vyplaceno 5,0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tis. příspěvků na zvláštní pomůcku v celkové výši 662,6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Kč. Příspěvků na mobilitu bylo poskytnuto v průměru měsíčně 264,1 tis. a bylo na ně čerpáno za leden až září 2020 celkem 1,3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263FFD" w:rsidRPr="00AA590D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AA590D">
        <w:rPr>
          <w:rFonts w:ascii="Calibri" w:eastAsia="Calibri" w:hAnsi="Calibri" w:cs="Calibri"/>
          <w:sz w:val="26"/>
          <w:szCs w:val="26"/>
          <w:lang w:eastAsia="en-US"/>
        </w:rPr>
        <w:t>Kč – viz tabulku č. 19 v příloze.</w:t>
      </w:r>
    </w:p>
    <w:bookmarkEnd w:id="2"/>
    <w:p w:rsidR="007808E6" w:rsidRPr="00AA590D" w:rsidRDefault="007808E6" w:rsidP="004C6D57">
      <w:pPr>
        <w:spacing w:after="240" w:line="360" w:lineRule="auto"/>
        <w:rPr>
          <w:strike/>
        </w:rPr>
      </w:pPr>
      <w:r w:rsidRPr="00AA590D">
        <w:rPr>
          <w:strike/>
        </w:rPr>
        <w:br w:type="page"/>
      </w:r>
    </w:p>
    <w:p w:rsidR="00FC7C16" w:rsidRPr="00AA590D" w:rsidRDefault="00FC7C16" w:rsidP="001726CE">
      <w:pPr>
        <w:spacing w:after="240" w:line="360" w:lineRule="auto"/>
        <w:rPr>
          <w:rFonts w:asciiTheme="minorHAnsi" w:hAnsiTheme="minorHAnsi" w:cs="Arial"/>
          <w:b/>
          <w:i/>
          <w:iCs/>
          <w:sz w:val="44"/>
          <w:szCs w:val="44"/>
        </w:rPr>
      </w:pPr>
      <w:r w:rsidRPr="00AA590D">
        <w:rPr>
          <w:rFonts w:asciiTheme="minorHAnsi" w:hAnsiTheme="minorHAnsi" w:cs="Arial"/>
          <w:b/>
          <w:iCs/>
          <w:sz w:val="44"/>
          <w:szCs w:val="44"/>
        </w:rPr>
        <w:lastRenderedPageBreak/>
        <w:t>2.</w:t>
      </w:r>
      <w:r w:rsidRPr="00AA590D">
        <w:rPr>
          <w:rFonts w:asciiTheme="minorHAnsi" w:hAnsiTheme="minorHAnsi" w:cs="Arial"/>
          <w:b/>
          <w:i/>
          <w:iCs/>
          <w:sz w:val="44"/>
          <w:szCs w:val="44"/>
        </w:rPr>
        <w:t xml:space="preserve"> </w:t>
      </w:r>
      <w:r w:rsidRPr="00AA590D">
        <w:rPr>
          <w:rFonts w:asciiTheme="minorHAnsi" w:hAnsiTheme="minorHAnsi" w:cs="Arial"/>
          <w:b/>
          <w:iCs/>
          <w:sz w:val="44"/>
          <w:szCs w:val="44"/>
        </w:rPr>
        <w:t>Spotřebitelské ceny a životní náklady</w:t>
      </w:r>
    </w:p>
    <w:p w:rsidR="00FC7C16" w:rsidRPr="00AA590D" w:rsidRDefault="00FC7C16" w:rsidP="001726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b/>
          <w:sz w:val="26"/>
          <w:szCs w:val="26"/>
        </w:rPr>
        <w:tab/>
        <w:t xml:space="preserve">Nárůst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spotřebitelských cen</w:t>
      </w:r>
      <w:r w:rsidRPr="00AA590D">
        <w:rPr>
          <w:rFonts w:asciiTheme="minorHAnsi" w:hAnsiTheme="minorHAnsi" w:cstheme="minorHAnsi"/>
          <w:sz w:val="26"/>
          <w:szCs w:val="26"/>
        </w:rPr>
        <w:t xml:space="preserve"> a životních nákladů </w:t>
      </w:r>
      <w:r w:rsidRPr="00AA590D">
        <w:rPr>
          <w:rFonts w:asciiTheme="minorHAnsi" w:hAnsiTheme="minorHAnsi" w:cstheme="minorHAnsi"/>
          <w:b/>
          <w:sz w:val="26"/>
          <w:szCs w:val="26"/>
        </w:rPr>
        <w:t>byl</w:t>
      </w:r>
      <w:r w:rsidRPr="00AA590D">
        <w:rPr>
          <w:rFonts w:asciiTheme="minorHAnsi" w:hAnsiTheme="minorHAnsi" w:cstheme="minorHAnsi"/>
          <w:sz w:val="26"/>
          <w:szCs w:val="26"/>
        </w:rPr>
        <w:t xml:space="preserve"> z pohledu domácností v lednu až září 2020 </w:t>
      </w:r>
      <w:r w:rsidRPr="00AA590D">
        <w:rPr>
          <w:rFonts w:asciiTheme="minorHAnsi" w:hAnsiTheme="minorHAnsi" w:cstheme="minorHAnsi"/>
          <w:b/>
          <w:sz w:val="26"/>
          <w:szCs w:val="26"/>
        </w:rPr>
        <w:t>oproti předcházejícímu roku vyšší a</w:t>
      </w:r>
      <w:r w:rsidRPr="00AA590D">
        <w:rPr>
          <w:rFonts w:asciiTheme="minorHAnsi" w:hAnsiTheme="minorHAnsi" w:cstheme="minorHAnsi"/>
          <w:sz w:val="26"/>
          <w:szCs w:val="26"/>
        </w:rPr>
        <w:t xml:space="preserve"> meziročně </w:t>
      </w:r>
      <w:r w:rsidRPr="00AA590D">
        <w:rPr>
          <w:rFonts w:asciiTheme="minorHAnsi" w:hAnsiTheme="minorHAnsi" w:cstheme="minorHAnsi"/>
          <w:b/>
          <w:sz w:val="26"/>
          <w:szCs w:val="26"/>
        </w:rPr>
        <w:t>činil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3,3 %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>(ve stejném období roku 2019 stouply ceny meziročně o 2,8 %) – viz tabulky č. 20 a č. 21.</w:t>
      </w:r>
    </w:p>
    <w:p w:rsidR="00FC7C16" w:rsidRPr="00AA590D" w:rsidRDefault="00FC7C16" w:rsidP="001726CE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5" w:name="_Hlk61984038"/>
      <w:r w:rsidRPr="00AA590D">
        <w:rPr>
          <w:rFonts w:asciiTheme="minorHAnsi" w:hAnsiTheme="minorHAnsi" w:cstheme="minorHAnsi"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Mezičtvrtletní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přírůstek </w:t>
      </w:r>
      <w:r w:rsidRPr="00AA590D">
        <w:rPr>
          <w:rFonts w:asciiTheme="minorHAnsi" w:hAnsiTheme="minorHAnsi" w:cstheme="minorHAnsi"/>
          <w:sz w:val="26"/>
          <w:szCs w:val="26"/>
        </w:rPr>
        <w:t xml:space="preserve">spotřebitelských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cen ve třetím čtvrtletí 2020 dosáhl 0,8 %,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což bylo o </w:t>
      </w:r>
      <w:r w:rsidR="00560E35" w:rsidRPr="00AA590D">
        <w:rPr>
          <w:rFonts w:asciiTheme="minorHAnsi" w:hAnsiTheme="minorHAnsi" w:cstheme="minorHAnsi"/>
          <w:bCs/>
          <w:sz w:val="26"/>
          <w:szCs w:val="26"/>
        </w:rPr>
        <w:t>0,5 p. b.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více než ve druhém čtvrtletí (0,3 %).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Oproti druhému čtvrtletí došlo zejména ke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zvýšení cen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v oddílech rekreace a kultura </w:t>
      </w:r>
      <w:r w:rsidRPr="00AA590D">
        <w:rPr>
          <w:rFonts w:asciiTheme="minorHAnsi" w:hAnsiTheme="minorHAnsi" w:cstheme="minorHAnsi"/>
          <w:bCs/>
          <w:sz w:val="26"/>
          <w:szCs w:val="26"/>
        </w:rPr>
        <w:t>(o 4,7 %),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>kde nejvíce vzrostly ceny dovolených s komplexními službami (o 19,6 %),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alkoholické nápoje, tabák </w:t>
      </w:r>
      <w:r w:rsidRPr="00AA590D">
        <w:rPr>
          <w:rFonts w:asciiTheme="minorHAnsi" w:hAnsiTheme="minorHAnsi" w:cstheme="minorHAnsi"/>
          <w:sz w:val="26"/>
          <w:szCs w:val="26"/>
        </w:rPr>
        <w:t xml:space="preserve">(o 3,7 %),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což bylo především ovlivněno vyššími cenami tabáku a tabákových </w:t>
      </w:r>
      <w:bookmarkEnd w:id="5"/>
      <w:r w:rsidRPr="00AA590D">
        <w:rPr>
          <w:rFonts w:asciiTheme="minorHAnsi" w:hAnsiTheme="minorHAnsi" w:cstheme="minorHAnsi"/>
          <w:bCs/>
          <w:sz w:val="26"/>
          <w:szCs w:val="26"/>
        </w:rPr>
        <w:t>výrobků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(o 6,0 %) a nárůstem nákladů v oddíle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doprava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(o 3,1 %), kde byl nejvýznamnějším důvodem nárůst cen pohonných hmot a olejů (o 5,3 %) a cen automobilů (o 3,1 %).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Náklady domácnostem naopak </w:t>
      </w:r>
      <w:r w:rsidRPr="00AA590D">
        <w:rPr>
          <w:rFonts w:asciiTheme="minorHAnsi" w:hAnsiTheme="minorHAnsi" w:cstheme="minorHAnsi"/>
          <w:bCs/>
          <w:sz w:val="26"/>
          <w:szCs w:val="26"/>
        </w:rPr>
        <w:t>mezičtvrtletně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poklesly v oddílech potraviny a nealkoholické nápoje </w:t>
      </w:r>
      <w:r w:rsidRPr="00AA590D">
        <w:rPr>
          <w:rFonts w:asciiTheme="minorHAnsi" w:hAnsiTheme="minorHAnsi" w:cstheme="minorHAnsi"/>
          <w:bCs/>
          <w:sz w:val="26"/>
          <w:szCs w:val="26"/>
        </w:rPr>
        <w:t>(o 2,4 %),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>kde se snížily ceny zeleniny (o 18,0 %), pekárenských výrobků a obilovin (o 0,6 %), masa (o 0,9 %), ovoce (o 4,3 %), mléka, sýrů, vajec (o 1,1 %),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>a rovněž v oddíle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odívání a obuv </w:t>
      </w:r>
      <w:r w:rsidRPr="00AA590D">
        <w:rPr>
          <w:rFonts w:asciiTheme="minorHAnsi" w:hAnsiTheme="minorHAnsi" w:cstheme="minorHAnsi"/>
          <w:bCs/>
          <w:sz w:val="26"/>
          <w:szCs w:val="26"/>
        </w:rPr>
        <w:t>(o 1,9 %)</w:t>
      </w:r>
      <w:r w:rsidRPr="00AA590D">
        <w:rPr>
          <w:rFonts w:asciiTheme="minorHAnsi" w:hAnsiTheme="minorHAnsi" w:cstheme="minorHAnsi"/>
          <w:sz w:val="26"/>
          <w:szCs w:val="26"/>
        </w:rPr>
        <w:t>.</w:t>
      </w:r>
    </w:p>
    <w:p w:rsidR="00FC7C16" w:rsidRPr="00AA590D" w:rsidRDefault="00FC7C16" w:rsidP="001726CE">
      <w:pPr>
        <w:spacing w:after="240" w:line="36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>Meziročně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vzrostly</w:t>
      </w:r>
      <w:r w:rsidRPr="00AA590D">
        <w:rPr>
          <w:rFonts w:asciiTheme="minorHAnsi" w:hAnsiTheme="minorHAnsi" w:cstheme="minorHAnsi"/>
          <w:sz w:val="26"/>
          <w:szCs w:val="26"/>
        </w:rPr>
        <w:t xml:space="preserve"> spotřebitelské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ceny</w:t>
      </w:r>
      <w:r w:rsidRPr="00AA590D">
        <w:rPr>
          <w:rFonts w:asciiTheme="minorHAnsi" w:hAnsiTheme="minorHAnsi" w:cstheme="minorHAnsi"/>
          <w:sz w:val="26"/>
          <w:szCs w:val="26"/>
        </w:rPr>
        <w:t xml:space="preserve"> ve 3. čtvrtletí 2020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o 3,3 %</w:t>
      </w:r>
      <w:r w:rsidRPr="00AA590D">
        <w:rPr>
          <w:rFonts w:asciiTheme="minorHAnsi" w:hAnsiTheme="minorHAnsi" w:cstheme="minorHAnsi"/>
          <w:sz w:val="26"/>
          <w:szCs w:val="26"/>
        </w:rPr>
        <w:t xml:space="preserve"> (o 0,2 p. b. více než ve 2. čtvrtletí). Na růst úhrnné cenové hladiny působila v červenci – září 2020 zejména zvýšená dynamika cenového nárůstu v oddílech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alkoholické nápoje, tabák</w:t>
      </w:r>
      <w:r w:rsidRPr="00AA590D">
        <w:rPr>
          <w:rFonts w:asciiTheme="minorHAnsi" w:hAnsiTheme="minorHAnsi" w:cstheme="minorHAnsi"/>
          <w:sz w:val="26"/>
          <w:szCs w:val="26"/>
        </w:rPr>
        <w:t xml:space="preserve"> (nejvíce v cenové skupině tabák) a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odívání a obuv</w:t>
      </w:r>
      <w:r w:rsidRPr="00AA590D">
        <w:rPr>
          <w:rFonts w:asciiTheme="minorHAnsi" w:hAnsiTheme="minorHAnsi" w:cstheme="minorHAnsi"/>
          <w:sz w:val="26"/>
          <w:szCs w:val="26"/>
        </w:rPr>
        <w:t xml:space="preserve"> (ceny odívání). Vliv mělo taktéž snížení cenového poklesu v oddíle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doprava.</w:t>
      </w:r>
      <w:r w:rsidRPr="00AA590D">
        <w:rPr>
          <w:rFonts w:asciiTheme="minorHAnsi" w:hAnsiTheme="minorHAnsi" w:cstheme="minorHAnsi"/>
          <w:sz w:val="26"/>
          <w:szCs w:val="26"/>
        </w:rPr>
        <w:t xml:space="preserve"> Na zpomalení cenového růstu naopak působila nižší dynamika nárůstu nákladů v oddíle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potraviny a nealkoholické nápoje,</w:t>
      </w:r>
      <w:r w:rsidRPr="00AA590D">
        <w:rPr>
          <w:rFonts w:asciiTheme="minorHAnsi" w:hAnsiTheme="minorHAnsi" w:cstheme="minorHAnsi"/>
          <w:sz w:val="26"/>
          <w:szCs w:val="26"/>
        </w:rPr>
        <w:t xml:space="preserve"> kde se ceny zvýšily o 4,0 %, zatímco ve druhém čtvrtletí vzrostly meziročně o 6,5 %. Stejně působil oddíl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bydlení,</w:t>
      </w:r>
      <w:r w:rsidRPr="00AA590D">
        <w:rPr>
          <w:rFonts w:asciiTheme="minorHAnsi" w:hAnsiTheme="minorHAnsi" w:cstheme="minorHAnsi"/>
          <w:sz w:val="26"/>
          <w:szCs w:val="26"/>
        </w:rPr>
        <w:t xml:space="preserve"> ve kterém cenový růst postupně klesal ve druhém i třetím čtvrtletí (v prvním čtvrtletí 104,2 %, ve druhém 103,2 % a ve třetím 102,7 %).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Tržní ceny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se</w:t>
      </w:r>
      <w:r w:rsidRPr="00AA590D">
        <w:rPr>
          <w:rFonts w:asciiTheme="minorHAnsi" w:hAnsiTheme="minorHAnsi" w:cstheme="minorHAnsi"/>
          <w:sz w:val="26"/>
          <w:szCs w:val="26"/>
        </w:rPr>
        <w:t xml:space="preserve"> meziročně ve třetím čtvrtletí 2020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zvýšily o 3,3 %, regulované ceny vzrostly o 3,4 %.</w:t>
      </w:r>
    </w:p>
    <w:p w:rsidR="00FC7C16" w:rsidRPr="00AA590D" w:rsidRDefault="00FC7C16" w:rsidP="001726CE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lastRenderedPageBreak/>
        <w:tab/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V lednu – září 2020 </w:t>
      </w:r>
      <w:r w:rsidRPr="00AA590D">
        <w:rPr>
          <w:rFonts w:asciiTheme="minorHAnsi" w:hAnsiTheme="minorHAnsi" w:cstheme="minorHAnsi"/>
          <w:b/>
          <w:sz w:val="26"/>
          <w:szCs w:val="26"/>
        </w:rPr>
        <w:t>vzrostly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životní náklady domácností důchodců ve srovnání se stejným obdobím předchozího roku o 3,8 % </w:t>
      </w:r>
      <w:r w:rsidRPr="00AA590D">
        <w:rPr>
          <w:rFonts w:asciiTheme="minorHAnsi" w:hAnsiTheme="minorHAnsi" w:cstheme="minorHAnsi"/>
          <w:bCs/>
          <w:sz w:val="26"/>
          <w:szCs w:val="26"/>
        </w:rPr>
        <w:t>(tj. nárůst o 1,1 p. b. vyšší než v lednu – září 2019).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Na rozdíl od celkového indexu byl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cenový vývoj těchto domácností více ovlivněn vysokým růstem cen v oddíle ostatní zboží a služby. Odlišná byla rovněž vyšší dynamika v oddíle rekreace a kultura. </w:t>
      </w:r>
      <w:r w:rsidRPr="00AA590D">
        <w:rPr>
          <w:rFonts w:asciiTheme="minorHAnsi" w:hAnsiTheme="minorHAnsi" w:cstheme="minorHAnsi"/>
          <w:sz w:val="26"/>
          <w:szCs w:val="26"/>
        </w:rPr>
        <w:t>Avšak zatímco u cenové skupiny dovolených s komplexními službami rostly náklady domácnostem důchodců rychleji,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tak v případě rekreačních a kulturních služeb tomu bylo naopak a index rostl výrazně pomaleji než u domácností celkem.</w:t>
      </w:r>
    </w:p>
    <w:p w:rsidR="00FC7C16" w:rsidRPr="00AA590D" w:rsidRDefault="00FC7C16" w:rsidP="001726CE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A590D">
        <w:rPr>
          <w:rFonts w:asciiTheme="minorHAnsi" w:hAnsiTheme="minorHAnsi" w:cstheme="minorHAnsi"/>
          <w:bCs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Životní náklady domácností žijících v hl. m. Praze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(meziroční nárůst o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3,4 %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) </w:t>
      </w:r>
      <w:r w:rsidRPr="00AA590D">
        <w:rPr>
          <w:rFonts w:asciiTheme="minorHAnsi" w:hAnsiTheme="minorHAnsi" w:cstheme="minorHAnsi"/>
          <w:b/>
          <w:sz w:val="26"/>
          <w:szCs w:val="26"/>
        </w:rPr>
        <w:t>byly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v porovnání s celkovým průměrem více </w:t>
      </w:r>
      <w:r w:rsidRPr="00AA590D">
        <w:rPr>
          <w:rFonts w:asciiTheme="minorHAnsi" w:hAnsiTheme="minorHAnsi" w:cstheme="minorHAnsi"/>
          <w:b/>
          <w:sz w:val="26"/>
          <w:szCs w:val="26"/>
        </w:rPr>
        <w:t>ovlivněny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zejména </w:t>
      </w:r>
      <w:r w:rsidRPr="00AA590D">
        <w:rPr>
          <w:rFonts w:asciiTheme="minorHAnsi" w:hAnsiTheme="minorHAnsi" w:cstheme="minorHAnsi"/>
          <w:b/>
          <w:sz w:val="26"/>
          <w:szCs w:val="26"/>
        </w:rPr>
        <w:t>růstem cen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oddílů </w:t>
      </w:r>
      <w:r w:rsidRPr="00AA590D">
        <w:rPr>
          <w:rFonts w:asciiTheme="minorHAnsi" w:hAnsiTheme="minorHAnsi" w:cstheme="minorHAnsi"/>
          <w:b/>
          <w:sz w:val="26"/>
          <w:szCs w:val="26"/>
        </w:rPr>
        <w:t>odívání a obuv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a </w:t>
      </w:r>
      <w:r w:rsidRPr="00AA590D">
        <w:rPr>
          <w:rFonts w:asciiTheme="minorHAnsi" w:hAnsiTheme="minorHAnsi" w:cstheme="minorHAnsi"/>
          <w:b/>
          <w:sz w:val="26"/>
          <w:szCs w:val="26"/>
        </w:rPr>
        <w:t>ostatní zboží a služby.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Naopak </w:t>
      </w:r>
      <w:r w:rsidRPr="00AA590D">
        <w:rPr>
          <w:rFonts w:asciiTheme="minorHAnsi" w:hAnsiTheme="minorHAnsi" w:cstheme="minorHAnsi"/>
          <w:b/>
          <w:sz w:val="26"/>
          <w:szCs w:val="26"/>
        </w:rPr>
        <w:t>méně rostly životní náklady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například </w:t>
      </w:r>
      <w:r w:rsidRPr="00AA590D">
        <w:rPr>
          <w:rFonts w:asciiTheme="minorHAnsi" w:hAnsiTheme="minorHAnsi" w:cstheme="minorHAnsi"/>
          <w:b/>
          <w:sz w:val="26"/>
          <w:szCs w:val="26"/>
        </w:rPr>
        <w:t>v oddílech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rekreace a kultura, či bydlení,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kde byl zaznamenán nižší meziroční index především u nájmů a elektrické energie – více ke struktuře růstu životních nákladů vykazovaných typů domácností uvádí tabulka č. 21 v příloze.</w:t>
      </w:r>
    </w:p>
    <w:p w:rsidR="00FC7C16" w:rsidRPr="00AA590D" w:rsidRDefault="00FC7C16" w:rsidP="001726CE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bCs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sz w:val="26"/>
          <w:szCs w:val="26"/>
        </w:rPr>
        <w:t>Meziroční přírůstek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harmonizovaného indexu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spotřebitelských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cen </w:t>
      </w:r>
      <w:r w:rsidRPr="00AA590D">
        <w:rPr>
          <w:rFonts w:asciiTheme="minorHAnsi" w:hAnsiTheme="minorHAnsi" w:cstheme="minorHAnsi"/>
          <w:sz w:val="26"/>
          <w:szCs w:val="26"/>
        </w:rPr>
        <w:t xml:space="preserve">(propočtený podle metodiky </w:t>
      </w:r>
      <w:proofErr w:type="spellStart"/>
      <w:r w:rsidRPr="00AA590D">
        <w:rPr>
          <w:rFonts w:asciiTheme="minorHAnsi" w:hAnsiTheme="minorHAnsi" w:cstheme="minorHAnsi"/>
          <w:sz w:val="26"/>
          <w:szCs w:val="26"/>
        </w:rPr>
        <w:t>Eurostatu</w:t>
      </w:r>
      <w:proofErr w:type="spellEnd"/>
      <w:r w:rsidRPr="00AA590D">
        <w:rPr>
          <w:rFonts w:asciiTheme="minorHAnsi" w:hAnsiTheme="minorHAnsi" w:cstheme="minorHAnsi"/>
          <w:sz w:val="26"/>
          <w:szCs w:val="26"/>
        </w:rPr>
        <w:t xml:space="preserve"> pro potřeby porovnání inflace v jednotlivých členských zemích)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v České republice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činil v červenci 3,6 %, v srpnu 3,5 % a v září minulého roku 3,3 %.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Meziroční přírůstek </w:t>
      </w:r>
      <w:r w:rsidRPr="00AA590D">
        <w:rPr>
          <w:rFonts w:asciiTheme="minorHAnsi" w:hAnsiTheme="minorHAnsi" w:cstheme="minorHAnsi"/>
          <w:bCs/>
          <w:sz w:val="26"/>
          <w:szCs w:val="26"/>
        </w:rPr>
        <w:t>harmonizovaného indexu spotřebitelských cen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v EU dosáhl v červenci 0,8 %, v srpnu 0,4 %, a v září 0,2 %.</w:t>
      </w:r>
    </w:p>
    <w:p w:rsidR="000F0C21" w:rsidRPr="00AA590D" w:rsidRDefault="000F0C21" w:rsidP="001726CE">
      <w:pPr>
        <w:spacing w:after="120"/>
        <w:ind w:left="709"/>
        <w:jc w:val="both"/>
        <w:rPr>
          <w:rFonts w:asciiTheme="minorHAnsi" w:hAnsiTheme="minorHAnsi" w:cstheme="minorHAnsi"/>
          <w:szCs w:val="24"/>
        </w:rPr>
      </w:pPr>
      <w:r w:rsidRPr="00AA590D">
        <w:rPr>
          <w:rFonts w:asciiTheme="minorHAnsi" w:hAnsiTheme="minorHAnsi" w:cstheme="minorHAnsi"/>
          <w:sz w:val="26"/>
          <w:szCs w:val="26"/>
        </w:rPr>
        <w:t xml:space="preserve">Podle aktuálních dílčích dat ČSÚ z počátku ledna 2021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vzrostly spotřebitelské ceny v prosinci 2020 </w:t>
      </w:r>
      <w:r w:rsidRPr="00AA590D">
        <w:rPr>
          <w:rFonts w:asciiTheme="minorHAnsi" w:hAnsiTheme="minorHAnsi" w:cstheme="minorHAnsi"/>
          <w:sz w:val="26"/>
          <w:szCs w:val="26"/>
        </w:rPr>
        <w:t>(proti prosinci 2019)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o 2,3 %. </w:t>
      </w:r>
      <w:r w:rsidRPr="00AA590D">
        <w:rPr>
          <w:rFonts w:asciiTheme="minorHAnsi" w:hAnsiTheme="minorHAnsi" w:cstheme="minorHAnsi"/>
          <w:sz w:val="26"/>
          <w:szCs w:val="26"/>
        </w:rPr>
        <w:t>Jednalo se o 0,9 p. b. nižší meziroční růst cen než v prosinci předcházejícího roku.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Největší vliv na nárůst</w:t>
      </w:r>
      <w:r w:rsidRPr="00AA590D">
        <w:rPr>
          <w:rFonts w:asciiTheme="minorHAnsi" w:hAnsiTheme="minorHAnsi" w:cstheme="minorHAnsi"/>
          <w:sz w:val="26"/>
          <w:szCs w:val="26"/>
        </w:rPr>
        <w:t xml:space="preserve"> úhrnné cenové inflace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měl oddíl „alkoholické nápoje, tabák“ </w:t>
      </w:r>
      <w:r w:rsidRPr="00AA590D">
        <w:rPr>
          <w:rFonts w:asciiTheme="minorHAnsi" w:hAnsiTheme="minorHAnsi" w:cstheme="minorHAnsi"/>
          <w:sz w:val="26"/>
          <w:szCs w:val="26"/>
        </w:rPr>
        <w:t>(zejména růst cen tabáku).</w:t>
      </w:r>
    </w:p>
    <w:p w:rsidR="000F0C21" w:rsidRPr="00AA590D" w:rsidRDefault="000F0C21" w:rsidP="001726CE">
      <w:pPr>
        <w:spacing w:after="360"/>
        <w:ind w:left="709"/>
        <w:jc w:val="both"/>
        <w:rPr>
          <w:rFonts w:asciiTheme="minorHAnsi" w:hAnsiTheme="minorHAnsi" w:cstheme="minorHAnsi"/>
          <w:szCs w:val="24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Průměrná míra cenové inflace vyjádřená přírůstkem spotřebitelských cen v roce 2020 proti průměru roku 2019 dosáhla </w:t>
      </w:r>
      <w:r w:rsidRPr="00AA590D">
        <w:rPr>
          <w:rFonts w:asciiTheme="minorHAnsi" w:hAnsiTheme="minorHAnsi" w:cstheme="minorHAnsi"/>
          <w:sz w:val="26"/>
          <w:szCs w:val="26"/>
        </w:rPr>
        <w:t xml:space="preserve">(v souladu s odhadem MPSV zveřejněným v Analýze vývoje příjmů a výdajů domácností ČR v 1. pololetí 2020)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3,2 %,</w:t>
      </w:r>
      <w:r w:rsidRPr="00AA590D">
        <w:rPr>
          <w:rFonts w:asciiTheme="minorHAnsi" w:hAnsiTheme="minorHAnsi" w:cstheme="minorHAnsi"/>
          <w:sz w:val="26"/>
          <w:szCs w:val="26"/>
        </w:rPr>
        <w:t xml:space="preserve"> což bylo o 0,4 p. b. více než v roce 2019.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Životní náklady</w:t>
      </w:r>
      <w:r w:rsidRPr="00AA590D">
        <w:rPr>
          <w:rFonts w:asciiTheme="minorHAnsi" w:hAnsiTheme="minorHAnsi" w:cstheme="minorHAnsi"/>
          <w:sz w:val="26"/>
          <w:szCs w:val="26"/>
        </w:rPr>
        <w:t xml:space="preserve"> domácností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důchodců se</w:t>
      </w:r>
      <w:r w:rsidRPr="00AA590D">
        <w:rPr>
          <w:rFonts w:asciiTheme="minorHAnsi" w:hAnsiTheme="minorHAnsi" w:cstheme="minorHAnsi"/>
          <w:sz w:val="26"/>
          <w:szCs w:val="26"/>
        </w:rPr>
        <w:t xml:space="preserve"> v průměru meziročně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zvýšily o 3,5 %.</w:t>
      </w:r>
    </w:p>
    <w:p w:rsidR="00EB3EA7" w:rsidRPr="00AA590D" w:rsidRDefault="00FC7C16" w:rsidP="001726CE">
      <w:pPr>
        <w:spacing w:after="240" w:line="360" w:lineRule="auto"/>
        <w:jc w:val="both"/>
        <w:rPr>
          <w:strike/>
        </w:rPr>
      </w:pPr>
      <w:r w:rsidRPr="00AA590D">
        <w:rPr>
          <w:rFonts w:asciiTheme="minorHAnsi" w:hAnsiTheme="minorHAnsi" w:cstheme="minorHAnsi"/>
          <w:bCs/>
          <w:sz w:val="26"/>
          <w:szCs w:val="26"/>
        </w:rPr>
        <w:tab/>
        <w:t>Podrobnější rozbor cenové inflace bude proveden v dubnu t. r. v rámci komplexní analýzy příjmové a výdajové situace domácností za celý rok 2020.</w:t>
      </w:r>
    </w:p>
    <w:p w:rsidR="00B214F5" w:rsidRPr="00AA590D" w:rsidRDefault="00B214F5" w:rsidP="001726CE">
      <w:pPr>
        <w:spacing w:after="240" w:line="360" w:lineRule="auto"/>
        <w:jc w:val="both"/>
        <w:rPr>
          <w:rFonts w:asciiTheme="minorHAnsi" w:hAnsiTheme="minorHAnsi"/>
          <w:b/>
          <w:bCs/>
          <w:sz w:val="44"/>
          <w:szCs w:val="44"/>
        </w:rPr>
      </w:pPr>
      <w:r w:rsidRPr="00AA590D">
        <w:rPr>
          <w:rFonts w:asciiTheme="minorHAnsi" w:hAnsiTheme="minorHAnsi"/>
          <w:b/>
          <w:bCs/>
          <w:sz w:val="44"/>
          <w:szCs w:val="44"/>
        </w:rPr>
        <w:lastRenderedPageBreak/>
        <w:t>3. Peněžní výdaje, úvěry a úspory domácností</w:t>
      </w:r>
    </w:p>
    <w:p w:rsidR="00B214F5" w:rsidRPr="00AA590D" w:rsidRDefault="00B214F5" w:rsidP="001726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</w:rPr>
        <w:tab/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Na základě údajů statistiky národních účtů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vynaložil </w:t>
      </w:r>
      <w:r w:rsidRPr="00AA590D">
        <w:rPr>
          <w:rFonts w:asciiTheme="minorHAnsi" w:hAnsiTheme="minorHAnsi" w:cstheme="minorHAnsi"/>
          <w:bCs/>
          <w:sz w:val="26"/>
          <w:szCs w:val="26"/>
        </w:rPr>
        <w:t>v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>1. – 3. čtvrtletí 2020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sektor domácností </w:t>
      </w:r>
      <w:r w:rsidRPr="00AA590D">
        <w:rPr>
          <w:rFonts w:asciiTheme="minorHAnsi" w:hAnsiTheme="minorHAnsi" w:cstheme="minorHAnsi"/>
          <w:b/>
          <w:sz w:val="26"/>
          <w:szCs w:val="26"/>
        </w:rPr>
        <w:t>1 951,6 m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ld. Kč na výdaje spojené s individuální spotřebou, </w:t>
      </w:r>
      <w:r w:rsidRPr="00AA590D">
        <w:rPr>
          <w:rFonts w:asciiTheme="minorHAnsi" w:hAnsiTheme="minorHAnsi" w:cstheme="minorHAnsi"/>
          <w:bCs/>
          <w:sz w:val="26"/>
          <w:szCs w:val="26"/>
        </w:rPr>
        <w:t>tj. </w:t>
      </w:r>
      <w:r w:rsidRPr="00AA590D">
        <w:rPr>
          <w:rFonts w:asciiTheme="minorHAnsi" w:hAnsiTheme="minorHAnsi" w:cstheme="minorHAnsi"/>
          <w:sz w:val="26"/>
          <w:szCs w:val="26"/>
        </w:rPr>
        <w:t>o 1,1 % (21,2 mld. Kč) méně než o rok dříve</w:t>
      </w:r>
      <w:r w:rsidRPr="00AA590D">
        <w:rPr>
          <w:rFonts w:asciiTheme="minorHAnsi" w:hAnsiTheme="minorHAnsi" w:cstheme="minorHAnsi"/>
          <w:bCs/>
          <w:sz w:val="26"/>
          <w:szCs w:val="26"/>
        </w:rPr>
        <w:t>.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Domácnosti</w:t>
      </w:r>
      <w:r w:rsidRPr="00AA590D">
        <w:rPr>
          <w:rFonts w:asciiTheme="minorHAnsi" w:hAnsiTheme="minorHAnsi" w:cstheme="minorHAnsi"/>
          <w:sz w:val="26"/>
          <w:szCs w:val="26"/>
        </w:rPr>
        <w:t xml:space="preserve"> tak – po zohlednění cenové inflace – </w:t>
      </w:r>
      <w:r w:rsidRPr="00AA590D">
        <w:rPr>
          <w:rFonts w:asciiTheme="minorHAnsi" w:hAnsiTheme="minorHAnsi" w:cstheme="minorHAnsi"/>
          <w:b/>
          <w:sz w:val="26"/>
          <w:szCs w:val="26"/>
        </w:rPr>
        <w:t>nakoupily zboží a služeb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reálně</w:t>
      </w:r>
      <w:r w:rsidRPr="00AA590D">
        <w:rPr>
          <w:rFonts w:asciiTheme="minorHAnsi" w:hAnsiTheme="minorHAnsi" w:cstheme="minorHAnsi"/>
          <w:sz w:val="26"/>
          <w:szCs w:val="26"/>
        </w:rPr>
        <w:t xml:space="preserve"> o cca 83,6 mld. Kč </w:t>
      </w:r>
      <w:r w:rsidRPr="00AA590D">
        <w:rPr>
          <w:rFonts w:asciiTheme="minorHAnsi" w:hAnsiTheme="minorHAnsi" w:cstheme="minorHAnsi"/>
          <w:b/>
          <w:sz w:val="26"/>
          <w:szCs w:val="26"/>
        </w:rPr>
        <w:t>méně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než před rokem.</w:t>
      </w:r>
    </w:p>
    <w:p w:rsidR="00B214F5" w:rsidRPr="00AA590D" w:rsidRDefault="00B214F5" w:rsidP="001726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ab/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Míra úspor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domácností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činila </w:t>
      </w:r>
      <w:r w:rsidRPr="00AA590D">
        <w:rPr>
          <w:rFonts w:asciiTheme="minorHAnsi" w:hAnsiTheme="minorHAnsi" w:cstheme="minorHAnsi"/>
          <w:bCs/>
          <w:sz w:val="26"/>
          <w:szCs w:val="26"/>
        </w:rPr>
        <w:t>dle ČSÚ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>za prvních devět měsíců minulého roku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16,5 %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a byla tak vyšší oproti stejnému období roku 2019 o 4,8 p. b. </w:t>
      </w:r>
      <w:r w:rsidRPr="00AA590D">
        <w:rPr>
          <w:rFonts w:asciiTheme="minorHAnsi" w:hAnsiTheme="minorHAnsi" w:cstheme="minorHAnsi"/>
          <w:sz w:val="26"/>
          <w:szCs w:val="26"/>
        </w:rPr>
        <w:t>– viz tabulku č. 1 v příloze.</w:t>
      </w:r>
    </w:p>
    <w:p w:rsidR="00B214F5" w:rsidRPr="00AA590D" w:rsidRDefault="00B214F5" w:rsidP="00122DCC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ab/>
        <w:t>Úvěry</w:t>
      </w:r>
      <w:r w:rsidR="006E7C83" w:rsidRPr="00AA590D">
        <w:rPr>
          <w:rFonts w:asciiTheme="minorHAnsi" w:hAnsiTheme="minorHAnsi" w:cstheme="minorHAnsi"/>
          <w:sz w:val="26"/>
          <w:szCs w:val="26"/>
        </w:rPr>
        <w:t xml:space="preserve"> poskytnuté</w:t>
      </w:r>
      <w:r w:rsidRPr="00AA590D">
        <w:rPr>
          <w:rFonts w:asciiTheme="minorHAnsi" w:hAnsiTheme="minorHAnsi" w:cstheme="minorHAnsi"/>
          <w:sz w:val="26"/>
          <w:szCs w:val="26"/>
        </w:rPr>
        <w:t xml:space="preserve"> domácnostem zachovaly v prvním až třetím čtvrtletí roku 2020 svou mírně zpomalující dynamiku růstu a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 xml:space="preserve">podle údajů ČNB činil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úhrnný objem půjček domácností </w:t>
      </w:r>
      <w:r w:rsidRPr="00AA590D">
        <w:rPr>
          <w:rFonts w:asciiTheme="minorHAnsi" w:hAnsiTheme="minorHAnsi" w:cstheme="minorHAnsi"/>
          <w:sz w:val="26"/>
          <w:szCs w:val="26"/>
        </w:rPr>
        <w:t xml:space="preserve">k 30. září 2020 celkem </w:t>
      </w:r>
      <w:r w:rsidRPr="00AA590D">
        <w:rPr>
          <w:rFonts w:asciiTheme="minorHAnsi" w:hAnsiTheme="minorHAnsi" w:cstheme="minorHAnsi"/>
          <w:b/>
          <w:sz w:val="26"/>
          <w:szCs w:val="26"/>
        </w:rPr>
        <w:t>1 828,1 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mld. Kč,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>což bylo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o 109,1 mld. Kč více než ke stejnému datu roku 2019.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Za prvních devět měsíců minulého roku vzrostly úvěry domácností o 80,0 mld. Kč (za stejné období roku 2019 došlo k nárůstu o 73,2 mld. Kč) – data za vklady a úvěry jsou uvedena v tabulce č. 22:</w:t>
      </w:r>
    </w:p>
    <w:p w:rsidR="00B214F5" w:rsidRPr="00AA590D" w:rsidRDefault="00B214F5" w:rsidP="006F4787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>rozhodující část</w:t>
      </w:r>
      <w:r w:rsidRPr="00AA590D">
        <w:rPr>
          <w:rFonts w:asciiTheme="minorHAnsi" w:hAnsiTheme="minorHAnsi" w:cstheme="minorHAnsi"/>
          <w:sz w:val="26"/>
          <w:szCs w:val="26"/>
        </w:rPr>
        <w:t xml:space="preserve"> meziročního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vzestupu objemu </w:t>
      </w:r>
      <w:r w:rsidRPr="00AA590D">
        <w:rPr>
          <w:rFonts w:asciiTheme="minorHAnsi" w:hAnsiTheme="minorHAnsi" w:cstheme="minorHAnsi"/>
          <w:sz w:val="26"/>
          <w:szCs w:val="26"/>
        </w:rPr>
        <w:t xml:space="preserve">bankovních peněžních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půjček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představovaly úvěry spojené s bydlením. C</w:t>
      </w:r>
      <w:r w:rsidRPr="00AA590D">
        <w:rPr>
          <w:rFonts w:asciiTheme="minorHAnsi" w:hAnsiTheme="minorHAnsi" w:cstheme="minorHAnsi"/>
          <w:b/>
          <w:sz w:val="26"/>
          <w:szCs w:val="26"/>
        </w:rPr>
        <w:t>elkový objem úvěrů na bydlení dosáhl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1 403,5 mld. Kč, </w:t>
      </w:r>
      <w:r w:rsidRPr="00AA590D">
        <w:rPr>
          <w:rFonts w:asciiTheme="minorHAnsi" w:hAnsiTheme="minorHAnsi" w:cstheme="minorHAnsi"/>
          <w:bCs/>
          <w:sz w:val="26"/>
          <w:szCs w:val="26"/>
        </w:rPr>
        <w:t>což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 xml:space="preserve">bylo o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97,9 mld. Kč </w:t>
      </w:r>
      <w:r w:rsidRPr="00AA590D">
        <w:rPr>
          <w:rFonts w:asciiTheme="minorHAnsi" w:hAnsiTheme="minorHAnsi" w:cstheme="minorHAnsi"/>
          <w:sz w:val="26"/>
          <w:szCs w:val="26"/>
        </w:rPr>
        <w:t>více než o rok dříve,</w:t>
      </w:r>
    </w:p>
    <w:p w:rsidR="00B214F5" w:rsidRPr="00AA590D" w:rsidRDefault="00B214F5" w:rsidP="006F4787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podíl úvěrů na bydlení na celkovém objemu </w:t>
      </w:r>
      <w:r w:rsidRPr="00AA590D">
        <w:rPr>
          <w:rFonts w:asciiTheme="minorHAnsi" w:hAnsiTheme="minorHAnsi" w:cstheme="minorHAnsi"/>
          <w:bCs/>
          <w:sz w:val="26"/>
          <w:szCs w:val="26"/>
        </w:rPr>
        <w:t>bankovních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půjček </w:t>
      </w:r>
      <w:r w:rsidRPr="00AA590D">
        <w:rPr>
          <w:rFonts w:asciiTheme="minorHAnsi" w:hAnsiTheme="minorHAnsi" w:cstheme="minorHAnsi"/>
          <w:bCs/>
          <w:sz w:val="26"/>
          <w:szCs w:val="26"/>
        </w:rPr>
        <w:t>českých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Cs/>
          <w:sz w:val="26"/>
          <w:szCs w:val="26"/>
        </w:rPr>
        <w:t>domácností nadále rostl a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činil ke konci září 76,8 %, </w:t>
      </w:r>
      <w:r w:rsidRPr="00AA590D">
        <w:rPr>
          <w:rFonts w:asciiTheme="minorHAnsi" w:hAnsiTheme="minorHAnsi" w:cstheme="minorHAnsi"/>
          <w:bCs/>
          <w:sz w:val="26"/>
          <w:szCs w:val="26"/>
        </w:rPr>
        <w:t>což bylo o 0,8 p. b. více než předcházející rok,</w:t>
      </w:r>
    </w:p>
    <w:p w:rsidR="00B214F5" w:rsidRPr="00AA590D" w:rsidRDefault="00B214F5" w:rsidP="006F4787">
      <w:pPr>
        <w:numPr>
          <w:ilvl w:val="0"/>
          <w:numId w:val="8"/>
        </w:numPr>
        <w:spacing w:after="24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>objem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ostatních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úvěrů se zvýšil meziročně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celkem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o 11,2 mld. Kč,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v tom zahrnuté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spotřební úvěry domácností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u obchodních bank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vzrostly o 6,9 mld. Kč.</w:t>
      </w:r>
    </w:p>
    <w:p w:rsidR="00B214F5" w:rsidRPr="00AA590D" w:rsidRDefault="00B214F5" w:rsidP="001726CE">
      <w:pPr>
        <w:spacing w:after="240"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:rsidR="00B214F5" w:rsidRPr="00AA590D" w:rsidRDefault="00B214F5" w:rsidP="001726CE">
      <w:pPr>
        <w:spacing w:after="240"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A590D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V souvislosti s propadem ekonomiky </w:t>
      </w:r>
      <w:r w:rsidRPr="00AA590D">
        <w:rPr>
          <w:rFonts w:asciiTheme="minorHAnsi" w:hAnsiTheme="minorHAnsi" w:cstheme="minorHAnsi"/>
          <w:b/>
          <w:sz w:val="26"/>
          <w:szCs w:val="26"/>
        </w:rPr>
        <w:t>domácnosti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sz w:val="26"/>
          <w:szCs w:val="26"/>
        </w:rPr>
        <w:t>výrazně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zvýšily 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za první tři čtvrtletí roku 2020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celkové množství svých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úspor. </w:t>
      </w:r>
      <w:r w:rsidRPr="00AA590D">
        <w:rPr>
          <w:rFonts w:asciiTheme="minorHAnsi" w:hAnsiTheme="minorHAnsi" w:cstheme="minorHAnsi"/>
          <w:sz w:val="26"/>
          <w:szCs w:val="26"/>
        </w:rPr>
        <w:t xml:space="preserve">Podobně jako před rokem 2019 nastal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trend poklesu termínových vkladů,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kdy domácnosti preferovaly výhradně pouze likvidnější netermínované vklady v podobě peněz na běžných nebo spořicích účtech:</w:t>
      </w:r>
    </w:p>
    <w:p w:rsidR="00B214F5" w:rsidRPr="00AA590D" w:rsidRDefault="00B214F5" w:rsidP="006F4787">
      <w:pPr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b/>
          <w:bCs/>
          <w:sz w:val="26"/>
          <w:szCs w:val="26"/>
        </w:rPr>
        <w:t>celkový objem</w:t>
      </w:r>
      <w:r w:rsidRPr="00AA590D">
        <w:rPr>
          <w:rFonts w:asciiTheme="minorHAnsi" w:hAnsiTheme="minorHAnsi" w:cstheme="minorHAnsi"/>
          <w:sz w:val="26"/>
          <w:szCs w:val="26"/>
        </w:rPr>
        <w:t xml:space="preserve"> bankovních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úspor domácností</w:t>
      </w:r>
      <w:r w:rsidRPr="00AA590D">
        <w:rPr>
          <w:rFonts w:asciiTheme="minorHAnsi" w:hAnsiTheme="minorHAnsi" w:cstheme="minorHAnsi"/>
          <w:sz w:val="26"/>
          <w:szCs w:val="26"/>
        </w:rPr>
        <w:t xml:space="preserve"> činil ke konci září 2020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2 960,5 mld. Kč </w:t>
      </w:r>
      <w:r w:rsidRPr="00AA590D">
        <w:rPr>
          <w:rFonts w:asciiTheme="minorHAnsi" w:hAnsiTheme="minorHAnsi" w:cstheme="minorHAnsi"/>
          <w:sz w:val="26"/>
          <w:szCs w:val="26"/>
        </w:rPr>
        <w:t>a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sz w:val="26"/>
          <w:szCs w:val="26"/>
        </w:rPr>
        <w:t xml:space="preserve">podle dostupných údajů ČNB meziročně </w:t>
      </w:r>
      <w:r w:rsidRPr="00AA590D">
        <w:rPr>
          <w:rFonts w:asciiTheme="minorHAnsi" w:hAnsiTheme="minorHAnsi" w:cstheme="minorHAnsi"/>
          <w:b/>
          <w:sz w:val="26"/>
          <w:szCs w:val="26"/>
        </w:rPr>
        <w:t>vzrostl</w:t>
      </w:r>
      <w:r w:rsidRPr="00AA590D">
        <w:rPr>
          <w:rFonts w:asciiTheme="minorHAnsi" w:hAnsiTheme="minorHAnsi" w:cstheme="minorHAnsi"/>
          <w:sz w:val="26"/>
          <w:szCs w:val="26"/>
        </w:rPr>
        <w:t xml:space="preserve"> 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>o 281,9 mld. Kč.</w:t>
      </w:r>
      <w:r w:rsidRPr="00AA590D">
        <w:rPr>
          <w:rFonts w:asciiTheme="minorHAnsi" w:hAnsiTheme="minorHAnsi" w:cstheme="minorHAnsi"/>
          <w:bCs/>
          <w:sz w:val="26"/>
          <w:szCs w:val="26"/>
        </w:rPr>
        <w:t xml:space="preserve"> Od začátku roku 2020 do konce třetího čtvrtletí se vklady zvýšily o 235,0 mld. Kč, </w:t>
      </w:r>
    </w:p>
    <w:p w:rsidR="00B214F5" w:rsidRPr="00AA590D" w:rsidRDefault="00B214F5" w:rsidP="006F4787">
      <w:pPr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 xml:space="preserve">celkově </w:t>
      </w:r>
      <w:r w:rsidRPr="00AA590D">
        <w:rPr>
          <w:rFonts w:asciiTheme="minorHAnsi" w:hAnsiTheme="minorHAnsi" w:cstheme="minorHAnsi"/>
          <w:b/>
          <w:sz w:val="26"/>
          <w:szCs w:val="26"/>
        </w:rPr>
        <w:t>netermínované vklady</w:t>
      </w:r>
      <w:r w:rsidRPr="00AA590D">
        <w:rPr>
          <w:rFonts w:asciiTheme="minorHAnsi" w:hAnsiTheme="minorHAnsi" w:cstheme="minorHAnsi"/>
          <w:sz w:val="26"/>
          <w:szCs w:val="26"/>
        </w:rPr>
        <w:t xml:space="preserve"> na konci září </w:t>
      </w:r>
      <w:r w:rsidRPr="00AA590D">
        <w:rPr>
          <w:rFonts w:asciiTheme="minorHAnsi" w:hAnsiTheme="minorHAnsi" w:cstheme="minorHAnsi"/>
          <w:b/>
          <w:sz w:val="26"/>
          <w:szCs w:val="26"/>
        </w:rPr>
        <w:t>meziročně vzrostly o 335,5 mld. Kč</w:t>
      </w:r>
      <w:r w:rsidRPr="00AA590D">
        <w:rPr>
          <w:rFonts w:asciiTheme="minorHAnsi" w:hAnsiTheme="minorHAnsi" w:cstheme="minorHAnsi"/>
          <w:sz w:val="26"/>
          <w:szCs w:val="26"/>
        </w:rPr>
        <w:t xml:space="preserve"> a </w:t>
      </w:r>
      <w:r w:rsidRPr="00AA590D">
        <w:rPr>
          <w:rFonts w:asciiTheme="minorHAnsi" w:hAnsiTheme="minorHAnsi" w:cstheme="minorHAnsi"/>
          <w:b/>
          <w:sz w:val="26"/>
          <w:szCs w:val="26"/>
        </w:rPr>
        <w:t>termínové vklady se snížily o 53,6 mld. Kč,</w:t>
      </w:r>
      <w:r w:rsidRPr="00AA590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B214F5" w:rsidRPr="00AA590D" w:rsidRDefault="00B214F5" w:rsidP="006F4787">
      <w:pPr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590D">
        <w:rPr>
          <w:rFonts w:asciiTheme="minorHAnsi" w:hAnsiTheme="minorHAnsi" w:cstheme="minorHAnsi"/>
          <w:sz w:val="26"/>
          <w:szCs w:val="26"/>
        </w:rPr>
        <w:t xml:space="preserve">domácnosti využívaly pro vklady převážně domácí měnu. Na konci třetího čtvrtletí roku 2020 činila podle ČNB 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výše </w:t>
      </w:r>
      <w:proofErr w:type="spellStart"/>
      <w:r w:rsidRPr="00AA590D">
        <w:rPr>
          <w:rFonts w:asciiTheme="minorHAnsi" w:hAnsiTheme="minorHAnsi" w:cstheme="minorHAnsi"/>
          <w:b/>
          <w:sz w:val="26"/>
          <w:szCs w:val="26"/>
        </w:rPr>
        <w:t>cizoměnových</w:t>
      </w:r>
      <w:proofErr w:type="spellEnd"/>
      <w:r w:rsidRPr="00AA590D">
        <w:rPr>
          <w:rFonts w:asciiTheme="minorHAnsi" w:hAnsiTheme="minorHAnsi" w:cstheme="minorHAnsi"/>
          <w:b/>
          <w:sz w:val="26"/>
          <w:szCs w:val="26"/>
        </w:rPr>
        <w:t xml:space="preserve"> vkladů </w:t>
      </w:r>
      <w:r w:rsidRPr="00AA590D">
        <w:rPr>
          <w:rFonts w:asciiTheme="minorHAnsi" w:hAnsiTheme="minorHAnsi" w:cstheme="minorHAnsi"/>
          <w:sz w:val="26"/>
          <w:szCs w:val="26"/>
        </w:rPr>
        <w:t>jen</w:t>
      </w:r>
      <w:r w:rsidRPr="00AA590D">
        <w:rPr>
          <w:rFonts w:asciiTheme="minorHAnsi" w:hAnsiTheme="minorHAnsi" w:cstheme="minorHAnsi"/>
          <w:b/>
          <w:sz w:val="26"/>
          <w:szCs w:val="26"/>
        </w:rPr>
        <w:t xml:space="preserve"> 107,6 mld. Kč.</w:t>
      </w:r>
    </w:p>
    <w:p w:rsidR="00EB3EA7" w:rsidRPr="00AA590D" w:rsidRDefault="00EB3EA7" w:rsidP="001726CE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EB3EA7" w:rsidRPr="00AA590D" w:rsidSect="00A96EE8"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7E" w:rsidRDefault="0038617E">
      <w:r>
        <w:separator/>
      </w:r>
    </w:p>
  </w:endnote>
  <w:endnote w:type="continuationSeparator" w:id="0">
    <w:p w:rsidR="0038617E" w:rsidRDefault="0038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Default="00B214F5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14F5" w:rsidRDefault="00B214F5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Default="00B214F5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B214F5" w:rsidRDefault="00B214F5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Default="00B214F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Pr="00A96EE8" w:rsidRDefault="00B214F5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>
      <w:rPr>
        <w:noProof/>
      </w:rPr>
      <w:t>1</w:t>
    </w:r>
    <w:r w:rsidRPr="00A96EE8">
      <w:fldChar w:fldCharType="end"/>
    </w:r>
  </w:p>
  <w:p w:rsidR="00B214F5" w:rsidRDefault="00B214F5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7E" w:rsidRDefault="0038617E">
      <w:r>
        <w:separator/>
      </w:r>
    </w:p>
  </w:footnote>
  <w:footnote w:type="continuationSeparator" w:id="0">
    <w:p w:rsidR="0038617E" w:rsidRDefault="0038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Default="00B21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Default="00B214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F5" w:rsidRDefault="00B21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A5A"/>
    <w:multiLevelType w:val="hybridMultilevel"/>
    <w:tmpl w:val="662284FC"/>
    <w:lvl w:ilvl="0" w:tplc="DC343C0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79060E4"/>
    <w:multiLevelType w:val="hybridMultilevel"/>
    <w:tmpl w:val="ABB831C4"/>
    <w:lvl w:ilvl="0" w:tplc="DC343C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1FA2001"/>
    <w:multiLevelType w:val="hybridMultilevel"/>
    <w:tmpl w:val="0C28C9FE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63E9"/>
    <w:multiLevelType w:val="hybridMultilevel"/>
    <w:tmpl w:val="3C723678"/>
    <w:lvl w:ilvl="0" w:tplc="D6D66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3"/>
    <w:rsid w:val="000000EB"/>
    <w:rsid w:val="00002D09"/>
    <w:rsid w:val="00005478"/>
    <w:rsid w:val="00006EB7"/>
    <w:rsid w:val="00010CDA"/>
    <w:rsid w:val="00010F96"/>
    <w:rsid w:val="0001234D"/>
    <w:rsid w:val="000136CC"/>
    <w:rsid w:val="00014108"/>
    <w:rsid w:val="00014B1B"/>
    <w:rsid w:val="00016405"/>
    <w:rsid w:val="0001665E"/>
    <w:rsid w:val="00023279"/>
    <w:rsid w:val="00023678"/>
    <w:rsid w:val="00023B53"/>
    <w:rsid w:val="000245E1"/>
    <w:rsid w:val="00024DB4"/>
    <w:rsid w:val="00026922"/>
    <w:rsid w:val="00027377"/>
    <w:rsid w:val="000328D2"/>
    <w:rsid w:val="00034073"/>
    <w:rsid w:val="000346F9"/>
    <w:rsid w:val="00034F71"/>
    <w:rsid w:val="00035DAA"/>
    <w:rsid w:val="00035DBA"/>
    <w:rsid w:val="000369D6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61B2"/>
    <w:rsid w:val="0006719E"/>
    <w:rsid w:val="0006792F"/>
    <w:rsid w:val="00067C1D"/>
    <w:rsid w:val="00067E16"/>
    <w:rsid w:val="000701AD"/>
    <w:rsid w:val="000726C6"/>
    <w:rsid w:val="00073B40"/>
    <w:rsid w:val="00074F34"/>
    <w:rsid w:val="000762FD"/>
    <w:rsid w:val="00076EC4"/>
    <w:rsid w:val="00077160"/>
    <w:rsid w:val="00081885"/>
    <w:rsid w:val="00081987"/>
    <w:rsid w:val="000826CF"/>
    <w:rsid w:val="000836FA"/>
    <w:rsid w:val="00083A69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F1D"/>
    <w:rsid w:val="000D22CA"/>
    <w:rsid w:val="000D2643"/>
    <w:rsid w:val="000D2D91"/>
    <w:rsid w:val="000D5C8D"/>
    <w:rsid w:val="000D795E"/>
    <w:rsid w:val="000E250B"/>
    <w:rsid w:val="000E2B1C"/>
    <w:rsid w:val="000E511A"/>
    <w:rsid w:val="000E5736"/>
    <w:rsid w:val="000E5CDF"/>
    <w:rsid w:val="000F0C21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817"/>
    <w:rsid w:val="00110C58"/>
    <w:rsid w:val="0011361B"/>
    <w:rsid w:val="001153B4"/>
    <w:rsid w:val="00115B02"/>
    <w:rsid w:val="00120A88"/>
    <w:rsid w:val="00120BA1"/>
    <w:rsid w:val="00122DCC"/>
    <w:rsid w:val="0012342A"/>
    <w:rsid w:val="0012791D"/>
    <w:rsid w:val="00130524"/>
    <w:rsid w:val="00132392"/>
    <w:rsid w:val="00132B48"/>
    <w:rsid w:val="00133E09"/>
    <w:rsid w:val="00135798"/>
    <w:rsid w:val="001367A5"/>
    <w:rsid w:val="00137FE0"/>
    <w:rsid w:val="00140D80"/>
    <w:rsid w:val="001428A0"/>
    <w:rsid w:val="00143504"/>
    <w:rsid w:val="00143E97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6CE"/>
    <w:rsid w:val="00172938"/>
    <w:rsid w:val="0017383F"/>
    <w:rsid w:val="00180012"/>
    <w:rsid w:val="00180982"/>
    <w:rsid w:val="00181966"/>
    <w:rsid w:val="00181ABD"/>
    <w:rsid w:val="00182E4A"/>
    <w:rsid w:val="00185755"/>
    <w:rsid w:val="00187C6B"/>
    <w:rsid w:val="001907E2"/>
    <w:rsid w:val="00190F8C"/>
    <w:rsid w:val="00191E64"/>
    <w:rsid w:val="001920B8"/>
    <w:rsid w:val="0019239A"/>
    <w:rsid w:val="001931AC"/>
    <w:rsid w:val="00194236"/>
    <w:rsid w:val="001966D7"/>
    <w:rsid w:val="001968B0"/>
    <w:rsid w:val="001A09FA"/>
    <w:rsid w:val="001A2454"/>
    <w:rsid w:val="001A2EFC"/>
    <w:rsid w:val="001A3D6D"/>
    <w:rsid w:val="001A408C"/>
    <w:rsid w:val="001A4ADE"/>
    <w:rsid w:val="001A4B38"/>
    <w:rsid w:val="001A6B10"/>
    <w:rsid w:val="001B1157"/>
    <w:rsid w:val="001B128E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1F5296"/>
    <w:rsid w:val="0020140E"/>
    <w:rsid w:val="00201826"/>
    <w:rsid w:val="00205E50"/>
    <w:rsid w:val="0020644C"/>
    <w:rsid w:val="0020740A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090E"/>
    <w:rsid w:val="00235872"/>
    <w:rsid w:val="00235DC0"/>
    <w:rsid w:val="00236559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3FFD"/>
    <w:rsid w:val="002641B2"/>
    <w:rsid w:val="0026455F"/>
    <w:rsid w:val="00265AE4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67F5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F67"/>
    <w:rsid w:val="002B6B13"/>
    <w:rsid w:val="002C1344"/>
    <w:rsid w:val="002C349C"/>
    <w:rsid w:val="002C4F03"/>
    <w:rsid w:val="002C5635"/>
    <w:rsid w:val="002D0513"/>
    <w:rsid w:val="002D2480"/>
    <w:rsid w:val="002D3148"/>
    <w:rsid w:val="002D351F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7979"/>
    <w:rsid w:val="00300114"/>
    <w:rsid w:val="00301681"/>
    <w:rsid w:val="00302A17"/>
    <w:rsid w:val="00304AB9"/>
    <w:rsid w:val="00306870"/>
    <w:rsid w:val="003071AC"/>
    <w:rsid w:val="00307756"/>
    <w:rsid w:val="0031187B"/>
    <w:rsid w:val="00312156"/>
    <w:rsid w:val="00312CEF"/>
    <w:rsid w:val="003160DB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795"/>
    <w:rsid w:val="00333BDB"/>
    <w:rsid w:val="00335422"/>
    <w:rsid w:val="00335876"/>
    <w:rsid w:val="00335FCC"/>
    <w:rsid w:val="00336B98"/>
    <w:rsid w:val="003402F3"/>
    <w:rsid w:val="00340D55"/>
    <w:rsid w:val="00341F6A"/>
    <w:rsid w:val="0034469B"/>
    <w:rsid w:val="003448C2"/>
    <w:rsid w:val="00344A16"/>
    <w:rsid w:val="003460E9"/>
    <w:rsid w:val="00346852"/>
    <w:rsid w:val="00347013"/>
    <w:rsid w:val="00352002"/>
    <w:rsid w:val="00352572"/>
    <w:rsid w:val="00353ED1"/>
    <w:rsid w:val="00355C21"/>
    <w:rsid w:val="00357EA8"/>
    <w:rsid w:val="00360432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A67"/>
    <w:rsid w:val="00381E4A"/>
    <w:rsid w:val="00382F48"/>
    <w:rsid w:val="0038617E"/>
    <w:rsid w:val="00390B45"/>
    <w:rsid w:val="0039170A"/>
    <w:rsid w:val="003939D2"/>
    <w:rsid w:val="003948AB"/>
    <w:rsid w:val="00394EC5"/>
    <w:rsid w:val="00397E8F"/>
    <w:rsid w:val="003A18D1"/>
    <w:rsid w:val="003A1C1B"/>
    <w:rsid w:val="003A5FF3"/>
    <w:rsid w:val="003A726A"/>
    <w:rsid w:val="003B0FD0"/>
    <w:rsid w:val="003B18D4"/>
    <w:rsid w:val="003B1911"/>
    <w:rsid w:val="003B1C3F"/>
    <w:rsid w:val="003B25DB"/>
    <w:rsid w:val="003B2934"/>
    <w:rsid w:val="003B58A6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045"/>
    <w:rsid w:val="003D0781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4CE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75F3"/>
    <w:rsid w:val="00410CC3"/>
    <w:rsid w:val="004114D2"/>
    <w:rsid w:val="004118C0"/>
    <w:rsid w:val="00411A7E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40F6"/>
    <w:rsid w:val="004348C8"/>
    <w:rsid w:val="00437F5E"/>
    <w:rsid w:val="00441AE6"/>
    <w:rsid w:val="004423E3"/>
    <w:rsid w:val="00445218"/>
    <w:rsid w:val="004452EB"/>
    <w:rsid w:val="0044610D"/>
    <w:rsid w:val="00446D1B"/>
    <w:rsid w:val="00451255"/>
    <w:rsid w:val="0045165C"/>
    <w:rsid w:val="00451986"/>
    <w:rsid w:val="004519FC"/>
    <w:rsid w:val="00452544"/>
    <w:rsid w:val="00454EBE"/>
    <w:rsid w:val="00455F7F"/>
    <w:rsid w:val="0045602D"/>
    <w:rsid w:val="004564DE"/>
    <w:rsid w:val="0045768D"/>
    <w:rsid w:val="00460545"/>
    <w:rsid w:val="004621C0"/>
    <w:rsid w:val="00462BB2"/>
    <w:rsid w:val="00462D7E"/>
    <w:rsid w:val="00465877"/>
    <w:rsid w:val="00467B5F"/>
    <w:rsid w:val="00470505"/>
    <w:rsid w:val="00472764"/>
    <w:rsid w:val="00474014"/>
    <w:rsid w:val="00475AEE"/>
    <w:rsid w:val="004824CD"/>
    <w:rsid w:val="00483D70"/>
    <w:rsid w:val="004852E1"/>
    <w:rsid w:val="0048616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B26D4"/>
    <w:rsid w:val="004B378F"/>
    <w:rsid w:val="004B42BF"/>
    <w:rsid w:val="004B4C9C"/>
    <w:rsid w:val="004B5743"/>
    <w:rsid w:val="004B72DB"/>
    <w:rsid w:val="004C0A00"/>
    <w:rsid w:val="004C18AA"/>
    <w:rsid w:val="004C2CEA"/>
    <w:rsid w:val="004C4D9B"/>
    <w:rsid w:val="004C5082"/>
    <w:rsid w:val="004C5426"/>
    <w:rsid w:val="004C6BCD"/>
    <w:rsid w:val="004C6D57"/>
    <w:rsid w:val="004C7903"/>
    <w:rsid w:val="004C7B36"/>
    <w:rsid w:val="004D06D9"/>
    <w:rsid w:val="004D41EE"/>
    <w:rsid w:val="004D6443"/>
    <w:rsid w:val="004D6AAE"/>
    <w:rsid w:val="004D7AB2"/>
    <w:rsid w:val="004D7F06"/>
    <w:rsid w:val="004D7F13"/>
    <w:rsid w:val="004E081E"/>
    <w:rsid w:val="004E0A50"/>
    <w:rsid w:val="004E1008"/>
    <w:rsid w:val="004E29D8"/>
    <w:rsid w:val="004E5413"/>
    <w:rsid w:val="004E6D52"/>
    <w:rsid w:val="004F136D"/>
    <w:rsid w:val="004F2C07"/>
    <w:rsid w:val="004F6711"/>
    <w:rsid w:val="004F77DF"/>
    <w:rsid w:val="004F7E1B"/>
    <w:rsid w:val="0050058A"/>
    <w:rsid w:val="0050199A"/>
    <w:rsid w:val="00501B0E"/>
    <w:rsid w:val="00503AF0"/>
    <w:rsid w:val="00506539"/>
    <w:rsid w:val="00510802"/>
    <w:rsid w:val="00510E87"/>
    <w:rsid w:val="005124CE"/>
    <w:rsid w:val="0051310A"/>
    <w:rsid w:val="0051346B"/>
    <w:rsid w:val="00514811"/>
    <w:rsid w:val="00515D0F"/>
    <w:rsid w:val="00517087"/>
    <w:rsid w:val="005172A1"/>
    <w:rsid w:val="00522516"/>
    <w:rsid w:val="00531223"/>
    <w:rsid w:val="005339C5"/>
    <w:rsid w:val="005376F7"/>
    <w:rsid w:val="005402D1"/>
    <w:rsid w:val="00540BB1"/>
    <w:rsid w:val="00541CB6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6012D"/>
    <w:rsid w:val="00560E35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6BE7"/>
    <w:rsid w:val="00587B54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A7AA6"/>
    <w:rsid w:val="005B01F6"/>
    <w:rsid w:val="005B040D"/>
    <w:rsid w:val="005B1B59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127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64C7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1A9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4EB7"/>
    <w:rsid w:val="00615774"/>
    <w:rsid w:val="00615E77"/>
    <w:rsid w:val="00617C2E"/>
    <w:rsid w:val="00623AAB"/>
    <w:rsid w:val="00624F08"/>
    <w:rsid w:val="006250D1"/>
    <w:rsid w:val="00626CF7"/>
    <w:rsid w:val="0063020A"/>
    <w:rsid w:val="006305E6"/>
    <w:rsid w:val="0063238A"/>
    <w:rsid w:val="00633397"/>
    <w:rsid w:val="00634810"/>
    <w:rsid w:val="00640200"/>
    <w:rsid w:val="006402BC"/>
    <w:rsid w:val="00640D70"/>
    <w:rsid w:val="00641DCE"/>
    <w:rsid w:val="00643A5A"/>
    <w:rsid w:val="006440FB"/>
    <w:rsid w:val="00644827"/>
    <w:rsid w:val="00645C4B"/>
    <w:rsid w:val="00646947"/>
    <w:rsid w:val="00646A01"/>
    <w:rsid w:val="00647027"/>
    <w:rsid w:val="00647D77"/>
    <w:rsid w:val="00652724"/>
    <w:rsid w:val="00654BB5"/>
    <w:rsid w:val="006558D9"/>
    <w:rsid w:val="006608F0"/>
    <w:rsid w:val="00661EF6"/>
    <w:rsid w:val="00662FC9"/>
    <w:rsid w:val="0066383F"/>
    <w:rsid w:val="00663BBE"/>
    <w:rsid w:val="00665932"/>
    <w:rsid w:val="00666149"/>
    <w:rsid w:val="006700CD"/>
    <w:rsid w:val="00671A11"/>
    <w:rsid w:val="006747DF"/>
    <w:rsid w:val="00674E8C"/>
    <w:rsid w:val="00675B4E"/>
    <w:rsid w:val="00677396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66E8"/>
    <w:rsid w:val="006871EA"/>
    <w:rsid w:val="006875BD"/>
    <w:rsid w:val="006879D5"/>
    <w:rsid w:val="00687AA8"/>
    <w:rsid w:val="00687BEC"/>
    <w:rsid w:val="00687F51"/>
    <w:rsid w:val="00691244"/>
    <w:rsid w:val="00691F5B"/>
    <w:rsid w:val="006927C2"/>
    <w:rsid w:val="00693D30"/>
    <w:rsid w:val="006974F0"/>
    <w:rsid w:val="006978AE"/>
    <w:rsid w:val="006A0296"/>
    <w:rsid w:val="006A0981"/>
    <w:rsid w:val="006A298A"/>
    <w:rsid w:val="006A2F94"/>
    <w:rsid w:val="006A36D4"/>
    <w:rsid w:val="006A402E"/>
    <w:rsid w:val="006A4084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20CE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77A"/>
    <w:rsid w:val="006E49C9"/>
    <w:rsid w:val="006E5E12"/>
    <w:rsid w:val="006E7C83"/>
    <w:rsid w:val="006F2FD9"/>
    <w:rsid w:val="006F4787"/>
    <w:rsid w:val="006F68F3"/>
    <w:rsid w:val="006F7259"/>
    <w:rsid w:val="00702041"/>
    <w:rsid w:val="00704397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1B58"/>
    <w:rsid w:val="007421A2"/>
    <w:rsid w:val="00743267"/>
    <w:rsid w:val="007438E8"/>
    <w:rsid w:val="00744A1D"/>
    <w:rsid w:val="0074552D"/>
    <w:rsid w:val="00750F17"/>
    <w:rsid w:val="007540A8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08E6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1B4B"/>
    <w:rsid w:val="00792BAC"/>
    <w:rsid w:val="0079505A"/>
    <w:rsid w:val="00795A30"/>
    <w:rsid w:val="007A1632"/>
    <w:rsid w:val="007A1799"/>
    <w:rsid w:val="007A1C32"/>
    <w:rsid w:val="007A27B5"/>
    <w:rsid w:val="007A2F8B"/>
    <w:rsid w:val="007A3740"/>
    <w:rsid w:val="007A503A"/>
    <w:rsid w:val="007A68DE"/>
    <w:rsid w:val="007A7827"/>
    <w:rsid w:val="007A7E51"/>
    <w:rsid w:val="007B22BF"/>
    <w:rsid w:val="007B2BDE"/>
    <w:rsid w:val="007B2BE6"/>
    <w:rsid w:val="007B583E"/>
    <w:rsid w:val="007C0695"/>
    <w:rsid w:val="007D1351"/>
    <w:rsid w:val="007D2335"/>
    <w:rsid w:val="007D2D2A"/>
    <w:rsid w:val="007D30B1"/>
    <w:rsid w:val="007D39F8"/>
    <w:rsid w:val="007D4563"/>
    <w:rsid w:val="007D464A"/>
    <w:rsid w:val="007E1683"/>
    <w:rsid w:val="007E25A3"/>
    <w:rsid w:val="007E270F"/>
    <w:rsid w:val="007E3256"/>
    <w:rsid w:val="007E32D6"/>
    <w:rsid w:val="007E3BC9"/>
    <w:rsid w:val="007E3F77"/>
    <w:rsid w:val="007E5857"/>
    <w:rsid w:val="007E7F07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53F8"/>
    <w:rsid w:val="008068F1"/>
    <w:rsid w:val="0080691F"/>
    <w:rsid w:val="00806A37"/>
    <w:rsid w:val="00807C66"/>
    <w:rsid w:val="0081077A"/>
    <w:rsid w:val="00810791"/>
    <w:rsid w:val="00810F2D"/>
    <w:rsid w:val="00811248"/>
    <w:rsid w:val="00811A99"/>
    <w:rsid w:val="00812AA4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75"/>
    <w:rsid w:val="008305FB"/>
    <w:rsid w:val="008318C5"/>
    <w:rsid w:val="00831F46"/>
    <w:rsid w:val="008331A9"/>
    <w:rsid w:val="00835B38"/>
    <w:rsid w:val="00836491"/>
    <w:rsid w:val="00837572"/>
    <w:rsid w:val="008407C6"/>
    <w:rsid w:val="00841003"/>
    <w:rsid w:val="008417F7"/>
    <w:rsid w:val="00842B3A"/>
    <w:rsid w:val="008453B3"/>
    <w:rsid w:val="00846880"/>
    <w:rsid w:val="00856187"/>
    <w:rsid w:val="00857974"/>
    <w:rsid w:val="0086049B"/>
    <w:rsid w:val="00861644"/>
    <w:rsid w:val="0086164A"/>
    <w:rsid w:val="00862990"/>
    <w:rsid w:val="00862E3F"/>
    <w:rsid w:val="008645AB"/>
    <w:rsid w:val="00866474"/>
    <w:rsid w:val="008668F0"/>
    <w:rsid w:val="00866911"/>
    <w:rsid w:val="00870AC9"/>
    <w:rsid w:val="00871F9D"/>
    <w:rsid w:val="00873D3A"/>
    <w:rsid w:val="00875416"/>
    <w:rsid w:val="008842CB"/>
    <w:rsid w:val="0088484D"/>
    <w:rsid w:val="0088733A"/>
    <w:rsid w:val="008879BC"/>
    <w:rsid w:val="00890B60"/>
    <w:rsid w:val="0089360C"/>
    <w:rsid w:val="00893A94"/>
    <w:rsid w:val="0089630D"/>
    <w:rsid w:val="008A25F0"/>
    <w:rsid w:val="008A2E9E"/>
    <w:rsid w:val="008A41BA"/>
    <w:rsid w:val="008A61B2"/>
    <w:rsid w:val="008A75C7"/>
    <w:rsid w:val="008A75FA"/>
    <w:rsid w:val="008A7BFD"/>
    <w:rsid w:val="008A7F83"/>
    <w:rsid w:val="008B1762"/>
    <w:rsid w:val="008B287C"/>
    <w:rsid w:val="008B36E5"/>
    <w:rsid w:val="008B7048"/>
    <w:rsid w:val="008C0010"/>
    <w:rsid w:val="008C3AA4"/>
    <w:rsid w:val="008C453A"/>
    <w:rsid w:val="008C4B41"/>
    <w:rsid w:val="008C60E6"/>
    <w:rsid w:val="008D0072"/>
    <w:rsid w:val="008D17A8"/>
    <w:rsid w:val="008D2419"/>
    <w:rsid w:val="008D347B"/>
    <w:rsid w:val="008D3716"/>
    <w:rsid w:val="008D3C2C"/>
    <w:rsid w:val="008D5692"/>
    <w:rsid w:val="008D5774"/>
    <w:rsid w:val="008D5A3A"/>
    <w:rsid w:val="008D60EC"/>
    <w:rsid w:val="008E1B66"/>
    <w:rsid w:val="008E28DA"/>
    <w:rsid w:val="008E6AAD"/>
    <w:rsid w:val="008E72B4"/>
    <w:rsid w:val="008E7F2E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0362"/>
    <w:rsid w:val="00922631"/>
    <w:rsid w:val="00922BC5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0F35"/>
    <w:rsid w:val="00934740"/>
    <w:rsid w:val="00936106"/>
    <w:rsid w:val="00937AD8"/>
    <w:rsid w:val="00942F87"/>
    <w:rsid w:val="009432BE"/>
    <w:rsid w:val="0094584B"/>
    <w:rsid w:val="009478AD"/>
    <w:rsid w:val="00950169"/>
    <w:rsid w:val="009506A4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1423"/>
    <w:rsid w:val="009727BB"/>
    <w:rsid w:val="00980781"/>
    <w:rsid w:val="00981811"/>
    <w:rsid w:val="009820DA"/>
    <w:rsid w:val="009829FA"/>
    <w:rsid w:val="00983866"/>
    <w:rsid w:val="00985DB2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3F8E"/>
    <w:rsid w:val="009F40CD"/>
    <w:rsid w:val="009F4501"/>
    <w:rsid w:val="009F7132"/>
    <w:rsid w:val="009F7368"/>
    <w:rsid w:val="009F767B"/>
    <w:rsid w:val="009F76AF"/>
    <w:rsid w:val="00A00EE6"/>
    <w:rsid w:val="00A01683"/>
    <w:rsid w:val="00A0214E"/>
    <w:rsid w:val="00A03E16"/>
    <w:rsid w:val="00A05211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4A6"/>
    <w:rsid w:val="00A20D54"/>
    <w:rsid w:val="00A20EFD"/>
    <w:rsid w:val="00A2123D"/>
    <w:rsid w:val="00A21461"/>
    <w:rsid w:val="00A21697"/>
    <w:rsid w:val="00A2197F"/>
    <w:rsid w:val="00A22051"/>
    <w:rsid w:val="00A26555"/>
    <w:rsid w:val="00A26A0D"/>
    <w:rsid w:val="00A275C9"/>
    <w:rsid w:val="00A30061"/>
    <w:rsid w:val="00A307EC"/>
    <w:rsid w:val="00A3180C"/>
    <w:rsid w:val="00A32163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5476"/>
    <w:rsid w:val="00A55F39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3BE8"/>
    <w:rsid w:val="00A75214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A5F"/>
    <w:rsid w:val="00A97E12"/>
    <w:rsid w:val="00A97FC1"/>
    <w:rsid w:val="00AA3927"/>
    <w:rsid w:val="00AA3A93"/>
    <w:rsid w:val="00AA3FF5"/>
    <w:rsid w:val="00AA489A"/>
    <w:rsid w:val="00AA5264"/>
    <w:rsid w:val="00AA590D"/>
    <w:rsid w:val="00AA5973"/>
    <w:rsid w:val="00AA6653"/>
    <w:rsid w:val="00AA7816"/>
    <w:rsid w:val="00AA7A96"/>
    <w:rsid w:val="00AB0380"/>
    <w:rsid w:val="00AB3526"/>
    <w:rsid w:val="00AB5725"/>
    <w:rsid w:val="00AB5ED0"/>
    <w:rsid w:val="00AC1208"/>
    <w:rsid w:val="00AC1ACE"/>
    <w:rsid w:val="00AC289D"/>
    <w:rsid w:val="00AC2CFA"/>
    <w:rsid w:val="00AC5D21"/>
    <w:rsid w:val="00AC5E6F"/>
    <w:rsid w:val="00AC6090"/>
    <w:rsid w:val="00AC716E"/>
    <w:rsid w:val="00AD0D8D"/>
    <w:rsid w:val="00AD170F"/>
    <w:rsid w:val="00AD1EE2"/>
    <w:rsid w:val="00AD3374"/>
    <w:rsid w:val="00AD3AB1"/>
    <w:rsid w:val="00AD41B4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17"/>
    <w:rsid w:val="00AE733F"/>
    <w:rsid w:val="00AE765A"/>
    <w:rsid w:val="00AF0DB2"/>
    <w:rsid w:val="00AF1F7D"/>
    <w:rsid w:val="00AF3BC8"/>
    <w:rsid w:val="00AF584B"/>
    <w:rsid w:val="00AF6158"/>
    <w:rsid w:val="00AF688E"/>
    <w:rsid w:val="00B00270"/>
    <w:rsid w:val="00B00579"/>
    <w:rsid w:val="00B00AC1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14F5"/>
    <w:rsid w:val="00B2362C"/>
    <w:rsid w:val="00B24636"/>
    <w:rsid w:val="00B306E7"/>
    <w:rsid w:val="00B3115C"/>
    <w:rsid w:val="00B314B0"/>
    <w:rsid w:val="00B34F39"/>
    <w:rsid w:val="00B3593E"/>
    <w:rsid w:val="00B35C74"/>
    <w:rsid w:val="00B36A6E"/>
    <w:rsid w:val="00B44239"/>
    <w:rsid w:val="00B4580D"/>
    <w:rsid w:val="00B519C8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496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95783"/>
    <w:rsid w:val="00BA2373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C7584"/>
    <w:rsid w:val="00BD046E"/>
    <w:rsid w:val="00BD4290"/>
    <w:rsid w:val="00BD44F4"/>
    <w:rsid w:val="00BD65B3"/>
    <w:rsid w:val="00BD7B7D"/>
    <w:rsid w:val="00BE177C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2E3D"/>
    <w:rsid w:val="00BF53FF"/>
    <w:rsid w:val="00BF5F94"/>
    <w:rsid w:val="00BF682B"/>
    <w:rsid w:val="00BF7E5C"/>
    <w:rsid w:val="00C00CED"/>
    <w:rsid w:val="00C01810"/>
    <w:rsid w:val="00C034B5"/>
    <w:rsid w:val="00C06943"/>
    <w:rsid w:val="00C07F73"/>
    <w:rsid w:val="00C10348"/>
    <w:rsid w:val="00C11142"/>
    <w:rsid w:val="00C126DA"/>
    <w:rsid w:val="00C14626"/>
    <w:rsid w:val="00C17AC9"/>
    <w:rsid w:val="00C20FFC"/>
    <w:rsid w:val="00C21283"/>
    <w:rsid w:val="00C22CC4"/>
    <w:rsid w:val="00C23D9E"/>
    <w:rsid w:val="00C306CD"/>
    <w:rsid w:val="00C30BE2"/>
    <w:rsid w:val="00C30F6B"/>
    <w:rsid w:val="00C31B0A"/>
    <w:rsid w:val="00C32F86"/>
    <w:rsid w:val="00C35AD7"/>
    <w:rsid w:val="00C36C69"/>
    <w:rsid w:val="00C3723A"/>
    <w:rsid w:val="00C4008A"/>
    <w:rsid w:val="00C41133"/>
    <w:rsid w:val="00C42F1B"/>
    <w:rsid w:val="00C436B5"/>
    <w:rsid w:val="00C4422D"/>
    <w:rsid w:val="00C450AD"/>
    <w:rsid w:val="00C4677D"/>
    <w:rsid w:val="00C46B3B"/>
    <w:rsid w:val="00C47177"/>
    <w:rsid w:val="00C47EDB"/>
    <w:rsid w:val="00C50F4F"/>
    <w:rsid w:val="00C51BE1"/>
    <w:rsid w:val="00C5505D"/>
    <w:rsid w:val="00C567AE"/>
    <w:rsid w:val="00C631B5"/>
    <w:rsid w:val="00C64682"/>
    <w:rsid w:val="00C6516C"/>
    <w:rsid w:val="00C66017"/>
    <w:rsid w:val="00C66BCF"/>
    <w:rsid w:val="00C72759"/>
    <w:rsid w:val="00C72937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17F8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3B1D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599"/>
    <w:rsid w:val="00D11EBE"/>
    <w:rsid w:val="00D13281"/>
    <w:rsid w:val="00D14541"/>
    <w:rsid w:val="00D16195"/>
    <w:rsid w:val="00D21454"/>
    <w:rsid w:val="00D237C3"/>
    <w:rsid w:val="00D2417E"/>
    <w:rsid w:val="00D2505A"/>
    <w:rsid w:val="00D31E64"/>
    <w:rsid w:val="00D31F70"/>
    <w:rsid w:val="00D3376B"/>
    <w:rsid w:val="00D34C37"/>
    <w:rsid w:val="00D35865"/>
    <w:rsid w:val="00D360F0"/>
    <w:rsid w:val="00D36DEA"/>
    <w:rsid w:val="00D378B2"/>
    <w:rsid w:val="00D40CAB"/>
    <w:rsid w:val="00D43BF1"/>
    <w:rsid w:val="00D4447E"/>
    <w:rsid w:val="00D444E2"/>
    <w:rsid w:val="00D445B9"/>
    <w:rsid w:val="00D44B35"/>
    <w:rsid w:val="00D450C3"/>
    <w:rsid w:val="00D45A80"/>
    <w:rsid w:val="00D47D85"/>
    <w:rsid w:val="00D5144A"/>
    <w:rsid w:val="00D51748"/>
    <w:rsid w:val="00D5575B"/>
    <w:rsid w:val="00D57D0D"/>
    <w:rsid w:val="00D62192"/>
    <w:rsid w:val="00D63DBD"/>
    <w:rsid w:val="00D63F6A"/>
    <w:rsid w:val="00D649F7"/>
    <w:rsid w:val="00D64D9B"/>
    <w:rsid w:val="00D66403"/>
    <w:rsid w:val="00D6660D"/>
    <w:rsid w:val="00D71B2C"/>
    <w:rsid w:val="00D74368"/>
    <w:rsid w:val="00D764E0"/>
    <w:rsid w:val="00D76691"/>
    <w:rsid w:val="00D779A2"/>
    <w:rsid w:val="00D80040"/>
    <w:rsid w:val="00D822DA"/>
    <w:rsid w:val="00D83B35"/>
    <w:rsid w:val="00D85B05"/>
    <w:rsid w:val="00D8663C"/>
    <w:rsid w:val="00D87574"/>
    <w:rsid w:val="00D90713"/>
    <w:rsid w:val="00D90D60"/>
    <w:rsid w:val="00D91F07"/>
    <w:rsid w:val="00D9447B"/>
    <w:rsid w:val="00D969DA"/>
    <w:rsid w:val="00D97A60"/>
    <w:rsid w:val="00DA441D"/>
    <w:rsid w:val="00DA7006"/>
    <w:rsid w:val="00DA7333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715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1CC2"/>
    <w:rsid w:val="00DE1DB6"/>
    <w:rsid w:val="00DE31BB"/>
    <w:rsid w:val="00DE4291"/>
    <w:rsid w:val="00DE5263"/>
    <w:rsid w:val="00DE6C8F"/>
    <w:rsid w:val="00DF021A"/>
    <w:rsid w:val="00DF0695"/>
    <w:rsid w:val="00DF21D0"/>
    <w:rsid w:val="00DF29D2"/>
    <w:rsid w:val="00DF2E06"/>
    <w:rsid w:val="00DF4424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2D0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407"/>
    <w:rsid w:val="00E5060D"/>
    <w:rsid w:val="00E51698"/>
    <w:rsid w:val="00E53E0F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607C"/>
    <w:rsid w:val="00E862BC"/>
    <w:rsid w:val="00E87B52"/>
    <w:rsid w:val="00E9081E"/>
    <w:rsid w:val="00E90DA7"/>
    <w:rsid w:val="00E91EE1"/>
    <w:rsid w:val="00E924D0"/>
    <w:rsid w:val="00E92EC9"/>
    <w:rsid w:val="00E93E3E"/>
    <w:rsid w:val="00E956CE"/>
    <w:rsid w:val="00E96D69"/>
    <w:rsid w:val="00EA0D72"/>
    <w:rsid w:val="00EA21AF"/>
    <w:rsid w:val="00EA4712"/>
    <w:rsid w:val="00EA567A"/>
    <w:rsid w:val="00EA5C2E"/>
    <w:rsid w:val="00EA695B"/>
    <w:rsid w:val="00EA6E60"/>
    <w:rsid w:val="00EB3CDF"/>
    <w:rsid w:val="00EB3EA7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7FB"/>
    <w:rsid w:val="00EF449B"/>
    <w:rsid w:val="00EF565F"/>
    <w:rsid w:val="00EF64C6"/>
    <w:rsid w:val="00F010F5"/>
    <w:rsid w:val="00F017F6"/>
    <w:rsid w:val="00F02B74"/>
    <w:rsid w:val="00F033D4"/>
    <w:rsid w:val="00F059E4"/>
    <w:rsid w:val="00F0622B"/>
    <w:rsid w:val="00F0651C"/>
    <w:rsid w:val="00F06531"/>
    <w:rsid w:val="00F06B62"/>
    <w:rsid w:val="00F0702D"/>
    <w:rsid w:val="00F111C6"/>
    <w:rsid w:val="00F1128F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2D1B"/>
    <w:rsid w:val="00F44122"/>
    <w:rsid w:val="00F4675F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574F6"/>
    <w:rsid w:val="00F6054A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7702F"/>
    <w:rsid w:val="00F80B37"/>
    <w:rsid w:val="00F85048"/>
    <w:rsid w:val="00F8554A"/>
    <w:rsid w:val="00F858EC"/>
    <w:rsid w:val="00F85ED1"/>
    <w:rsid w:val="00F86678"/>
    <w:rsid w:val="00F86DF8"/>
    <w:rsid w:val="00F87F88"/>
    <w:rsid w:val="00F90403"/>
    <w:rsid w:val="00F92245"/>
    <w:rsid w:val="00F933D9"/>
    <w:rsid w:val="00F9453F"/>
    <w:rsid w:val="00F9465C"/>
    <w:rsid w:val="00F949AE"/>
    <w:rsid w:val="00F951E3"/>
    <w:rsid w:val="00FA0D07"/>
    <w:rsid w:val="00FA2F61"/>
    <w:rsid w:val="00FA5BD0"/>
    <w:rsid w:val="00FA6B0E"/>
    <w:rsid w:val="00FA720F"/>
    <w:rsid w:val="00FB19C3"/>
    <w:rsid w:val="00FB1DD1"/>
    <w:rsid w:val="00FB1EC3"/>
    <w:rsid w:val="00FB2579"/>
    <w:rsid w:val="00FB43D5"/>
    <w:rsid w:val="00FB4DB8"/>
    <w:rsid w:val="00FB52A7"/>
    <w:rsid w:val="00FB5F98"/>
    <w:rsid w:val="00FB63C4"/>
    <w:rsid w:val="00FB67C9"/>
    <w:rsid w:val="00FC1643"/>
    <w:rsid w:val="00FC31F0"/>
    <w:rsid w:val="00FC364A"/>
    <w:rsid w:val="00FC416A"/>
    <w:rsid w:val="00FC5D6B"/>
    <w:rsid w:val="00FC66BC"/>
    <w:rsid w:val="00FC7C16"/>
    <w:rsid w:val="00FD0ACC"/>
    <w:rsid w:val="00FD217E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8E292"/>
  <w15:docId w15:val="{1C096E11-7D31-4B90-B60E-258548A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21A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table" w:styleId="Mkatabulky">
    <w:name w:val="Table Grid"/>
    <w:basedOn w:val="Normlntabulka"/>
    <w:uiPriority w:val="39"/>
    <w:rsid w:val="00866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1EA4-50D8-46B7-B5A3-357C38F9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4782</Words>
  <Characters>28216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4</cp:revision>
  <cp:lastPrinted>2020-07-16T08:33:00Z</cp:lastPrinted>
  <dcterms:created xsi:type="dcterms:W3CDTF">2021-02-03T08:01:00Z</dcterms:created>
  <dcterms:modified xsi:type="dcterms:W3CDTF">2021-02-03T08:06:00Z</dcterms:modified>
</cp:coreProperties>
</file>