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474" w:rsidTr="009C6673">
        <w:trPr>
          <w:trHeight w:val="992"/>
        </w:trPr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164088"/>
          </w:tcPr>
          <w:p w:rsidR="00866474" w:rsidRDefault="00866474" w:rsidP="009C6673"/>
          <w:p w:rsidR="00866474" w:rsidRDefault="00866474" w:rsidP="009C6673"/>
        </w:tc>
      </w:tr>
      <w:tr w:rsidR="00866474" w:rsidTr="00E12D08">
        <w:trPr>
          <w:trHeight w:val="553"/>
        </w:trPr>
        <w:tc>
          <w:tcPr>
            <w:tcW w:w="9062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66474" w:rsidRPr="00A750E1" w:rsidRDefault="00866474" w:rsidP="009C6673">
            <w:pPr>
              <w:jc w:val="center"/>
              <w:rPr>
                <w:rFonts w:ascii="Montserrat" w:hAnsi="Montserrat" w:cstheme="minorHAnsi"/>
                <w:color w:val="164088"/>
              </w:rPr>
            </w:pPr>
            <w:r w:rsidRPr="00A750E1">
              <w:rPr>
                <w:rFonts w:ascii="Montserrat" w:hAnsi="Montserrat" w:cstheme="minorHAnsi"/>
                <w:color w:val="164088"/>
                <w:sz w:val="40"/>
                <w14:textFill>
                  <w14:solidFill>
                    <w14:srgbClr w14:val="164088">
                      <w14:lumMod w14:val="75000"/>
                    </w14:srgbClr>
                  </w14:solidFill>
                </w14:textFill>
              </w:rPr>
              <w:t>MINISTERSTVO PRÁCE A SOCIÁLNÍCH VĚCÍ</w:t>
            </w:r>
          </w:p>
        </w:tc>
      </w:tr>
    </w:tbl>
    <w:p w:rsidR="00866474" w:rsidRDefault="00866474" w:rsidP="00381A67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381A67" w:rsidRPr="00381A67" w:rsidRDefault="00381A67" w:rsidP="00381A67">
      <w:pPr>
        <w:rPr>
          <w:rFonts w:asciiTheme="minorHAnsi" w:hAnsiTheme="minorHAnsi" w:cstheme="minorHAnsi"/>
          <w:sz w:val="26"/>
          <w:szCs w:val="26"/>
        </w:rPr>
      </w:pPr>
      <w:r w:rsidRPr="00381A67">
        <w:rPr>
          <w:rFonts w:asciiTheme="minorHAnsi" w:hAnsiTheme="minorHAnsi" w:cstheme="minorHAnsi"/>
          <w:sz w:val="26"/>
          <w:szCs w:val="26"/>
        </w:rPr>
        <w:t>Č. j.: MPSV-2020/5013-624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381A67">
        <w:rPr>
          <w:rFonts w:asciiTheme="minorHAnsi" w:hAnsiTheme="minorHAnsi" w:cstheme="minorHAnsi"/>
          <w:sz w:val="26"/>
          <w:szCs w:val="26"/>
        </w:rPr>
        <w:tab/>
      </w:r>
      <w:r w:rsidRPr="00381A67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81A6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81A67">
        <w:rPr>
          <w:rFonts w:asciiTheme="minorHAnsi" w:hAnsiTheme="minorHAnsi" w:cstheme="minorHAnsi"/>
          <w:sz w:val="26"/>
          <w:szCs w:val="26"/>
        </w:rPr>
        <w:t xml:space="preserve">  V Praze dne </w:t>
      </w:r>
      <w:r>
        <w:rPr>
          <w:rFonts w:asciiTheme="minorHAnsi" w:hAnsiTheme="minorHAnsi" w:cstheme="minorHAnsi"/>
          <w:sz w:val="26"/>
          <w:szCs w:val="26"/>
        </w:rPr>
        <w:t>27.</w:t>
      </w:r>
      <w:r w:rsidRPr="00381A67">
        <w:rPr>
          <w:rFonts w:asciiTheme="minorHAnsi" w:hAnsiTheme="minorHAnsi" w:cstheme="minorHAnsi"/>
          <w:sz w:val="26"/>
          <w:szCs w:val="26"/>
        </w:rPr>
        <w:t xml:space="preserve"> ledna 2020</w:t>
      </w:r>
    </w:p>
    <w:p w:rsidR="00381A67" w:rsidRPr="00381A67" w:rsidRDefault="00381A67" w:rsidP="00381A67">
      <w:pPr>
        <w:rPr>
          <w:rFonts w:asciiTheme="minorHAnsi" w:hAnsiTheme="minorHAnsi" w:cstheme="minorHAnsi"/>
          <w:sz w:val="26"/>
          <w:szCs w:val="26"/>
        </w:rPr>
      </w:pPr>
    </w:p>
    <w:p w:rsidR="00381A67" w:rsidRPr="00381A67" w:rsidRDefault="00381A67" w:rsidP="00381A67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381A67" w:rsidRDefault="00381A67" w:rsidP="00381A67">
      <w:pPr>
        <w:rPr>
          <w:rFonts w:asciiTheme="minorHAnsi" w:hAnsiTheme="minorHAnsi" w:cstheme="minorHAnsi"/>
          <w:sz w:val="26"/>
          <w:szCs w:val="26"/>
        </w:rPr>
      </w:pPr>
    </w:p>
    <w:p w:rsidR="006866E8" w:rsidRDefault="006866E8" w:rsidP="00381A67">
      <w:pPr>
        <w:rPr>
          <w:rFonts w:asciiTheme="minorHAnsi" w:hAnsiTheme="minorHAnsi" w:cstheme="minorHAnsi"/>
          <w:sz w:val="26"/>
          <w:szCs w:val="26"/>
        </w:rPr>
      </w:pPr>
    </w:p>
    <w:p w:rsidR="006866E8" w:rsidRDefault="006866E8" w:rsidP="00381A67">
      <w:pPr>
        <w:rPr>
          <w:rFonts w:asciiTheme="minorHAnsi" w:hAnsiTheme="minorHAnsi" w:cstheme="minorHAnsi"/>
          <w:sz w:val="26"/>
          <w:szCs w:val="26"/>
        </w:rPr>
      </w:pPr>
    </w:p>
    <w:p w:rsidR="006875BD" w:rsidRDefault="006875BD" w:rsidP="00381A67">
      <w:pPr>
        <w:rPr>
          <w:rFonts w:asciiTheme="minorHAnsi" w:hAnsiTheme="minorHAnsi" w:cstheme="minorHAnsi"/>
          <w:sz w:val="26"/>
          <w:szCs w:val="26"/>
        </w:rPr>
      </w:pPr>
    </w:p>
    <w:p w:rsidR="00381A67" w:rsidRPr="00381A67" w:rsidRDefault="00381A67" w:rsidP="00381A67">
      <w:pPr>
        <w:rPr>
          <w:rFonts w:asciiTheme="minorHAnsi" w:hAnsiTheme="minorHAnsi" w:cstheme="minorHAnsi"/>
          <w:sz w:val="26"/>
          <w:szCs w:val="26"/>
        </w:rPr>
      </w:pPr>
    </w:p>
    <w:p w:rsidR="00381A67" w:rsidRDefault="00381A67" w:rsidP="00381A67">
      <w:pPr>
        <w:jc w:val="center"/>
        <w:rPr>
          <w:rFonts w:asciiTheme="minorHAnsi" w:hAnsiTheme="minorHAnsi" w:cstheme="minorHAnsi"/>
          <w:b/>
          <w:i/>
          <w:sz w:val="44"/>
          <w:szCs w:val="26"/>
        </w:rPr>
      </w:pPr>
      <w:r w:rsidRPr="00381A67">
        <w:rPr>
          <w:rFonts w:asciiTheme="minorHAnsi" w:hAnsiTheme="minorHAnsi" w:cstheme="minorHAnsi"/>
          <w:b/>
          <w:i/>
          <w:sz w:val="44"/>
          <w:szCs w:val="26"/>
        </w:rPr>
        <w:t>Zpráva o základních tendencích</w:t>
      </w:r>
    </w:p>
    <w:p w:rsidR="00381A67" w:rsidRDefault="00381A67" w:rsidP="00381A67">
      <w:pPr>
        <w:jc w:val="center"/>
        <w:rPr>
          <w:rFonts w:asciiTheme="minorHAnsi" w:hAnsiTheme="minorHAnsi" w:cstheme="minorHAnsi"/>
          <w:b/>
          <w:i/>
          <w:sz w:val="44"/>
          <w:szCs w:val="26"/>
        </w:rPr>
      </w:pPr>
      <w:r w:rsidRPr="00381A67">
        <w:rPr>
          <w:rFonts w:asciiTheme="minorHAnsi" w:hAnsiTheme="minorHAnsi" w:cstheme="minorHAnsi"/>
          <w:b/>
          <w:i/>
          <w:sz w:val="44"/>
          <w:szCs w:val="26"/>
        </w:rPr>
        <w:t>příjmové a výdajové situace domácností ČR</w:t>
      </w:r>
    </w:p>
    <w:p w:rsidR="00381A67" w:rsidRPr="00381A67" w:rsidRDefault="00381A67" w:rsidP="00381A67">
      <w:pPr>
        <w:jc w:val="center"/>
        <w:rPr>
          <w:rFonts w:asciiTheme="minorHAnsi" w:hAnsiTheme="minorHAnsi" w:cstheme="minorHAnsi"/>
          <w:b/>
          <w:i/>
          <w:sz w:val="44"/>
          <w:szCs w:val="26"/>
        </w:rPr>
      </w:pPr>
      <w:r w:rsidRPr="00381A67">
        <w:rPr>
          <w:rFonts w:asciiTheme="minorHAnsi" w:hAnsiTheme="minorHAnsi" w:cstheme="minorHAnsi"/>
          <w:b/>
          <w:i/>
          <w:sz w:val="44"/>
          <w:szCs w:val="26"/>
        </w:rPr>
        <w:t>v 1. – 3. čtvrtletí 2019</w:t>
      </w:r>
    </w:p>
    <w:p w:rsidR="00381A67" w:rsidRPr="00381A67" w:rsidRDefault="00381A67" w:rsidP="00381A67">
      <w:pPr>
        <w:jc w:val="center"/>
        <w:rPr>
          <w:rFonts w:asciiTheme="minorHAnsi" w:hAnsiTheme="minorHAnsi" w:cstheme="minorHAnsi"/>
          <w:b/>
          <w:i/>
          <w:sz w:val="40"/>
          <w:szCs w:val="26"/>
        </w:rPr>
      </w:pPr>
    </w:p>
    <w:p w:rsidR="006A0981" w:rsidRDefault="006A0981" w:rsidP="00381A67">
      <w:pPr>
        <w:rPr>
          <w:rFonts w:asciiTheme="minorHAnsi" w:hAnsiTheme="minorHAnsi" w:cstheme="minorHAnsi"/>
          <w:sz w:val="26"/>
          <w:szCs w:val="26"/>
        </w:rPr>
      </w:pPr>
    </w:p>
    <w:p w:rsidR="006A0981" w:rsidRDefault="006A0981" w:rsidP="00381A67">
      <w:pPr>
        <w:rPr>
          <w:rFonts w:asciiTheme="minorHAnsi" w:hAnsiTheme="minorHAnsi" w:cstheme="minorHAnsi"/>
          <w:sz w:val="26"/>
          <w:szCs w:val="26"/>
        </w:rPr>
      </w:pPr>
    </w:p>
    <w:p w:rsidR="006A0981" w:rsidRDefault="006A0981" w:rsidP="00381A67">
      <w:pPr>
        <w:rPr>
          <w:rFonts w:asciiTheme="minorHAnsi" w:hAnsiTheme="minorHAnsi" w:cstheme="minorHAnsi"/>
          <w:sz w:val="26"/>
          <w:szCs w:val="26"/>
        </w:rPr>
      </w:pPr>
    </w:p>
    <w:p w:rsidR="006A0981" w:rsidRDefault="006A0981" w:rsidP="00381A67">
      <w:pPr>
        <w:rPr>
          <w:rFonts w:asciiTheme="minorHAnsi" w:hAnsiTheme="minorHAnsi" w:cstheme="minorHAnsi"/>
          <w:sz w:val="26"/>
          <w:szCs w:val="26"/>
        </w:rPr>
      </w:pPr>
    </w:p>
    <w:p w:rsidR="006866E8" w:rsidRDefault="006866E8" w:rsidP="00381A67">
      <w:pPr>
        <w:rPr>
          <w:rFonts w:asciiTheme="minorHAnsi" w:hAnsiTheme="minorHAnsi" w:cstheme="minorHAnsi"/>
          <w:sz w:val="26"/>
          <w:szCs w:val="26"/>
        </w:rPr>
      </w:pPr>
    </w:p>
    <w:p w:rsidR="006A0981" w:rsidRPr="00381A67" w:rsidRDefault="006A0981" w:rsidP="00381A67">
      <w:pPr>
        <w:rPr>
          <w:rFonts w:asciiTheme="minorHAnsi" w:hAnsiTheme="minorHAnsi" w:cstheme="minorHAnsi"/>
          <w:sz w:val="26"/>
          <w:szCs w:val="26"/>
        </w:rPr>
      </w:pPr>
    </w:p>
    <w:p w:rsidR="00381A67" w:rsidRPr="006A0981" w:rsidRDefault="006A0981" w:rsidP="00AB5725">
      <w:pPr>
        <w:tabs>
          <w:tab w:val="left" w:pos="5670"/>
          <w:tab w:val="left" w:pos="9072"/>
        </w:tabs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6A0981">
        <w:rPr>
          <w:rFonts w:asciiTheme="minorHAnsi" w:hAnsiTheme="minorHAnsi" w:cstheme="minorHAnsi"/>
          <w:b/>
          <w:sz w:val="26"/>
          <w:szCs w:val="26"/>
        </w:rPr>
        <w:t>Důvod předložení: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381A67">
        <w:rPr>
          <w:rFonts w:asciiTheme="minorHAnsi" w:hAnsiTheme="minorHAnsi" w:cstheme="minorHAnsi"/>
          <w:b/>
          <w:sz w:val="26"/>
          <w:szCs w:val="26"/>
        </w:rPr>
        <w:t>Obsah:</w:t>
      </w:r>
    </w:p>
    <w:p w:rsidR="00381A67" w:rsidRPr="006A0981" w:rsidRDefault="006A0981" w:rsidP="006A0981">
      <w:pPr>
        <w:tabs>
          <w:tab w:val="left" w:pos="5670"/>
          <w:tab w:val="left" w:pos="9072"/>
        </w:tabs>
        <w:rPr>
          <w:rFonts w:asciiTheme="minorHAnsi" w:hAnsiTheme="minorHAnsi" w:cstheme="minorHAnsi"/>
          <w:sz w:val="26"/>
          <w:szCs w:val="26"/>
        </w:rPr>
      </w:pPr>
      <w:r w:rsidRPr="006A0981">
        <w:rPr>
          <w:rFonts w:asciiTheme="minorHAnsi" w:hAnsiTheme="minorHAnsi" w:cstheme="minorHAnsi"/>
          <w:sz w:val="26"/>
          <w:szCs w:val="26"/>
        </w:rPr>
        <w:t>Průběžné monitorování aktuální</w:t>
      </w:r>
      <w:r>
        <w:rPr>
          <w:rFonts w:asciiTheme="minorHAnsi" w:hAnsiTheme="minorHAnsi" w:cstheme="minorHAnsi"/>
          <w:sz w:val="26"/>
          <w:szCs w:val="26"/>
        </w:rPr>
        <w:tab/>
        <w:t xml:space="preserve"> I. </w:t>
      </w:r>
      <w:r w:rsidRPr="00381A67">
        <w:rPr>
          <w:rFonts w:asciiTheme="minorHAnsi" w:hAnsiTheme="minorHAnsi" w:cstheme="minorHAnsi"/>
          <w:sz w:val="26"/>
          <w:szCs w:val="26"/>
        </w:rPr>
        <w:t xml:space="preserve">Textová </w:t>
      </w:r>
      <w:r>
        <w:rPr>
          <w:rFonts w:asciiTheme="minorHAnsi" w:hAnsiTheme="minorHAnsi" w:cstheme="minorHAnsi"/>
          <w:sz w:val="26"/>
          <w:szCs w:val="26"/>
        </w:rPr>
        <w:t>část</w:t>
      </w:r>
    </w:p>
    <w:p w:rsidR="00381A67" w:rsidRPr="006A0981" w:rsidRDefault="006A0981" w:rsidP="006A0981">
      <w:pPr>
        <w:tabs>
          <w:tab w:val="left" w:pos="5670"/>
          <w:tab w:val="left" w:pos="9072"/>
        </w:tabs>
        <w:rPr>
          <w:rFonts w:asciiTheme="minorHAnsi" w:hAnsiTheme="minorHAnsi" w:cstheme="minorHAnsi"/>
          <w:sz w:val="26"/>
          <w:szCs w:val="26"/>
        </w:rPr>
      </w:pPr>
      <w:r w:rsidRPr="006A0981">
        <w:rPr>
          <w:rFonts w:asciiTheme="minorHAnsi" w:hAnsiTheme="minorHAnsi" w:cstheme="minorHAnsi"/>
          <w:sz w:val="26"/>
          <w:szCs w:val="26"/>
        </w:rPr>
        <w:t>situace hospodaření domácností</w:t>
      </w:r>
      <w:r>
        <w:rPr>
          <w:rFonts w:asciiTheme="minorHAnsi" w:hAnsiTheme="minorHAnsi" w:cstheme="minorHAnsi"/>
          <w:sz w:val="26"/>
          <w:szCs w:val="26"/>
        </w:rPr>
        <w:tab/>
        <w:t xml:space="preserve">II. </w:t>
      </w:r>
      <w:r w:rsidRPr="00381A67">
        <w:rPr>
          <w:rFonts w:asciiTheme="minorHAnsi" w:hAnsiTheme="minorHAnsi" w:cstheme="minorHAnsi"/>
          <w:sz w:val="26"/>
          <w:szCs w:val="26"/>
        </w:rPr>
        <w:t>Tabulková příloha</w:t>
      </w:r>
    </w:p>
    <w:p w:rsidR="00381A67" w:rsidRPr="00381A67" w:rsidRDefault="00381A67" w:rsidP="00381A67">
      <w:pPr>
        <w:ind w:firstLine="5529"/>
        <w:rPr>
          <w:rFonts w:asciiTheme="minorHAnsi" w:hAnsiTheme="minorHAnsi" w:cstheme="minorHAnsi"/>
          <w:b/>
          <w:sz w:val="26"/>
          <w:szCs w:val="26"/>
        </w:rPr>
      </w:pPr>
    </w:p>
    <w:p w:rsidR="006875BD" w:rsidRDefault="006875BD" w:rsidP="00381A67">
      <w:pPr>
        <w:rPr>
          <w:rFonts w:asciiTheme="minorHAnsi" w:hAnsiTheme="minorHAnsi" w:cstheme="minorHAnsi"/>
          <w:sz w:val="26"/>
          <w:szCs w:val="26"/>
        </w:rPr>
      </w:pPr>
    </w:p>
    <w:p w:rsidR="006875BD" w:rsidRDefault="006875BD" w:rsidP="00381A67">
      <w:pPr>
        <w:rPr>
          <w:rFonts w:asciiTheme="minorHAnsi" w:hAnsiTheme="minorHAnsi" w:cstheme="minorHAnsi"/>
          <w:sz w:val="26"/>
          <w:szCs w:val="26"/>
        </w:rPr>
      </w:pPr>
    </w:p>
    <w:p w:rsidR="006875BD" w:rsidRPr="006A0981" w:rsidRDefault="006875BD" w:rsidP="006875BD">
      <w:pPr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6A0981">
        <w:rPr>
          <w:rFonts w:asciiTheme="minorHAnsi" w:hAnsiTheme="minorHAnsi" w:cstheme="minorHAnsi"/>
          <w:b/>
          <w:sz w:val="26"/>
          <w:szCs w:val="26"/>
        </w:rPr>
        <w:t>Předkládá:</w:t>
      </w:r>
    </w:p>
    <w:p w:rsidR="006875BD" w:rsidRDefault="006875BD" w:rsidP="006875B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Odbor rozpočtu a účetnictví</w:t>
      </w:r>
    </w:p>
    <w:p w:rsidR="006875BD" w:rsidRPr="00381A67" w:rsidRDefault="006875BD" w:rsidP="006875B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Oddělení koncepcí a analýz příjmů</w:t>
      </w:r>
    </w:p>
    <w:p w:rsidR="006A0981" w:rsidRDefault="006A0981" w:rsidP="00381A67">
      <w:pPr>
        <w:rPr>
          <w:rFonts w:asciiTheme="minorHAnsi" w:hAnsiTheme="minorHAnsi" w:cstheme="minorHAnsi"/>
          <w:sz w:val="26"/>
          <w:szCs w:val="26"/>
        </w:rPr>
      </w:pPr>
    </w:p>
    <w:p w:rsidR="006875BD" w:rsidRDefault="006875BD" w:rsidP="00381A67">
      <w:pPr>
        <w:rPr>
          <w:rFonts w:asciiTheme="minorHAnsi" w:hAnsiTheme="minorHAnsi" w:cstheme="minorHAnsi"/>
          <w:sz w:val="26"/>
          <w:szCs w:val="26"/>
        </w:rPr>
      </w:pPr>
    </w:p>
    <w:p w:rsidR="006875BD" w:rsidRDefault="006875BD" w:rsidP="00381A67">
      <w:pPr>
        <w:rPr>
          <w:rFonts w:asciiTheme="minorHAnsi" w:hAnsiTheme="minorHAnsi" w:cstheme="minorHAnsi"/>
          <w:sz w:val="26"/>
          <w:szCs w:val="26"/>
        </w:rPr>
      </w:pPr>
    </w:p>
    <w:p w:rsidR="006875BD" w:rsidRDefault="00866474" w:rsidP="00866474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="Montserrat" w:hAnsi="Montserrat"/>
          <w:noProof/>
        </w:rPr>
        <w:drawing>
          <wp:inline distT="0" distB="0" distL="0" distR="0" wp14:anchorId="478F362A" wp14:editId="5C1DBE3A">
            <wp:extent cx="657225" cy="6753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SV_graficka_znacka_bar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11" cy="69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39" w:rsidRPr="00AE7317" w:rsidRDefault="006875BD" w:rsidP="006866E8">
      <w:pPr>
        <w:jc w:val="center"/>
      </w:pPr>
      <w:r>
        <w:rPr>
          <w:rFonts w:asciiTheme="minorHAnsi" w:hAnsiTheme="minorHAnsi" w:cstheme="minorHAnsi"/>
          <w:sz w:val="26"/>
          <w:szCs w:val="26"/>
        </w:rPr>
        <w:t>Praha 2020</w:t>
      </w:r>
      <w:r w:rsidR="00A55F39" w:rsidRPr="00AE7317">
        <w:br w:type="page"/>
      </w: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AE7317">
        <w:rPr>
          <w:rFonts w:asciiTheme="minorHAnsi" w:hAnsiTheme="minorHAnsi"/>
          <w:b/>
          <w:sz w:val="44"/>
          <w:szCs w:val="36"/>
        </w:rPr>
        <w:t>I.</w:t>
      </w:r>
    </w:p>
    <w:p w:rsidR="004621C0" w:rsidRPr="00AE7317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AE7317">
        <w:rPr>
          <w:rFonts w:asciiTheme="minorHAnsi" w:hAnsiTheme="minorHAnsi"/>
          <w:b/>
          <w:sz w:val="44"/>
          <w:szCs w:val="36"/>
        </w:rPr>
        <w:t xml:space="preserve">Textová </w:t>
      </w:r>
      <w:r w:rsidR="00C11142">
        <w:rPr>
          <w:rFonts w:asciiTheme="minorHAnsi" w:hAnsiTheme="minorHAnsi"/>
          <w:b/>
          <w:sz w:val="44"/>
          <w:szCs w:val="36"/>
        </w:rPr>
        <w:t>část</w:t>
      </w:r>
    </w:p>
    <w:p w:rsidR="004268E2" w:rsidRPr="00AE7317" w:rsidRDefault="004268E2" w:rsidP="004268E2">
      <w:pPr>
        <w:rPr>
          <w:sz w:val="28"/>
        </w:rPr>
      </w:pPr>
    </w:p>
    <w:p w:rsidR="00586BE7" w:rsidRPr="00AE7317" w:rsidRDefault="00586BE7">
      <w:r w:rsidRPr="00AE7317">
        <w:br w:type="page"/>
      </w:r>
    </w:p>
    <w:p w:rsidR="004268E2" w:rsidRPr="00AE7317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28"/>
        </w:rPr>
      </w:pPr>
    </w:p>
    <w:p w:rsidR="004268E2" w:rsidRPr="00AE7317" w:rsidRDefault="004268E2" w:rsidP="004268E2">
      <w:pPr>
        <w:rPr>
          <w:rFonts w:asciiTheme="minorHAnsi" w:hAnsiTheme="minorHAnsi"/>
        </w:rPr>
      </w:pPr>
    </w:p>
    <w:p w:rsidR="004268E2" w:rsidRPr="00AE7317" w:rsidRDefault="004268E2" w:rsidP="004268E2">
      <w:pPr>
        <w:rPr>
          <w:rFonts w:asciiTheme="minorHAnsi" w:hAnsiTheme="minorHAnsi"/>
        </w:rPr>
      </w:pPr>
    </w:p>
    <w:p w:rsidR="004268E2" w:rsidRPr="00AE7317" w:rsidRDefault="004268E2" w:rsidP="004268E2">
      <w:pPr>
        <w:rPr>
          <w:rFonts w:asciiTheme="minorHAnsi" w:hAnsiTheme="minorHAnsi"/>
        </w:rPr>
      </w:pPr>
    </w:p>
    <w:p w:rsidR="004268E2" w:rsidRPr="00AE7317" w:rsidRDefault="004268E2" w:rsidP="004268E2">
      <w:pPr>
        <w:rPr>
          <w:rFonts w:asciiTheme="minorHAnsi" w:hAnsiTheme="minorHAnsi"/>
        </w:rPr>
      </w:pPr>
    </w:p>
    <w:p w:rsidR="004268E2" w:rsidRPr="00AE7317" w:rsidRDefault="004268E2" w:rsidP="004268E2">
      <w:pPr>
        <w:rPr>
          <w:rFonts w:asciiTheme="minorHAnsi" w:hAnsiTheme="minorHAnsi"/>
        </w:rPr>
      </w:pPr>
    </w:p>
    <w:p w:rsidR="004268E2" w:rsidRPr="00AE7317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28"/>
        </w:rPr>
      </w:pPr>
    </w:p>
    <w:p w:rsidR="004268E2" w:rsidRPr="00AE7317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4"/>
        </w:rPr>
      </w:pPr>
      <w:r w:rsidRPr="00AE7317">
        <w:rPr>
          <w:rFonts w:asciiTheme="minorHAnsi" w:hAnsiTheme="minorHAnsi"/>
          <w:sz w:val="44"/>
        </w:rPr>
        <w:t>Obsah</w:t>
      </w:r>
    </w:p>
    <w:p w:rsidR="004268E2" w:rsidRPr="00AE7317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</w:rPr>
      </w:pPr>
    </w:p>
    <w:p w:rsidR="004268E2" w:rsidRPr="00AE7317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E7317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E7317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E7317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sz w:val="26"/>
          <w:szCs w:val="26"/>
        </w:rPr>
        <w:tab/>
        <w:t>strana</w:t>
      </w:r>
    </w:p>
    <w:p w:rsidR="004268E2" w:rsidRPr="00AE7317" w:rsidRDefault="004268E2" w:rsidP="004268E2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b/>
          <w:bCs/>
          <w:sz w:val="26"/>
          <w:szCs w:val="26"/>
        </w:rPr>
        <w:t>Hlavní poznatky z analýzy</w:t>
      </w:r>
      <w:r w:rsidRPr="00AE7317">
        <w:rPr>
          <w:rFonts w:asciiTheme="minorHAnsi" w:hAnsiTheme="minorHAnsi"/>
          <w:sz w:val="26"/>
          <w:szCs w:val="26"/>
        </w:rPr>
        <w:tab/>
      </w:r>
      <w:r w:rsidR="00C11142">
        <w:rPr>
          <w:rFonts w:asciiTheme="minorHAnsi" w:hAnsiTheme="minorHAnsi"/>
          <w:sz w:val="26"/>
          <w:szCs w:val="26"/>
        </w:rPr>
        <w:t xml:space="preserve"> </w:t>
      </w:r>
      <w:r w:rsidRPr="00AE7317">
        <w:rPr>
          <w:rFonts w:asciiTheme="minorHAnsi" w:hAnsiTheme="minorHAnsi"/>
          <w:sz w:val="26"/>
          <w:szCs w:val="26"/>
        </w:rPr>
        <w:t xml:space="preserve"> 1</w:t>
      </w:r>
    </w:p>
    <w:p w:rsidR="004268E2" w:rsidRPr="00AE7317" w:rsidRDefault="004268E2" w:rsidP="004268E2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b/>
          <w:bCs/>
          <w:sz w:val="26"/>
          <w:szCs w:val="26"/>
        </w:rPr>
        <w:t>1</w:t>
      </w:r>
      <w:r w:rsidRPr="00AE7317">
        <w:rPr>
          <w:rFonts w:asciiTheme="minorHAnsi" w:hAnsiTheme="minorHAnsi"/>
          <w:b/>
          <w:sz w:val="26"/>
          <w:szCs w:val="26"/>
        </w:rPr>
        <w:t>. Příjmy domácností</w:t>
      </w:r>
      <w:r w:rsidRPr="00AE7317">
        <w:rPr>
          <w:rFonts w:asciiTheme="minorHAnsi" w:hAnsiTheme="minorHAnsi"/>
          <w:sz w:val="26"/>
          <w:szCs w:val="26"/>
        </w:rPr>
        <w:tab/>
      </w:r>
      <w:r w:rsidR="00DF4424">
        <w:rPr>
          <w:rFonts w:asciiTheme="minorHAnsi" w:hAnsiTheme="minorHAnsi"/>
          <w:sz w:val="26"/>
          <w:szCs w:val="26"/>
        </w:rPr>
        <w:t xml:space="preserve"> </w:t>
      </w:r>
      <w:r w:rsidR="00C11142">
        <w:rPr>
          <w:rFonts w:asciiTheme="minorHAnsi" w:hAnsiTheme="minorHAnsi"/>
          <w:sz w:val="26"/>
          <w:szCs w:val="26"/>
        </w:rPr>
        <w:t xml:space="preserve"> </w:t>
      </w:r>
      <w:r w:rsidRPr="00AE7317">
        <w:rPr>
          <w:rFonts w:asciiTheme="minorHAnsi" w:hAnsiTheme="minorHAnsi"/>
          <w:sz w:val="26"/>
          <w:szCs w:val="26"/>
        </w:rPr>
        <w:t>4</w:t>
      </w: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i/>
          <w:sz w:val="26"/>
          <w:szCs w:val="26"/>
        </w:rPr>
        <w:tab/>
        <w:t>1. 1   Základní charakteristika</w:t>
      </w:r>
      <w:r w:rsidRPr="00AE7317">
        <w:rPr>
          <w:rFonts w:asciiTheme="minorHAnsi" w:hAnsiTheme="minorHAnsi"/>
          <w:sz w:val="26"/>
          <w:szCs w:val="26"/>
        </w:rPr>
        <w:tab/>
      </w:r>
      <w:r w:rsidR="00DF4424">
        <w:rPr>
          <w:rFonts w:asciiTheme="minorHAnsi" w:hAnsiTheme="minorHAnsi"/>
          <w:sz w:val="26"/>
          <w:szCs w:val="26"/>
        </w:rPr>
        <w:t xml:space="preserve"> </w:t>
      </w:r>
      <w:r w:rsidR="00C11142">
        <w:rPr>
          <w:rFonts w:asciiTheme="minorHAnsi" w:hAnsiTheme="minorHAnsi"/>
          <w:sz w:val="26"/>
          <w:szCs w:val="26"/>
        </w:rPr>
        <w:t xml:space="preserve"> </w:t>
      </w:r>
      <w:r w:rsidRPr="00AE7317">
        <w:rPr>
          <w:rFonts w:asciiTheme="minorHAnsi" w:hAnsiTheme="minorHAnsi"/>
          <w:sz w:val="26"/>
          <w:szCs w:val="26"/>
        </w:rPr>
        <w:t>4</w:t>
      </w: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i/>
          <w:sz w:val="26"/>
          <w:szCs w:val="26"/>
        </w:rPr>
        <w:tab/>
        <w:t>1. 2   Mzdy</w:t>
      </w:r>
      <w:r w:rsidR="00517087" w:rsidRPr="00AE7317">
        <w:rPr>
          <w:rFonts w:asciiTheme="minorHAnsi" w:hAnsiTheme="minorHAnsi"/>
          <w:sz w:val="26"/>
          <w:szCs w:val="26"/>
        </w:rPr>
        <w:t xml:space="preserve"> </w:t>
      </w:r>
      <w:r w:rsidR="00517087" w:rsidRPr="00AE7317">
        <w:rPr>
          <w:rFonts w:asciiTheme="minorHAnsi" w:hAnsiTheme="minorHAnsi"/>
          <w:sz w:val="26"/>
          <w:szCs w:val="26"/>
        </w:rPr>
        <w:tab/>
      </w:r>
      <w:r w:rsidR="00DF4424">
        <w:rPr>
          <w:rFonts w:asciiTheme="minorHAnsi" w:hAnsiTheme="minorHAnsi"/>
          <w:sz w:val="26"/>
          <w:szCs w:val="26"/>
        </w:rPr>
        <w:t xml:space="preserve"> </w:t>
      </w:r>
      <w:r w:rsidR="00C11142">
        <w:rPr>
          <w:rFonts w:asciiTheme="minorHAnsi" w:hAnsiTheme="minorHAnsi"/>
          <w:sz w:val="26"/>
          <w:szCs w:val="26"/>
        </w:rPr>
        <w:t xml:space="preserve"> </w:t>
      </w:r>
      <w:r w:rsidR="00517087" w:rsidRPr="00AE7317">
        <w:rPr>
          <w:rFonts w:asciiTheme="minorHAnsi" w:hAnsiTheme="minorHAnsi"/>
          <w:sz w:val="26"/>
          <w:szCs w:val="26"/>
        </w:rPr>
        <w:t>5</w:t>
      </w: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sz w:val="26"/>
          <w:szCs w:val="26"/>
        </w:rPr>
        <w:tab/>
      </w:r>
      <w:r w:rsidRPr="00AE7317">
        <w:rPr>
          <w:rFonts w:asciiTheme="minorHAnsi" w:hAnsiTheme="minorHAnsi"/>
          <w:i/>
          <w:sz w:val="26"/>
          <w:szCs w:val="26"/>
        </w:rPr>
        <w:t>1. 3   Sociální příjmy</w:t>
      </w:r>
      <w:r w:rsidRPr="00AE7317">
        <w:rPr>
          <w:rFonts w:asciiTheme="minorHAnsi" w:hAnsiTheme="minorHAnsi"/>
          <w:sz w:val="26"/>
          <w:szCs w:val="26"/>
        </w:rPr>
        <w:tab/>
      </w:r>
      <w:r w:rsidR="00C11142">
        <w:rPr>
          <w:rFonts w:asciiTheme="minorHAnsi" w:hAnsiTheme="minorHAnsi"/>
          <w:sz w:val="26"/>
          <w:szCs w:val="26"/>
        </w:rPr>
        <w:t xml:space="preserve"> </w:t>
      </w:r>
      <w:r w:rsidRPr="00AE7317">
        <w:rPr>
          <w:rFonts w:asciiTheme="minorHAnsi" w:hAnsiTheme="minorHAnsi"/>
          <w:sz w:val="26"/>
          <w:szCs w:val="26"/>
        </w:rPr>
        <w:t>1</w:t>
      </w:r>
      <w:r w:rsidR="00D97A60" w:rsidRPr="00AE7317">
        <w:rPr>
          <w:rFonts w:asciiTheme="minorHAnsi" w:hAnsiTheme="minorHAnsi"/>
          <w:sz w:val="26"/>
          <w:szCs w:val="26"/>
        </w:rPr>
        <w:t>1</w:t>
      </w: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b/>
          <w:sz w:val="26"/>
          <w:szCs w:val="26"/>
        </w:rPr>
        <w:t>2. Spotřebitelské ceny a životní náklady</w:t>
      </w:r>
      <w:r w:rsidRPr="00AE7317">
        <w:rPr>
          <w:rFonts w:asciiTheme="minorHAnsi" w:hAnsiTheme="minorHAnsi"/>
          <w:sz w:val="26"/>
          <w:szCs w:val="26"/>
        </w:rPr>
        <w:tab/>
      </w:r>
      <w:r w:rsidR="00C11142">
        <w:rPr>
          <w:rFonts w:asciiTheme="minorHAnsi" w:hAnsiTheme="minorHAnsi"/>
          <w:sz w:val="26"/>
          <w:szCs w:val="26"/>
        </w:rPr>
        <w:t xml:space="preserve"> </w:t>
      </w:r>
      <w:r w:rsidRPr="00AE7317">
        <w:rPr>
          <w:rFonts w:asciiTheme="minorHAnsi" w:hAnsiTheme="minorHAnsi"/>
          <w:sz w:val="26"/>
          <w:szCs w:val="26"/>
        </w:rPr>
        <w:t>1</w:t>
      </w:r>
      <w:r w:rsidR="00D97A60" w:rsidRPr="00AE7317">
        <w:rPr>
          <w:rFonts w:asciiTheme="minorHAnsi" w:hAnsiTheme="minorHAnsi"/>
          <w:sz w:val="26"/>
          <w:szCs w:val="26"/>
        </w:rPr>
        <w:t>6</w:t>
      </w: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AE7317">
        <w:rPr>
          <w:rFonts w:asciiTheme="minorHAnsi" w:hAnsiTheme="minorHAnsi"/>
          <w:b/>
          <w:sz w:val="26"/>
          <w:szCs w:val="26"/>
        </w:rPr>
        <w:t>3. Peněžní výdaje a úspory domácností</w:t>
      </w:r>
      <w:r w:rsidRPr="00AE7317">
        <w:rPr>
          <w:rFonts w:asciiTheme="minorHAnsi" w:hAnsiTheme="minorHAnsi"/>
          <w:sz w:val="26"/>
          <w:szCs w:val="26"/>
        </w:rPr>
        <w:tab/>
      </w:r>
      <w:r w:rsidR="00C11142">
        <w:rPr>
          <w:rFonts w:asciiTheme="minorHAnsi" w:hAnsiTheme="minorHAnsi"/>
          <w:sz w:val="26"/>
          <w:szCs w:val="26"/>
        </w:rPr>
        <w:t xml:space="preserve"> </w:t>
      </w:r>
      <w:r w:rsidRPr="00AE7317">
        <w:rPr>
          <w:rFonts w:asciiTheme="minorHAnsi" w:hAnsiTheme="minorHAnsi"/>
          <w:sz w:val="26"/>
          <w:szCs w:val="26"/>
        </w:rPr>
        <w:t>1</w:t>
      </w:r>
      <w:r w:rsidR="00D97A60" w:rsidRPr="00AE7317">
        <w:rPr>
          <w:rFonts w:asciiTheme="minorHAnsi" w:hAnsiTheme="minorHAnsi"/>
          <w:sz w:val="26"/>
          <w:szCs w:val="26"/>
        </w:rPr>
        <w:t>8</w:t>
      </w: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4268E2" w:rsidRPr="00AE7317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4268E2" w:rsidRPr="00AE7317" w:rsidSect="00A11CA4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:rsidR="00BC7584" w:rsidRPr="00AE7317" w:rsidRDefault="00BC7584" w:rsidP="004F7E1B">
      <w:pPr>
        <w:jc w:val="both"/>
        <w:rPr>
          <w:rFonts w:asciiTheme="minorHAnsi" w:hAnsiTheme="minorHAnsi"/>
          <w:b/>
          <w:i/>
          <w:sz w:val="44"/>
          <w:szCs w:val="44"/>
        </w:rPr>
      </w:pPr>
      <w:r w:rsidRPr="00AE7317">
        <w:rPr>
          <w:rFonts w:asciiTheme="minorHAnsi" w:hAnsiTheme="minorHAnsi"/>
          <w:b/>
          <w:i/>
          <w:sz w:val="44"/>
          <w:szCs w:val="44"/>
        </w:rPr>
        <w:lastRenderedPageBreak/>
        <w:t xml:space="preserve">Hlavní poznatky z analýzy </w:t>
      </w:r>
    </w:p>
    <w:p w:rsidR="0088484D" w:rsidRPr="00AE7317" w:rsidRDefault="0088484D" w:rsidP="0088484D">
      <w:pPr>
        <w:spacing w:after="240" w:line="360" w:lineRule="auto"/>
        <w:jc w:val="both"/>
        <w:rPr>
          <w:i/>
          <w:iCs/>
        </w:rPr>
      </w:pPr>
    </w:p>
    <w:p w:rsidR="0088484D" w:rsidRPr="00AE7317" w:rsidRDefault="0088484D" w:rsidP="0088484D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Česká ekonomika dosáhla ve třetím čtvrtletí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roku 2019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nižšího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meziročního růstu hrubého domácího produktu </w:t>
      </w:r>
      <w:r w:rsidRPr="00AE7317">
        <w:rPr>
          <w:rFonts w:asciiTheme="minorHAnsi" w:hAnsiTheme="minorHAnsi" w:cstheme="minorHAnsi"/>
          <w:bCs/>
          <w:sz w:val="26"/>
          <w:szCs w:val="26"/>
        </w:rPr>
        <w:t>ve stálých cenách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než v předchozím čtvrtletí.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 xml:space="preserve">Meziroční zvýšení činilo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2,5 %</w:t>
      </w:r>
      <w:r w:rsidRPr="00AE7317">
        <w:rPr>
          <w:rFonts w:asciiTheme="minorHAnsi" w:hAnsiTheme="minorHAnsi" w:cstheme="minorHAnsi"/>
          <w:sz w:val="26"/>
          <w:szCs w:val="26"/>
        </w:rPr>
        <w:t xml:space="preserve"> a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 xml:space="preserve">nejvyšší čtvrtletní nárůst v roce 2019 tak ekonomika vykázala ve 2. čtvrtletí (+2,8 %). Přesto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svým tempem Česká republika převyšuje průměr Evropské unie</w:t>
      </w:r>
      <w:r w:rsidRPr="00AE7317">
        <w:rPr>
          <w:rFonts w:asciiTheme="minorHAnsi" w:hAnsiTheme="minorHAnsi" w:cstheme="minorHAnsi"/>
          <w:sz w:val="26"/>
          <w:szCs w:val="26"/>
        </w:rPr>
        <w:t>, kde byl ve 3. čtvrtletí dosažen růst 1,4 %. V mezičtvrtletním srovnání se zvýšil</w:t>
      </w:r>
      <w:r w:rsidR="00836491">
        <w:rPr>
          <w:rFonts w:asciiTheme="minorHAnsi" w:hAnsiTheme="minorHAnsi" w:cstheme="minorHAnsi"/>
          <w:sz w:val="26"/>
          <w:szCs w:val="26"/>
        </w:rPr>
        <w:t>o</w:t>
      </w:r>
      <w:r w:rsidRPr="00AE7317">
        <w:rPr>
          <w:rFonts w:asciiTheme="minorHAnsi" w:hAnsiTheme="minorHAnsi" w:cstheme="minorHAnsi"/>
          <w:sz w:val="26"/>
          <w:szCs w:val="26"/>
        </w:rPr>
        <w:t xml:space="preserve"> HDP o 0,4 %.</w:t>
      </w:r>
    </w:p>
    <w:p w:rsidR="0088484D" w:rsidRPr="00AE7317" w:rsidRDefault="0088484D" w:rsidP="0088484D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Kladně se </w:t>
      </w:r>
      <w:r w:rsidRPr="00AE7317">
        <w:rPr>
          <w:rFonts w:asciiTheme="minorHAnsi" w:hAnsiTheme="minorHAnsi" w:cstheme="minorHAnsi"/>
          <w:sz w:val="26"/>
          <w:szCs w:val="26"/>
        </w:rPr>
        <w:t xml:space="preserve">na dynamice vývoje národního hospodářství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podílely </w:t>
      </w:r>
      <w:r w:rsidRPr="00AE7317">
        <w:rPr>
          <w:rFonts w:asciiTheme="minorHAnsi" w:hAnsiTheme="minorHAnsi" w:cstheme="minorHAnsi"/>
          <w:b/>
          <w:sz w:val="26"/>
          <w:szCs w:val="26"/>
        </w:rPr>
        <w:t>na výdajové straně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konečná spotřeba </w:t>
      </w:r>
      <w:r w:rsidRPr="00AE7317">
        <w:rPr>
          <w:rFonts w:asciiTheme="minorHAnsi" w:hAnsiTheme="minorHAnsi" w:cstheme="minorHAnsi"/>
          <w:bCs/>
          <w:sz w:val="26"/>
          <w:szCs w:val="26"/>
        </w:rPr>
        <w:t>(domácností a vládních institucí)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a bilance zahraničního obchodu. </w:t>
      </w:r>
      <w:r w:rsidRPr="00AE7317">
        <w:rPr>
          <w:rFonts w:asciiTheme="minorHAnsi" w:hAnsiTheme="minorHAnsi" w:cstheme="minorHAnsi"/>
          <w:bCs/>
          <w:sz w:val="26"/>
          <w:szCs w:val="26"/>
        </w:rPr>
        <w:t>Naopak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výdaje na tvorbu hrubého kapitálu meziroční růst brzdily.</w:t>
      </w:r>
      <w:r w:rsidR="004F7E1B" w:rsidRPr="00AE73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>Na</w:t>
      </w:r>
      <w:r w:rsidR="004F7E1B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nabídkové straně mělo stejně jako ve 2. čtvrtletí výrazný vliv odvětví služeb. Také</w:t>
      </w:r>
      <w:r w:rsidR="004F7E1B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zpracovatelský průmysl si udržel svůj kladný příspěvek do souhrnné hrubé přidané hodnoty.</w:t>
      </w:r>
    </w:p>
    <w:p w:rsidR="0088484D" w:rsidRPr="00AE7317" w:rsidRDefault="0088484D" w:rsidP="0088484D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E7317">
        <w:rPr>
          <w:rFonts w:asciiTheme="minorHAnsi" w:eastAsia="Calibr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Rozbor </w:t>
      </w:r>
      <w:r w:rsidRPr="00AE7317">
        <w:rPr>
          <w:rFonts w:asciiTheme="minorHAnsi" w:hAnsiTheme="minorHAnsi" w:cstheme="minorHAnsi"/>
          <w:sz w:val="26"/>
          <w:szCs w:val="26"/>
        </w:rPr>
        <w:t>příjmů a výdajů domácností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přinesl </w:t>
      </w:r>
      <w:r w:rsidRPr="00AE7317">
        <w:rPr>
          <w:rFonts w:asciiTheme="minorHAnsi" w:hAnsiTheme="minorHAnsi" w:cstheme="minorHAnsi"/>
          <w:sz w:val="26"/>
          <w:szCs w:val="26"/>
        </w:rPr>
        <w:t xml:space="preserve">v 1. – 3. čtvrtletí 2019 zejména </w:t>
      </w:r>
      <w:r w:rsidRPr="00AE7317">
        <w:rPr>
          <w:rFonts w:asciiTheme="minorHAnsi" w:hAnsiTheme="minorHAnsi" w:cstheme="minorHAnsi"/>
          <w:b/>
          <w:sz w:val="26"/>
          <w:szCs w:val="26"/>
        </w:rPr>
        <w:t>tyto hlavní poznatky:</w:t>
      </w:r>
    </w:p>
    <w:p w:rsidR="0088484D" w:rsidRPr="00AE7317" w:rsidRDefault="0088484D" w:rsidP="0088484D">
      <w:pPr>
        <w:numPr>
          <w:ilvl w:val="0"/>
          <w:numId w:val="29"/>
        </w:numPr>
        <w:spacing w:after="120" w:line="360" w:lineRule="auto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úhrnný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disponibilní důchod</w:t>
      </w:r>
      <w:r w:rsidRPr="00AE7317">
        <w:rPr>
          <w:rFonts w:asciiTheme="minorHAnsi" w:hAnsiTheme="minorHAnsi" w:cstheme="minorHAnsi"/>
          <w:sz w:val="26"/>
          <w:szCs w:val="26"/>
        </w:rPr>
        <w:t xml:space="preserve"> sektoru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domácností </w:t>
      </w:r>
      <w:r w:rsidRPr="00AE7317">
        <w:rPr>
          <w:rFonts w:asciiTheme="minorHAnsi" w:hAnsiTheme="minorHAnsi" w:cstheme="minorHAnsi"/>
          <w:sz w:val="26"/>
          <w:szCs w:val="26"/>
        </w:rPr>
        <w:t>(na makroúrovni statistiky národních účtů)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vzrostl </w:t>
      </w:r>
      <w:r w:rsidRPr="00AE7317">
        <w:rPr>
          <w:rFonts w:asciiTheme="minorHAnsi" w:hAnsiTheme="minorHAnsi" w:cstheme="minorHAnsi"/>
          <w:sz w:val="26"/>
          <w:szCs w:val="26"/>
        </w:rPr>
        <w:t xml:space="preserve">nominálně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o 6,4 % na 2 152,9 mld. Kč, tj. </w:t>
      </w:r>
      <w:r w:rsidRPr="00AE7317">
        <w:rPr>
          <w:rFonts w:asciiTheme="minorHAnsi" w:hAnsiTheme="minorHAnsi" w:cstheme="minorHAnsi"/>
          <w:sz w:val="26"/>
          <w:szCs w:val="26"/>
        </w:rPr>
        <w:t>reálně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o 3,5 %; </w:t>
      </w:r>
      <w:r w:rsidRPr="00AE7317">
        <w:rPr>
          <w:rFonts w:asciiTheme="minorHAnsi" w:hAnsiTheme="minorHAnsi" w:cstheme="minorHAnsi"/>
          <w:sz w:val="26"/>
          <w:szCs w:val="26"/>
        </w:rPr>
        <w:t>stoupla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kupní síla všech součástí běžných příjmů sektoru domácností </w:t>
      </w:r>
      <w:r w:rsidRPr="00AE7317">
        <w:rPr>
          <w:rFonts w:asciiTheme="minorHAnsi" w:hAnsiTheme="minorHAnsi" w:cstheme="minorHAnsi"/>
          <w:bCs/>
          <w:sz w:val="26"/>
          <w:szCs w:val="26"/>
        </w:rPr>
        <w:t>(kromě důchodů z vlastnictví)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</w:p>
    <w:p w:rsidR="0088484D" w:rsidRPr="00AE7317" w:rsidRDefault="0088484D" w:rsidP="0088484D">
      <w:pPr>
        <w:numPr>
          <w:ilvl w:val="0"/>
          <w:numId w:val="29"/>
        </w:numPr>
        <w:spacing w:after="120" w:line="360" w:lineRule="auto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>největším zdrojem peněžních příjmů domácností byly mzdy; průměrná měsíční nominální mzda v národním hospodářství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(na přepočtené počty zaměstnanců)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dosáhla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úrovně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33 429 Kč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a její meziroční dynamika růstu se ze</w:t>
      </w:r>
      <w:r w:rsidR="004F7E1B" w:rsidRPr="00AE7317">
        <w:rPr>
          <w:rFonts w:asciiTheme="minorHAnsi" w:hAnsiTheme="minorHAnsi" w:cstheme="minorHAnsi"/>
          <w:bCs/>
          <w:sz w:val="26"/>
          <w:szCs w:val="26"/>
        </w:rPr>
        <w:t> </w:t>
      </w:r>
      <w:r w:rsidRPr="00AE7317">
        <w:rPr>
          <w:rFonts w:asciiTheme="minorHAnsi" w:hAnsiTheme="minorHAnsi" w:cstheme="minorHAnsi"/>
          <w:bCs/>
          <w:sz w:val="26"/>
          <w:szCs w:val="26"/>
        </w:rPr>
        <w:t>7,9 % (v lednu – září 2018) mírně snížila na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7,2 %,</w:t>
      </w:r>
    </w:p>
    <w:p w:rsidR="0088484D" w:rsidRPr="00AE7317" w:rsidRDefault="0088484D" w:rsidP="0088484D">
      <w:pPr>
        <w:numPr>
          <w:ilvl w:val="0"/>
          <w:numId w:val="29"/>
        </w:numPr>
        <w:spacing w:after="120" w:line="360" w:lineRule="auto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Cs/>
          <w:sz w:val="26"/>
          <w:szCs w:val="26"/>
        </w:rPr>
        <w:t xml:space="preserve">po zohlednění nárůstu cenové inflace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došlo k posílení průměrné reálné mzdy o 4,3 %</w:t>
      </w:r>
      <w:r w:rsidRPr="00AE7317">
        <w:rPr>
          <w:rFonts w:asciiTheme="minorHAnsi" w:hAnsiTheme="minorHAnsi" w:cstheme="minorHAnsi"/>
          <w:bCs/>
          <w:sz w:val="26"/>
          <w:szCs w:val="26"/>
        </w:rPr>
        <w:t>; jednalo se o 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druhé nejvyšší zaznamenané zvýšení její úrovně za posledních 10 let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(ve srovnatelném období),</w:t>
      </w:r>
    </w:p>
    <w:p w:rsidR="0088484D" w:rsidRPr="00AE7317" w:rsidRDefault="0088484D" w:rsidP="0088484D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lastRenderedPageBreak/>
        <w:t>celkový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objem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sociálních příjmů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dosáhl</w:t>
      </w:r>
      <w:r w:rsidRPr="00AE7317">
        <w:rPr>
          <w:rFonts w:asciiTheme="minorHAnsi" w:hAnsiTheme="minorHAnsi" w:cstheme="minorHAnsi"/>
          <w:sz w:val="26"/>
          <w:szCs w:val="26"/>
        </w:rPr>
        <w:t xml:space="preserve"> částky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430,8 mld. Kč a převýšil skutečnost stejného období roku 2018 o 31,3 mld. Kč, </w:t>
      </w:r>
      <w:r w:rsidRPr="00AE7317">
        <w:rPr>
          <w:rFonts w:asciiTheme="minorHAnsi" w:hAnsiTheme="minorHAnsi" w:cstheme="minorHAnsi"/>
          <w:sz w:val="26"/>
          <w:szCs w:val="26"/>
        </w:rPr>
        <w:t>tj.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 xml:space="preserve">o 7,8 % nominálně a o 4,9 % reálně.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Pokles byl zaznamenán u dávek státní sociální podpory a dávek pěstounské péče </w:t>
      </w:r>
      <w:r w:rsidRPr="00AE7317">
        <w:rPr>
          <w:rFonts w:asciiTheme="minorHAnsi" w:hAnsiTheme="minorHAnsi" w:cstheme="minorHAnsi"/>
          <w:sz w:val="26"/>
          <w:szCs w:val="26"/>
        </w:rPr>
        <w:t>a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u dávek pomoci v hmotné nouzi,</w:t>
      </w:r>
      <w:r w:rsidRPr="00AE7317">
        <w:rPr>
          <w:rFonts w:asciiTheme="minorHAnsi" w:hAnsiTheme="minorHAnsi" w:cstheme="minorHAnsi"/>
          <w:sz w:val="26"/>
          <w:szCs w:val="26"/>
        </w:rPr>
        <w:t xml:space="preserve"> příjmy občanů </w:t>
      </w:r>
      <w:r w:rsidRPr="00AE7317">
        <w:rPr>
          <w:rFonts w:asciiTheme="minorHAnsi" w:hAnsiTheme="minorHAnsi" w:cstheme="minorHAnsi"/>
          <w:b/>
          <w:sz w:val="26"/>
          <w:szCs w:val="26"/>
        </w:rPr>
        <w:t>z ostatních druhů sociálních dávek se zvýšily,</w:t>
      </w:r>
    </w:p>
    <w:p w:rsidR="0088484D" w:rsidRPr="00AE7317" w:rsidRDefault="0088484D" w:rsidP="0088484D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>průměrná výše</w:t>
      </w:r>
      <w:r w:rsidRPr="00AE7317">
        <w:rPr>
          <w:rFonts w:asciiTheme="minorHAnsi" w:hAnsiTheme="minorHAnsi" w:cstheme="minorHAnsi"/>
          <w:sz w:val="26"/>
          <w:szCs w:val="26"/>
        </w:rPr>
        <w:t xml:space="preserve"> (samostatně vypláceného) starobního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důchodu byla meziročně vyšší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o 8,4 %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(nárůst na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13 416 Kč</w:t>
      </w:r>
      <w:r w:rsidRPr="00AE7317">
        <w:rPr>
          <w:rFonts w:asciiTheme="minorHAnsi" w:hAnsiTheme="minorHAnsi" w:cstheme="minorHAnsi"/>
          <w:bCs/>
          <w:sz w:val="26"/>
          <w:szCs w:val="26"/>
        </w:rPr>
        <w:t>)</w:t>
      </w:r>
      <w:r w:rsidRPr="00AE7317">
        <w:rPr>
          <w:rFonts w:asciiTheme="minorHAnsi" w:hAnsiTheme="minorHAnsi" w:cstheme="minorHAnsi"/>
          <w:sz w:val="26"/>
          <w:szCs w:val="26"/>
        </w:rPr>
        <w:t>, jeho reálná hodnota se zvýšila o</w:t>
      </w:r>
      <w:r w:rsidR="004F7E1B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5,6 % (při použití indexu životních nákladů domácností důchodců 102,7 %),</w:t>
      </w:r>
    </w:p>
    <w:p w:rsidR="0088484D" w:rsidRPr="00AE7317" w:rsidRDefault="0088484D" w:rsidP="0088484D">
      <w:pPr>
        <w:numPr>
          <w:ilvl w:val="0"/>
          <w:numId w:val="29"/>
        </w:numPr>
        <w:tabs>
          <w:tab w:val="left" w:pos="6435"/>
        </w:tabs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>při mírném nárůstu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počtu evidovaných nezaměstnaných s nárokem na podporu (o 0,4 tis.) se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průměrná výše podpory v nezaměstnanosti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meziročně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zvýšila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o 8,3 % na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7 827 Kč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měsíčně,</w:t>
      </w:r>
    </w:p>
    <w:p w:rsidR="0088484D" w:rsidRPr="00AE7317" w:rsidRDefault="0088484D" w:rsidP="0088484D">
      <w:pPr>
        <w:numPr>
          <w:ilvl w:val="0"/>
          <w:numId w:val="29"/>
        </w:numPr>
        <w:tabs>
          <w:tab w:val="left" w:pos="6435"/>
        </w:tabs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/>
          <w:sz w:val="26"/>
          <w:szCs w:val="26"/>
        </w:rPr>
        <w:t>meziroční průměrný růst spotřebitelských cen</w:t>
      </w:r>
      <w:r w:rsidRPr="00AE7317">
        <w:rPr>
          <w:rFonts w:asciiTheme="minorHAnsi" w:hAnsiTheme="minorHAnsi" w:cstheme="minorHAnsi"/>
          <w:sz w:val="26"/>
          <w:szCs w:val="26"/>
        </w:rPr>
        <w:t xml:space="preserve"> (cenové inflace)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 xml:space="preserve">v lednu až září 2019 </w:t>
      </w:r>
      <w:r w:rsidRPr="00AE7317">
        <w:rPr>
          <w:rFonts w:asciiTheme="minorHAnsi" w:hAnsiTheme="minorHAnsi" w:cstheme="minorHAnsi"/>
          <w:b/>
          <w:sz w:val="26"/>
          <w:szCs w:val="26"/>
        </w:rPr>
        <w:t>dosáhl 2,8 %,</w:t>
      </w:r>
      <w:r w:rsidRPr="00AE7317">
        <w:rPr>
          <w:rFonts w:asciiTheme="minorHAnsi" w:hAnsiTheme="minorHAnsi" w:cstheme="minorHAnsi"/>
          <w:sz w:val="26"/>
          <w:szCs w:val="26"/>
        </w:rPr>
        <w:t xml:space="preserve"> přispělo k tomu zejména </w:t>
      </w:r>
      <w:r w:rsidRPr="00AE7317">
        <w:rPr>
          <w:rFonts w:asciiTheme="minorHAnsi" w:hAnsiTheme="minorHAnsi" w:cstheme="minorHAnsi"/>
          <w:b/>
          <w:sz w:val="26"/>
          <w:szCs w:val="26"/>
        </w:rPr>
        <w:t>zvýšení cen v oddílech bydlení, stravování a ubytování, ostatní zboží a služby.</w:t>
      </w:r>
      <w:r w:rsidRPr="00AE7317">
        <w:rPr>
          <w:rFonts w:asciiTheme="minorHAnsi" w:hAnsiTheme="minorHAnsi" w:cstheme="minorHAnsi"/>
          <w:sz w:val="26"/>
          <w:szCs w:val="26"/>
        </w:rPr>
        <w:t xml:space="preserve"> Naopak protiinflačně působil například pokles cen v oddíle odívání a obuv. </w:t>
      </w:r>
      <w:r w:rsidRPr="00AE7317">
        <w:rPr>
          <w:rFonts w:asciiTheme="minorHAnsi" w:hAnsiTheme="minorHAnsi" w:cstheme="minorHAnsi"/>
          <w:b/>
          <w:sz w:val="26"/>
          <w:szCs w:val="26"/>
        </w:rPr>
        <w:t>Domácnostem důchodců rostly ve sledovaném období životní náklady mírně nižším tempem</w:t>
      </w:r>
      <w:r w:rsidRPr="00AE7317">
        <w:rPr>
          <w:rFonts w:asciiTheme="minorHAnsi" w:hAnsiTheme="minorHAnsi" w:cstheme="minorHAnsi"/>
          <w:sz w:val="26"/>
          <w:szCs w:val="26"/>
        </w:rPr>
        <w:t xml:space="preserve"> (index 102,7 %). Meziroční harmonizovaný index spotřebitelských cen, který je využívaný pro potřeby mezinárodního srovnání, vzrostl v červenci, srpnu, i v září minulého roku shodně o 2,6 % –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>blíže viz část 2,</w:t>
      </w:r>
    </w:p>
    <w:p w:rsidR="0088484D" w:rsidRPr="00AE7317" w:rsidRDefault="0088484D" w:rsidP="0088484D">
      <w:pPr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celkový objem půjček domácností u bank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se meziročně zvýšil o 103,6 mld. Kč </w:t>
      </w:r>
      <w:r w:rsidRPr="00AE7317">
        <w:rPr>
          <w:rFonts w:asciiTheme="minorHAnsi" w:hAnsiTheme="minorHAnsi" w:cstheme="minorHAnsi"/>
          <w:bCs/>
          <w:sz w:val="26"/>
          <w:szCs w:val="26"/>
        </w:rPr>
        <w:br/>
        <w:t xml:space="preserve">a k 30. 9. 2019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dosáhl 1 719,0 mld. Kč;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rozhodující část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představovaly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hypoteční a jiné úvěry na bydlení </w:t>
      </w:r>
      <w:r w:rsidRPr="00AE7317">
        <w:rPr>
          <w:rFonts w:asciiTheme="minorHAnsi" w:hAnsiTheme="minorHAnsi" w:cstheme="minorHAnsi"/>
          <w:bCs/>
          <w:sz w:val="26"/>
          <w:szCs w:val="26"/>
        </w:rPr>
        <w:t>(přírůstek 87,1 mld. Kč, tj. o 7,1 % meziročně) – podrobněji viz část 3</w:t>
      </w:r>
      <w:r w:rsidRPr="00AE7317">
        <w:rPr>
          <w:rFonts w:asciiTheme="minorHAnsi" w:hAnsiTheme="minorHAnsi" w:cstheme="minorHAnsi"/>
          <w:sz w:val="26"/>
          <w:szCs w:val="26"/>
        </w:rPr>
        <w:t>,</w:t>
      </w:r>
    </w:p>
    <w:p w:rsidR="0088484D" w:rsidRPr="00AE7317" w:rsidRDefault="0088484D" w:rsidP="0088484D">
      <w:pPr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ke konci září 2019 činila celková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výše</w:t>
      </w:r>
      <w:r w:rsidRPr="00AE7317">
        <w:rPr>
          <w:rFonts w:asciiTheme="minorHAnsi" w:hAnsiTheme="minorHAnsi" w:cstheme="minorHAnsi"/>
          <w:sz w:val="26"/>
          <w:szCs w:val="26"/>
        </w:rPr>
        <w:t xml:space="preserve"> bankovních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úspor domácností </w:t>
      </w:r>
      <w:r w:rsidRPr="00AE7317">
        <w:rPr>
          <w:rFonts w:asciiTheme="minorHAnsi" w:hAnsiTheme="minorHAnsi" w:cstheme="minorHAnsi"/>
          <w:sz w:val="26"/>
          <w:szCs w:val="26"/>
        </w:rPr>
        <w:t xml:space="preserve">podle dostupných údajů ČNB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2 678,6 mld. Kč; </w:t>
      </w:r>
      <w:r w:rsidRPr="00AE7317">
        <w:rPr>
          <w:rFonts w:asciiTheme="minorHAnsi" w:hAnsiTheme="minorHAnsi" w:cstheme="minorHAnsi"/>
          <w:sz w:val="26"/>
          <w:szCs w:val="26"/>
        </w:rPr>
        <w:t xml:space="preserve">domácnosti posílily zejména netermínovaná depozita </w:t>
      </w:r>
      <w:r w:rsidRPr="00AE7317">
        <w:rPr>
          <w:rFonts w:asciiTheme="minorHAnsi" w:hAnsiTheme="minorHAnsi" w:cstheme="minorHAnsi"/>
          <w:bCs/>
          <w:sz w:val="26"/>
          <w:szCs w:val="26"/>
        </w:rPr>
        <w:t>(meziroční přírůstek 140,3 mld. Kč)</w:t>
      </w:r>
      <w:r w:rsidRPr="00AE7317">
        <w:rPr>
          <w:rFonts w:asciiTheme="minorHAnsi" w:hAnsiTheme="minorHAnsi" w:cstheme="minorHAnsi"/>
          <w:sz w:val="26"/>
          <w:szCs w:val="26"/>
        </w:rPr>
        <w:t>.</w:t>
      </w:r>
    </w:p>
    <w:p w:rsidR="0088484D" w:rsidRPr="00AE7317" w:rsidRDefault="0088484D" w:rsidP="0088484D">
      <w:pPr>
        <w:spacing w:after="120" w:line="360" w:lineRule="auto"/>
        <w:ind w:left="714"/>
        <w:jc w:val="both"/>
        <w:rPr>
          <w:rFonts w:asciiTheme="minorHAnsi" w:hAnsiTheme="minorHAnsi" w:cstheme="minorHAnsi"/>
          <w:sz w:val="26"/>
          <w:szCs w:val="26"/>
        </w:rPr>
      </w:pPr>
    </w:p>
    <w:p w:rsidR="0088484D" w:rsidRPr="00AE7317" w:rsidRDefault="0088484D" w:rsidP="0088484D">
      <w:pPr>
        <w:jc w:val="center"/>
        <w:rPr>
          <w:i/>
          <w:iCs/>
        </w:rPr>
      </w:pPr>
      <w:r w:rsidRPr="00AE7317">
        <w:rPr>
          <w:bCs/>
        </w:rPr>
        <w:t>*</w:t>
      </w:r>
      <w:r w:rsidRPr="00AE7317">
        <w:rPr>
          <w:i/>
          <w:iCs/>
        </w:rPr>
        <w:t xml:space="preserve">                         *                         *</w:t>
      </w:r>
    </w:p>
    <w:p w:rsidR="0088484D" w:rsidRPr="00AE7317" w:rsidRDefault="0088484D" w:rsidP="0088484D">
      <w:pPr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AE7317">
        <w:rPr>
          <w:rFonts w:asciiTheme="minorHAnsi" w:hAnsiTheme="minorHAnsi" w:cstheme="minorHAnsi"/>
          <w:i/>
          <w:iCs/>
          <w:sz w:val="26"/>
          <w:szCs w:val="26"/>
        </w:rPr>
        <w:t>Zpráva přináší v dalších částech základní charakteristiku a hodnocení souvislostí, které v lednu – září 2019 ovlivňovaly vývoj příjmů a výdajů domácností v České republice. Jejím hlavním cílem je vyjádřit především rozhodující tendence ve vývoji základních (dostupných) ukazatelů životní úrovně českých domácností.</w:t>
      </w:r>
    </w:p>
    <w:p w:rsidR="0088484D" w:rsidRPr="00AE7317" w:rsidRDefault="0088484D" w:rsidP="0088484D">
      <w:pPr>
        <w:pStyle w:val="Zkladntextodsazen"/>
        <w:spacing w:after="240"/>
        <w:ind w:firstLine="0"/>
        <w:rPr>
          <w:rFonts w:asciiTheme="minorHAnsi" w:hAnsiTheme="minorHAnsi" w:cstheme="minorHAnsi"/>
          <w:i/>
          <w:iCs/>
          <w:sz w:val="26"/>
          <w:szCs w:val="26"/>
        </w:rPr>
      </w:pPr>
      <w:r w:rsidRPr="00AE7317">
        <w:rPr>
          <w:rFonts w:asciiTheme="minorHAnsi" w:hAnsiTheme="minorHAnsi" w:cstheme="minorHAnsi"/>
          <w:i/>
          <w:iCs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bCs/>
          <w:i/>
          <w:iCs/>
          <w:sz w:val="26"/>
          <w:szCs w:val="26"/>
        </w:rPr>
        <w:t>Analýza mzdového vývoje</w:t>
      </w:r>
      <w:r w:rsidRPr="00AE7317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i/>
          <w:iCs/>
          <w:sz w:val="26"/>
          <w:szCs w:val="26"/>
        </w:rPr>
        <w:t>byla</w:t>
      </w:r>
      <w:r w:rsidRPr="00AE7317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i/>
          <w:iCs/>
          <w:sz w:val="26"/>
          <w:szCs w:val="26"/>
        </w:rPr>
        <w:t>zpracována na základě údajů ČSÚ.</w:t>
      </w:r>
      <w:r w:rsidRPr="00AE7317">
        <w:rPr>
          <w:rFonts w:asciiTheme="minorHAnsi" w:hAnsiTheme="minorHAnsi" w:cstheme="minorHAnsi"/>
          <w:i/>
          <w:iCs/>
          <w:sz w:val="26"/>
          <w:szCs w:val="26"/>
        </w:rPr>
        <w:t xml:space="preserve"> Průměrná mzda byla vykazována na přepočtené počty zaměstnanců (zohledňující délku pracovního úvazku) v celém národním hospodářství (není-li v textu uvedeno jinak). Údaje o průměrné mzdě v členění na podnikatelskou a nepodnikatelskou sféru nejsou již od referenčního roku 2017 k dispozici vzhledem ke změně metodiky národního účetnictví (povinný přechod z metodiky ESA 1995 na ESA 2010), proto je ČSÚ přestal publikovat. Data za jednotlivé regiony byla získána tzv. pracovištní metodou – tj.</w:t>
      </w:r>
      <w:r w:rsidR="004F7E1B" w:rsidRPr="00AE7317">
        <w:rPr>
          <w:rFonts w:asciiTheme="minorHAnsi" w:hAnsiTheme="minorHAnsi" w:cstheme="minorHAnsi"/>
          <w:i/>
          <w:iCs/>
          <w:sz w:val="26"/>
          <w:szCs w:val="26"/>
        </w:rPr>
        <w:t> </w:t>
      </w:r>
      <w:r w:rsidRPr="00AE7317">
        <w:rPr>
          <w:rFonts w:asciiTheme="minorHAnsi" w:hAnsiTheme="minorHAnsi" w:cstheme="minorHAnsi"/>
          <w:i/>
          <w:iCs/>
          <w:sz w:val="26"/>
          <w:szCs w:val="26"/>
        </w:rPr>
        <w:t xml:space="preserve">podle místa skutečného pracoviště zaměstnanců. </w:t>
      </w:r>
    </w:p>
    <w:p w:rsidR="0088484D" w:rsidRPr="00AE7317" w:rsidRDefault="0088484D" w:rsidP="0088484D">
      <w:pPr>
        <w:spacing w:after="240" w:line="360" w:lineRule="auto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AE7317">
        <w:rPr>
          <w:rFonts w:asciiTheme="minorHAnsi" w:hAnsiTheme="minorHAnsi" w:cstheme="minorHAnsi"/>
          <w:i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bCs/>
          <w:i/>
          <w:sz w:val="26"/>
          <w:szCs w:val="26"/>
        </w:rPr>
        <w:t>Od ČSÚ byla převzata rovněž data o hrubém domácím produktu,</w:t>
      </w:r>
      <w:r w:rsidRPr="00AE7317">
        <w:rPr>
          <w:rFonts w:asciiTheme="minorHAnsi" w:hAnsiTheme="minorHAnsi" w:cstheme="minorHAnsi"/>
          <w:bCs/>
          <w:i/>
          <w:sz w:val="26"/>
          <w:szCs w:val="26"/>
        </w:rPr>
        <w:t xml:space="preserve"> statistice </w:t>
      </w:r>
      <w:r w:rsidRPr="00AE7317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národních účtů, úhrnné produktivitě práce a indexu spotřebitelských cen </w:t>
      </w:r>
      <w:r w:rsidRPr="00AE7317">
        <w:rPr>
          <w:rFonts w:asciiTheme="minorHAnsi" w:hAnsiTheme="minorHAnsi" w:cstheme="minorHAnsi"/>
          <w:bCs/>
          <w:i/>
          <w:sz w:val="26"/>
          <w:szCs w:val="26"/>
        </w:rPr>
        <w:t>(životních nákladů).</w:t>
      </w:r>
      <w:r w:rsidRPr="00AE7317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</w:p>
    <w:p w:rsidR="0088484D" w:rsidRPr="00AE7317" w:rsidRDefault="0088484D" w:rsidP="0088484D">
      <w:pPr>
        <w:spacing w:after="240" w:line="360" w:lineRule="auto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i/>
          <w:sz w:val="26"/>
          <w:szCs w:val="26"/>
        </w:rPr>
        <w:tab/>
        <w:t>Analýza bankovních vkladů a úvěrů</w:t>
      </w:r>
      <w:r w:rsidRPr="00AE7317">
        <w:rPr>
          <w:rFonts w:asciiTheme="minorHAnsi" w:hAnsiTheme="minorHAnsi" w:cstheme="minorHAnsi"/>
          <w:i/>
          <w:sz w:val="26"/>
          <w:szCs w:val="26"/>
        </w:rPr>
        <w:t xml:space="preserve"> domácností </w:t>
      </w:r>
      <w:r w:rsidRPr="00AE7317">
        <w:rPr>
          <w:rFonts w:asciiTheme="minorHAnsi" w:hAnsiTheme="minorHAnsi" w:cstheme="minorHAnsi"/>
          <w:b/>
          <w:bCs/>
          <w:i/>
          <w:sz w:val="26"/>
          <w:szCs w:val="26"/>
        </w:rPr>
        <w:t>byla založena na rozboru údajů ČNB.</w:t>
      </w:r>
    </w:p>
    <w:p w:rsidR="0088484D" w:rsidRPr="00AE7317" w:rsidRDefault="0088484D" w:rsidP="0088484D">
      <w:pPr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E7317">
        <w:rPr>
          <w:rFonts w:asciiTheme="minorHAnsi" w:hAnsiTheme="minorHAnsi" w:cstheme="minorHAnsi"/>
          <w:i/>
          <w:iCs/>
          <w:sz w:val="26"/>
          <w:szCs w:val="26"/>
        </w:rPr>
        <w:tab/>
        <w:t>Při zpracování materiálu byla taktéž použita data a analýzy: MPSV, ČSSZ, TREXIMA a odborného tisku.</w:t>
      </w:r>
    </w:p>
    <w:p w:rsidR="0088484D" w:rsidRPr="00AE7317" w:rsidRDefault="0088484D" w:rsidP="0088484D">
      <w:pPr>
        <w:spacing w:after="240"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E7317">
        <w:rPr>
          <w:rFonts w:asciiTheme="minorHAnsi" w:hAnsiTheme="minorHAnsi" w:cstheme="minorHAnsi"/>
          <w:i/>
          <w:iCs/>
          <w:sz w:val="26"/>
          <w:szCs w:val="26"/>
        </w:rPr>
        <w:tab/>
        <w:t>Podrobnější zhodnocení vývoje bude předmětem analýzy těchto atributů za celý rok 2019, která bude předložena vládě koncem dubna letošního roku.</w:t>
      </w:r>
    </w:p>
    <w:p w:rsidR="0088484D" w:rsidRPr="00AE7317" w:rsidRDefault="0088484D" w:rsidP="0088484D">
      <w:pPr>
        <w:spacing w:line="360" w:lineRule="auto"/>
        <w:jc w:val="both"/>
        <w:rPr>
          <w:rFonts w:asciiTheme="minorHAnsi" w:hAnsiTheme="minorHAnsi" w:cstheme="minorHAnsi"/>
          <w:i/>
          <w:iCs/>
          <w:sz w:val="26"/>
          <w:szCs w:val="26"/>
        </w:rPr>
      </w:pPr>
    </w:p>
    <w:p w:rsidR="00B76496" w:rsidRPr="00AE7317" w:rsidRDefault="00B76496" w:rsidP="00B76496">
      <w:pPr>
        <w:spacing w:after="160" w:line="360" w:lineRule="auto"/>
        <w:contextualSpacing/>
        <w:jc w:val="both"/>
        <w:rPr>
          <w:rFonts w:asciiTheme="minorHAnsi" w:hAnsiTheme="minorHAnsi"/>
          <w:i/>
          <w:iCs/>
          <w:sz w:val="26"/>
          <w:szCs w:val="26"/>
        </w:rPr>
      </w:pPr>
    </w:p>
    <w:p w:rsidR="004F7E1B" w:rsidRPr="00AE7317" w:rsidRDefault="004F7E1B" w:rsidP="00B76496">
      <w:pPr>
        <w:spacing w:after="160" w:line="360" w:lineRule="auto"/>
        <w:contextualSpacing/>
        <w:jc w:val="both"/>
        <w:rPr>
          <w:rFonts w:asciiTheme="minorHAnsi" w:hAnsiTheme="minorHAnsi"/>
          <w:i/>
          <w:iCs/>
          <w:sz w:val="26"/>
          <w:szCs w:val="26"/>
        </w:rPr>
      </w:pPr>
    </w:p>
    <w:p w:rsidR="00B76496" w:rsidRPr="00AE7317" w:rsidRDefault="00B76496" w:rsidP="00B76496">
      <w:pPr>
        <w:spacing w:after="160" w:line="360" w:lineRule="auto"/>
        <w:contextualSpacing/>
        <w:jc w:val="both"/>
        <w:rPr>
          <w:rFonts w:asciiTheme="minorHAnsi" w:hAnsiTheme="minorHAnsi"/>
          <w:i/>
          <w:iCs/>
          <w:sz w:val="26"/>
          <w:szCs w:val="26"/>
        </w:rPr>
      </w:pPr>
    </w:p>
    <w:p w:rsidR="00B76496" w:rsidRPr="00AE7317" w:rsidRDefault="00BC7584" w:rsidP="00D97A60">
      <w:pPr>
        <w:rPr>
          <w:rFonts w:asciiTheme="minorHAnsi" w:hAnsiTheme="minorHAnsi"/>
          <w:i/>
          <w:iCs/>
          <w:sz w:val="26"/>
          <w:szCs w:val="26"/>
          <w:u w:val="single"/>
        </w:rPr>
      </w:pPr>
      <w:r w:rsidRPr="00AE7317">
        <w:rPr>
          <w:rFonts w:asciiTheme="minorHAnsi" w:hAnsiTheme="minorHAnsi"/>
          <w:i/>
          <w:iCs/>
          <w:sz w:val="26"/>
          <w:szCs w:val="26"/>
          <w:u w:val="single"/>
        </w:rPr>
        <w:t>Zpráva obsahuje data platná k 15. </w:t>
      </w:r>
      <w:r w:rsidR="00B76496" w:rsidRPr="00AE7317">
        <w:rPr>
          <w:rFonts w:asciiTheme="minorHAnsi" w:hAnsiTheme="minorHAnsi"/>
          <w:i/>
          <w:iCs/>
          <w:sz w:val="26"/>
          <w:szCs w:val="26"/>
          <w:u w:val="single"/>
        </w:rPr>
        <w:t>lednu</w:t>
      </w:r>
      <w:r w:rsidRPr="00AE7317">
        <w:rPr>
          <w:rFonts w:asciiTheme="minorHAnsi" w:hAnsiTheme="minorHAnsi"/>
          <w:i/>
          <w:iCs/>
          <w:sz w:val="26"/>
          <w:szCs w:val="26"/>
          <w:u w:val="single"/>
        </w:rPr>
        <w:t xml:space="preserve"> 20</w:t>
      </w:r>
      <w:r w:rsidR="00B76496" w:rsidRPr="00AE7317">
        <w:rPr>
          <w:rFonts w:asciiTheme="minorHAnsi" w:hAnsiTheme="minorHAnsi"/>
          <w:i/>
          <w:iCs/>
          <w:sz w:val="26"/>
          <w:szCs w:val="26"/>
          <w:u w:val="single"/>
        </w:rPr>
        <w:t>20</w:t>
      </w:r>
      <w:r w:rsidRPr="00AE7317">
        <w:rPr>
          <w:rFonts w:asciiTheme="minorHAnsi" w:hAnsiTheme="minorHAnsi"/>
          <w:i/>
          <w:iCs/>
          <w:sz w:val="26"/>
          <w:szCs w:val="26"/>
          <w:u w:val="single"/>
        </w:rPr>
        <w:t>.</w:t>
      </w:r>
    </w:p>
    <w:p w:rsidR="00D97A60" w:rsidRPr="00AE7317" w:rsidRDefault="00D97A60" w:rsidP="00D97A60">
      <w:r w:rsidRPr="00AE7317">
        <w:br w:type="page"/>
      </w:r>
    </w:p>
    <w:p w:rsidR="004621C0" w:rsidRPr="00AE7317" w:rsidRDefault="004621C0" w:rsidP="004621C0">
      <w:pPr>
        <w:pStyle w:val="Nadpis1"/>
        <w:numPr>
          <w:ilvl w:val="0"/>
          <w:numId w:val="0"/>
        </w:numPr>
        <w:spacing w:line="240" w:lineRule="auto"/>
        <w:rPr>
          <w:rFonts w:asciiTheme="minorHAnsi" w:hAnsiTheme="minorHAnsi"/>
          <w:sz w:val="44"/>
        </w:rPr>
      </w:pPr>
      <w:r w:rsidRPr="00AE7317">
        <w:rPr>
          <w:rFonts w:asciiTheme="minorHAnsi" w:hAnsiTheme="minorHAnsi"/>
          <w:sz w:val="44"/>
        </w:rPr>
        <w:lastRenderedPageBreak/>
        <w:t>1. Příjmy domácností</w:t>
      </w:r>
    </w:p>
    <w:p w:rsidR="004621C0" w:rsidRPr="00AE7317" w:rsidRDefault="004621C0" w:rsidP="003A726A">
      <w:pPr>
        <w:rPr>
          <w:rFonts w:asciiTheme="minorHAnsi" w:hAnsiTheme="minorHAnsi"/>
          <w:b/>
          <w:bCs/>
          <w:i/>
          <w:iCs/>
          <w:sz w:val="32"/>
        </w:rPr>
      </w:pPr>
    </w:p>
    <w:p w:rsidR="004621C0" w:rsidRPr="00AE7317" w:rsidRDefault="004621C0" w:rsidP="004621C0">
      <w:pPr>
        <w:spacing w:line="360" w:lineRule="auto"/>
        <w:rPr>
          <w:rFonts w:asciiTheme="minorHAnsi" w:hAnsiTheme="minorHAnsi"/>
          <w:b/>
          <w:bCs/>
          <w:i/>
          <w:iCs/>
          <w:sz w:val="40"/>
        </w:rPr>
      </w:pPr>
      <w:r w:rsidRPr="00AE7317">
        <w:rPr>
          <w:rFonts w:asciiTheme="minorHAnsi" w:hAnsiTheme="minorHAnsi"/>
          <w:b/>
          <w:bCs/>
          <w:i/>
          <w:iCs/>
          <w:sz w:val="40"/>
        </w:rPr>
        <w:t>1. 1 Základní charakteristika</w:t>
      </w:r>
    </w:p>
    <w:p w:rsidR="003460E9" w:rsidRPr="00AE7317" w:rsidRDefault="003460E9" w:rsidP="003A726A">
      <w:pPr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3460E9" w:rsidRPr="00AE7317" w:rsidRDefault="003460E9" w:rsidP="003460E9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Běžné příjmy </w:t>
      </w:r>
      <w:r w:rsidRPr="00AE7317">
        <w:rPr>
          <w:rFonts w:asciiTheme="minorHAnsi" w:hAnsiTheme="minorHAnsi" w:cstheme="minorHAnsi"/>
          <w:sz w:val="26"/>
          <w:szCs w:val="26"/>
        </w:rPr>
        <w:t>sektoru domácností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>(podle statistiky národních účtů)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dosáhly </w:t>
      </w:r>
      <w:r w:rsidRPr="00AE7317">
        <w:rPr>
          <w:rFonts w:asciiTheme="minorHAnsi" w:hAnsiTheme="minorHAnsi" w:cstheme="minorHAnsi"/>
          <w:sz w:val="26"/>
          <w:szCs w:val="26"/>
        </w:rPr>
        <w:t xml:space="preserve">celkové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výše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3 320,7 mld. Kč.</w:t>
      </w:r>
      <w:r w:rsidRPr="00AE7317">
        <w:rPr>
          <w:rFonts w:asciiTheme="minorHAnsi" w:hAnsiTheme="minorHAnsi" w:cstheme="minorHAnsi"/>
          <w:sz w:val="26"/>
          <w:szCs w:val="26"/>
        </w:rPr>
        <w:t xml:space="preserve"> Meziročně tak </w:t>
      </w:r>
      <w:r w:rsidRPr="00AE7317">
        <w:rPr>
          <w:rFonts w:asciiTheme="minorHAnsi" w:hAnsiTheme="minorHAnsi" w:cstheme="minorHAnsi"/>
          <w:b/>
          <w:sz w:val="26"/>
          <w:szCs w:val="26"/>
        </w:rPr>
        <w:t>vzrostly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nominálně o 6,9 %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(+216,2 mld. Kč)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a reálně o 4,0 %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(při růstu hrubého domácího produktu ve stálých cenách o 2,7 %)</w:t>
      </w:r>
      <w:r w:rsidRPr="00AE7317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3460E9" w:rsidRPr="00AE7317" w:rsidRDefault="003460E9" w:rsidP="003460E9">
      <w:pPr>
        <w:spacing w:after="360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>Na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reálném růstu</w:t>
      </w:r>
      <w:r w:rsidRPr="00AE7317">
        <w:rPr>
          <w:rFonts w:asciiTheme="minorHAnsi" w:hAnsiTheme="minorHAnsi" w:cstheme="minorHAnsi"/>
          <w:sz w:val="26"/>
          <w:szCs w:val="26"/>
        </w:rPr>
        <w:t xml:space="preserve"> úhrnného objemu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běžných příjmů </w:t>
      </w:r>
      <w:r w:rsidRPr="00AE7317">
        <w:rPr>
          <w:rFonts w:asciiTheme="minorHAnsi" w:hAnsiTheme="minorHAnsi" w:cstheme="minorHAnsi"/>
          <w:b/>
          <w:sz w:val="26"/>
          <w:szCs w:val="26"/>
        </w:rPr>
        <w:t>se</w:t>
      </w:r>
      <w:r w:rsidRPr="00AE7317">
        <w:rPr>
          <w:rFonts w:asciiTheme="minorHAnsi" w:hAnsiTheme="minorHAnsi" w:cstheme="minorHAnsi"/>
          <w:sz w:val="26"/>
          <w:szCs w:val="26"/>
        </w:rPr>
        <w:t xml:space="preserve"> 52 %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podílely náhrady zaměstnancům </w:t>
      </w:r>
      <w:r w:rsidRPr="00AE7317">
        <w:rPr>
          <w:rFonts w:asciiTheme="minorHAnsi" w:hAnsiTheme="minorHAnsi" w:cstheme="minorHAnsi"/>
          <w:bCs/>
          <w:sz w:val="26"/>
          <w:szCs w:val="26"/>
        </w:rPr>
        <w:t>(růst o 3,8 %). Přibližně 20 % a 18 % se na růstu reálných příjmů podílel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smíšený důchod</w:t>
      </w:r>
      <w:r w:rsidRPr="00AE7317">
        <w:rPr>
          <w:rFonts w:asciiTheme="minorHAnsi" w:hAnsiTheme="minorHAnsi" w:cstheme="minorHAnsi"/>
          <w:sz w:val="26"/>
          <w:szCs w:val="26"/>
        </w:rPr>
        <w:t xml:space="preserve"> (zahrnující zejména příjmy z podnikatelských aktivit +4,3 %) a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sociální dávky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(+4,5 %).</w:t>
      </w:r>
      <w:r w:rsidRPr="00AE7317">
        <w:rPr>
          <w:rFonts w:asciiTheme="minorHAnsi" w:hAnsiTheme="minorHAnsi" w:cstheme="minorHAnsi"/>
          <w:sz w:val="26"/>
          <w:szCs w:val="26"/>
        </w:rPr>
        <w:t xml:space="preserve"> V menší míře pak na něm participovaly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ostatní běžné transfery </w:t>
      </w:r>
      <w:r w:rsidRPr="00AE7317">
        <w:rPr>
          <w:rFonts w:asciiTheme="minorHAnsi" w:hAnsiTheme="minorHAnsi" w:cstheme="minorHAnsi"/>
          <w:sz w:val="26"/>
          <w:szCs w:val="26"/>
        </w:rPr>
        <w:t>(+6,4 %)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– jedná se o náhrady z neživotního pojištění, výhry ze sázek a loterií apod. Naopak </w:t>
      </w:r>
      <w:r w:rsidRPr="00AE7317">
        <w:rPr>
          <w:rFonts w:asciiTheme="minorHAnsi" w:hAnsiTheme="minorHAnsi" w:cstheme="minorHAnsi"/>
          <w:b/>
          <w:sz w:val="26"/>
          <w:szCs w:val="26"/>
        </w:rPr>
        <w:t>poklesla kupní síla důchodů z vlastnictví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(-1,6 %).</w:t>
      </w:r>
    </w:p>
    <w:p w:rsidR="003460E9" w:rsidRPr="00AE7317" w:rsidRDefault="003460E9" w:rsidP="003A726A">
      <w:pPr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3460E9" w:rsidRPr="00AE7317" w:rsidRDefault="003460E9" w:rsidP="003460E9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Po odpočtu běžných výdajů (především daní z příjmů a příspěvků na sociální a zdravotní pojištění) zůstal sektoru domácností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úhrnný disponibilní důchod </w:t>
      </w:r>
      <w:r w:rsidRPr="00AE7317">
        <w:rPr>
          <w:rFonts w:asciiTheme="minorHAnsi" w:hAnsiTheme="minorHAnsi" w:cstheme="minorHAnsi"/>
          <w:sz w:val="26"/>
          <w:szCs w:val="26"/>
        </w:rPr>
        <w:t>v</w:t>
      </w:r>
      <w:r w:rsidR="009506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částce</w:t>
      </w:r>
      <w:r w:rsidR="009506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9506A4" w:rsidRPr="00AE7317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152,9 mld. Kč,</w:t>
      </w:r>
      <w:r w:rsidRPr="00AE7317">
        <w:rPr>
          <w:rFonts w:asciiTheme="minorHAnsi" w:hAnsiTheme="minorHAnsi" w:cstheme="minorHAnsi"/>
          <w:sz w:val="26"/>
          <w:szCs w:val="26"/>
        </w:rPr>
        <w:t xml:space="preserve"> což bylo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reálně o 3,5 % více </w:t>
      </w:r>
      <w:r w:rsidRPr="00AE7317">
        <w:rPr>
          <w:rFonts w:asciiTheme="minorHAnsi" w:hAnsiTheme="minorHAnsi" w:cstheme="minorHAnsi"/>
          <w:sz w:val="26"/>
          <w:szCs w:val="26"/>
        </w:rPr>
        <w:t>než ve srovnatelném období předchozího roku (kdy se kupní síla jeho objemu meziročně zvýšila o 5,1 %).</w:t>
      </w:r>
    </w:p>
    <w:p w:rsidR="003460E9" w:rsidRPr="00AE7317" w:rsidRDefault="003460E9" w:rsidP="003460E9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Relace disponibilního důchodu k objemu hrubého domácího produktu</w:t>
      </w:r>
      <w:r w:rsidRPr="00AE7317">
        <w:rPr>
          <w:rFonts w:asciiTheme="minorHAnsi" w:hAnsiTheme="minorHAnsi" w:cstheme="minorHAnsi"/>
          <w:sz w:val="26"/>
          <w:szCs w:val="26"/>
        </w:rPr>
        <w:t xml:space="preserve"> (v běžných cenách) meziročně </w:t>
      </w:r>
      <w:r w:rsidRPr="00AE7317">
        <w:rPr>
          <w:rFonts w:asciiTheme="minorHAnsi" w:hAnsiTheme="minorHAnsi" w:cstheme="minorHAnsi"/>
          <w:b/>
          <w:sz w:val="26"/>
          <w:szCs w:val="26"/>
        </w:rPr>
        <w:t>stoupla</w:t>
      </w:r>
      <w:r w:rsidRPr="00AE7317">
        <w:rPr>
          <w:rFonts w:asciiTheme="minorHAnsi" w:hAnsiTheme="minorHAnsi" w:cstheme="minorHAnsi"/>
          <w:sz w:val="26"/>
          <w:szCs w:val="26"/>
        </w:rPr>
        <w:t xml:space="preserve"> o 0,1 p. b. na </w:t>
      </w:r>
      <w:r w:rsidRPr="00AE7317">
        <w:rPr>
          <w:rFonts w:asciiTheme="minorHAnsi" w:hAnsiTheme="minorHAnsi" w:cstheme="minorHAnsi"/>
          <w:b/>
          <w:sz w:val="26"/>
          <w:szCs w:val="26"/>
        </w:rPr>
        <w:t>51,1 %.</w:t>
      </w:r>
    </w:p>
    <w:p w:rsidR="003460E9" w:rsidRPr="00AE7317" w:rsidRDefault="003460E9" w:rsidP="003460E9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460E9" w:rsidRPr="00AE7317" w:rsidRDefault="003460E9" w:rsidP="003460E9">
      <w:pPr>
        <w:spacing w:line="360" w:lineRule="auto"/>
        <w:jc w:val="both"/>
      </w:pPr>
      <w:r w:rsidRPr="00AE7317">
        <w:rPr>
          <w:rFonts w:asciiTheme="minorHAnsi" w:hAnsiTheme="minorHAnsi" w:cstheme="minorHAnsi"/>
          <w:sz w:val="26"/>
          <w:szCs w:val="26"/>
        </w:rPr>
        <w:tab/>
        <w:t>Podrobnější číselné údaje o vývoji ukazatelů v sektoru domácností jsou součástí tabulky č. 1 v příloze.</w:t>
      </w:r>
    </w:p>
    <w:p w:rsidR="004621C0" w:rsidRPr="00AE7317" w:rsidRDefault="004621C0" w:rsidP="004621C0">
      <w:r w:rsidRPr="00AE7317">
        <w:br w:type="page"/>
      </w:r>
    </w:p>
    <w:p w:rsidR="00D97A60" w:rsidRPr="00AE7317" w:rsidRDefault="00D97A60" w:rsidP="003A726A">
      <w:pPr>
        <w:rPr>
          <w:rFonts w:asciiTheme="minorHAnsi" w:hAnsiTheme="minorHAnsi" w:cs="Arial"/>
          <w:b/>
          <w:i/>
          <w:sz w:val="40"/>
          <w:szCs w:val="40"/>
        </w:rPr>
      </w:pPr>
      <w:r w:rsidRPr="00AE7317">
        <w:rPr>
          <w:rFonts w:asciiTheme="minorHAnsi" w:hAnsiTheme="minorHAnsi" w:cs="Arial"/>
          <w:b/>
          <w:i/>
          <w:sz w:val="40"/>
          <w:szCs w:val="40"/>
        </w:rPr>
        <w:lastRenderedPageBreak/>
        <w:t>1. 2 Mzdy</w:t>
      </w:r>
    </w:p>
    <w:p w:rsidR="004F7E1B" w:rsidRPr="00AE7317" w:rsidRDefault="004F7E1B" w:rsidP="003A726A">
      <w:pPr>
        <w:spacing w:after="240"/>
        <w:jc w:val="both"/>
        <w:rPr>
          <w:rFonts w:ascii="Calibri" w:hAnsi="Calibri"/>
          <w:sz w:val="26"/>
          <w:szCs w:val="26"/>
        </w:rPr>
      </w:pP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sz w:val="26"/>
          <w:szCs w:val="26"/>
        </w:rPr>
      </w:pPr>
      <w:r w:rsidRPr="00AE7317">
        <w:rPr>
          <w:rFonts w:ascii="Calibri" w:hAnsi="Calibri"/>
          <w:sz w:val="26"/>
          <w:szCs w:val="26"/>
        </w:rPr>
        <w:tab/>
      </w:r>
      <w:r w:rsidRPr="00AE7317">
        <w:rPr>
          <w:rFonts w:ascii="Calibri" w:hAnsi="Calibri"/>
          <w:b/>
          <w:sz w:val="26"/>
          <w:szCs w:val="26"/>
        </w:rPr>
        <w:t>Rozhodující část</w:t>
      </w:r>
      <w:r w:rsidRPr="00AE7317">
        <w:rPr>
          <w:rFonts w:ascii="Calibri" w:hAnsi="Calibri"/>
          <w:sz w:val="26"/>
          <w:szCs w:val="26"/>
        </w:rPr>
        <w:t xml:space="preserve"> </w:t>
      </w:r>
      <w:r w:rsidRPr="00AE7317">
        <w:rPr>
          <w:rFonts w:ascii="Calibri" w:hAnsi="Calibri"/>
          <w:bCs/>
          <w:sz w:val="26"/>
          <w:szCs w:val="26"/>
        </w:rPr>
        <w:t>peněžních</w:t>
      </w:r>
      <w:r w:rsidRPr="00AE7317">
        <w:rPr>
          <w:rFonts w:ascii="Calibri" w:hAnsi="Calibri"/>
          <w:sz w:val="26"/>
          <w:szCs w:val="26"/>
        </w:rPr>
        <w:t xml:space="preserve"> </w:t>
      </w:r>
      <w:r w:rsidRPr="00AE7317">
        <w:rPr>
          <w:rFonts w:ascii="Calibri" w:hAnsi="Calibri"/>
          <w:b/>
          <w:bCs/>
          <w:sz w:val="26"/>
          <w:szCs w:val="26"/>
        </w:rPr>
        <w:t xml:space="preserve">příjmů domácností </w:t>
      </w:r>
      <w:r w:rsidRPr="00AE7317">
        <w:rPr>
          <w:rFonts w:ascii="Calibri" w:hAnsi="Calibri"/>
          <w:bCs/>
          <w:sz w:val="26"/>
          <w:szCs w:val="26"/>
        </w:rPr>
        <w:t>tvořily</w:t>
      </w:r>
      <w:r w:rsidRPr="00AE7317">
        <w:rPr>
          <w:rFonts w:ascii="Calibri" w:hAnsi="Calibri"/>
          <w:b/>
          <w:sz w:val="26"/>
          <w:szCs w:val="26"/>
        </w:rPr>
        <w:t xml:space="preserve"> </w:t>
      </w:r>
      <w:r w:rsidRPr="00AE7317">
        <w:rPr>
          <w:rFonts w:ascii="Calibri" w:hAnsi="Calibri"/>
          <w:b/>
          <w:bCs/>
          <w:sz w:val="26"/>
          <w:szCs w:val="26"/>
        </w:rPr>
        <w:t>mzdy.</w:t>
      </w:r>
      <w:r w:rsidRPr="00AE7317">
        <w:rPr>
          <w:rFonts w:ascii="Calibri" w:hAnsi="Calibri"/>
          <w:bCs/>
          <w:sz w:val="26"/>
          <w:szCs w:val="26"/>
        </w:rPr>
        <w:t xml:space="preserve"> Celkový </w:t>
      </w:r>
      <w:r w:rsidRPr="00AE7317">
        <w:rPr>
          <w:rFonts w:ascii="Calibri" w:hAnsi="Calibri"/>
          <w:b/>
          <w:bCs/>
          <w:sz w:val="26"/>
          <w:szCs w:val="26"/>
        </w:rPr>
        <w:t xml:space="preserve">objem mzdových prostředků </w:t>
      </w:r>
      <w:r w:rsidRPr="00AE7317">
        <w:rPr>
          <w:rFonts w:ascii="Calibri" w:hAnsi="Calibri"/>
          <w:sz w:val="26"/>
          <w:szCs w:val="26"/>
        </w:rPr>
        <w:t xml:space="preserve">(bez ostatních osobních nákladů) zúčtovaný všem zaměstnancům k výplatě za celé národní hospodářství dosáhl </w:t>
      </w:r>
      <w:r w:rsidRPr="00AE7317">
        <w:rPr>
          <w:rFonts w:ascii="Calibri" w:hAnsi="Calibri"/>
          <w:b/>
          <w:sz w:val="26"/>
          <w:szCs w:val="26"/>
        </w:rPr>
        <w:t>za 1. </w:t>
      </w:r>
      <w:r w:rsidRPr="00AE7317">
        <w:rPr>
          <w:rFonts w:ascii="Calibri" w:hAnsi="Calibri"/>
          <w:b/>
          <w:sz w:val="26"/>
          <w:szCs w:val="26"/>
        </w:rPr>
        <w:noBreakHyphen/>
        <w:t> 3. čtvrtletí loňského roku  1</w:t>
      </w:r>
      <w:r w:rsidR="00300114">
        <w:rPr>
          <w:rFonts w:ascii="Calibri" w:hAnsi="Calibri"/>
          <w:b/>
          <w:sz w:val="26"/>
          <w:szCs w:val="26"/>
        </w:rPr>
        <w:t> 228,</w:t>
      </w:r>
      <w:r w:rsidRPr="00AE7317">
        <w:rPr>
          <w:rFonts w:ascii="Calibri" w:hAnsi="Calibri"/>
          <w:b/>
          <w:sz w:val="26"/>
          <w:szCs w:val="26"/>
        </w:rPr>
        <w:t>0</w:t>
      </w:r>
      <w:r w:rsidRPr="00AE7317">
        <w:rPr>
          <w:rFonts w:ascii="Calibri" w:hAnsi="Calibri"/>
          <w:b/>
          <w:bCs/>
          <w:sz w:val="26"/>
          <w:szCs w:val="26"/>
        </w:rPr>
        <w:t> mld. Kč</w:t>
      </w:r>
      <w:r w:rsidRPr="00AE7317">
        <w:rPr>
          <w:rFonts w:ascii="Calibri" w:hAnsi="Calibri"/>
          <w:sz w:val="26"/>
          <w:szCs w:val="26"/>
        </w:rPr>
        <w:t xml:space="preserve"> a byl tak nominálně </w:t>
      </w:r>
      <w:r w:rsidRPr="00AE7317">
        <w:rPr>
          <w:rFonts w:ascii="Calibri" w:hAnsi="Calibri"/>
          <w:b/>
          <w:bCs/>
          <w:sz w:val="26"/>
          <w:szCs w:val="26"/>
        </w:rPr>
        <w:t>o 7</w:t>
      </w:r>
      <w:r w:rsidRPr="00AE7317">
        <w:rPr>
          <w:rFonts w:ascii="Calibri" w:hAnsi="Calibri"/>
          <w:b/>
          <w:sz w:val="26"/>
          <w:szCs w:val="26"/>
        </w:rPr>
        <w:t>,7 </w:t>
      </w:r>
      <w:r w:rsidRPr="00AE7317">
        <w:rPr>
          <w:rFonts w:ascii="Calibri" w:hAnsi="Calibri"/>
          <w:b/>
          <w:bCs/>
          <w:sz w:val="26"/>
          <w:szCs w:val="26"/>
        </w:rPr>
        <w:t xml:space="preserve">% vyšší </w:t>
      </w:r>
      <w:r w:rsidRPr="00AE7317">
        <w:rPr>
          <w:rFonts w:ascii="Calibri" w:hAnsi="Calibri"/>
          <w:sz w:val="26"/>
          <w:szCs w:val="26"/>
        </w:rPr>
        <w:t>než ve stejném období roku 2018.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AE7317">
        <w:rPr>
          <w:rFonts w:ascii="Calibri" w:hAnsi="Calibri"/>
          <w:sz w:val="26"/>
          <w:szCs w:val="26"/>
        </w:rPr>
        <w:tab/>
      </w:r>
      <w:r w:rsidRPr="00AE7317">
        <w:rPr>
          <w:rFonts w:ascii="Calibri" w:hAnsi="Calibri"/>
          <w:b/>
          <w:iCs/>
          <w:sz w:val="26"/>
          <w:szCs w:val="26"/>
        </w:rPr>
        <w:t>Průměrná hrubá měsíční nominální mzda</w:t>
      </w:r>
      <w:r w:rsidRPr="00AE7317">
        <w:rPr>
          <w:rFonts w:ascii="Calibri" w:hAnsi="Calibri"/>
          <w:bCs/>
          <w:iCs/>
          <w:sz w:val="26"/>
          <w:szCs w:val="26"/>
        </w:rPr>
        <w:t xml:space="preserve"> na přepočtené počty zaměstnanců </w:t>
      </w:r>
      <w:r w:rsidRPr="00AE7317">
        <w:rPr>
          <w:rFonts w:ascii="Calibri" w:hAnsi="Calibri"/>
          <w:b/>
          <w:iCs/>
          <w:sz w:val="26"/>
          <w:szCs w:val="26"/>
        </w:rPr>
        <w:t>v národním hospodářství dosáhla</w:t>
      </w:r>
      <w:r w:rsidRPr="00AE7317">
        <w:rPr>
          <w:rFonts w:ascii="Calibri" w:hAnsi="Calibri"/>
          <w:iCs/>
          <w:sz w:val="26"/>
          <w:szCs w:val="26"/>
        </w:rPr>
        <w:t xml:space="preserve"> </w:t>
      </w:r>
      <w:r w:rsidRPr="00AE7317">
        <w:rPr>
          <w:rFonts w:ascii="Calibri" w:hAnsi="Calibri"/>
          <w:bCs/>
          <w:iCs/>
          <w:sz w:val="26"/>
          <w:szCs w:val="26"/>
        </w:rPr>
        <w:t xml:space="preserve">v 1. - 3. čtvrtletí 2019 </w:t>
      </w:r>
      <w:r w:rsidRPr="00AE7317">
        <w:rPr>
          <w:rFonts w:ascii="Calibri" w:hAnsi="Calibri"/>
          <w:b/>
          <w:iCs/>
          <w:sz w:val="26"/>
          <w:szCs w:val="26"/>
        </w:rPr>
        <w:t>výše</w:t>
      </w:r>
      <w:r w:rsidRPr="00AE7317">
        <w:rPr>
          <w:rFonts w:ascii="Calibri" w:hAnsi="Calibri"/>
          <w:bCs/>
          <w:iCs/>
          <w:sz w:val="26"/>
          <w:szCs w:val="26"/>
        </w:rPr>
        <w:t xml:space="preserve"> </w:t>
      </w:r>
      <w:r w:rsidRPr="00AE7317">
        <w:rPr>
          <w:rFonts w:ascii="Calibri" w:hAnsi="Calibri"/>
          <w:b/>
          <w:iCs/>
          <w:sz w:val="26"/>
          <w:szCs w:val="26"/>
        </w:rPr>
        <w:t>33 429 Kč</w:t>
      </w:r>
      <w:r w:rsidRPr="00AE7317">
        <w:rPr>
          <w:rFonts w:ascii="Calibri" w:hAnsi="Calibri"/>
          <w:iCs/>
          <w:sz w:val="26"/>
          <w:szCs w:val="26"/>
        </w:rPr>
        <w:t xml:space="preserve">, což představovalo </w:t>
      </w:r>
      <w:r w:rsidRPr="00AE7317">
        <w:rPr>
          <w:rFonts w:ascii="Calibri" w:hAnsi="Calibri"/>
          <w:b/>
          <w:iCs/>
          <w:sz w:val="26"/>
          <w:szCs w:val="26"/>
        </w:rPr>
        <w:t>meziroční nominální</w:t>
      </w:r>
      <w:r w:rsidRPr="00AE7317">
        <w:rPr>
          <w:rFonts w:ascii="Calibri" w:hAnsi="Calibri"/>
          <w:iCs/>
          <w:sz w:val="26"/>
          <w:szCs w:val="26"/>
        </w:rPr>
        <w:t xml:space="preserve"> </w:t>
      </w:r>
      <w:r w:rsidRPr="00AE7317">
        <w:rPr>
          <w:rFonts w:ascii="Calibri" w:hAnsi="Calibri"/>
          <w:b/>
          <w:iCs/>
          <w:sz w:val="26"/>
          <w:szCs w:val="26"/>
        </w:rPr>
        <w:t>nárůst o 7,2 %</w:t>
      </w:r>
      <w:r w:rsidRPr="00AE7317">
        <w:rPr>
          <w:rFonts w:ascii="Calibri" w:hAnsi="Calibri"/>
          <w:bCs/>
          <w:iCs/>
          <w:sz w:val="26"/>
          <w:szCs w:val="26"/>
        </w:rPr>
        <w:t>, tj. o 2 234 Kč. Spotřebitelské ceny se v porovnání se stejným obdobím předchozího roku zvýšily o 2,8 % (v 1. </w:t>
      </w:r>
      <w:r w:rsidRPr="00AE7317">
        <w:rPr>
          <w:rFonts w:ascii="Calibri" w:hAnsi="Calibri"/>
          <w:bCs/>
          <w:iCs/>
          <w:sz w:val="26"/>
          <w:szCs w:val="26"/>
        </w:rPr>
        <w:noBreakHyphen/>
        <w:t xml:space="preserve"> 3. čtvrtletí 2018 stouply o 2,2 %), </w:t>
      </w:r>
      <w:r w:rsidRPr="00AE7317">
        <w:rPr>
          <w:rFonts w:ascii="Calibri" w:hAnsi="Calibri"/>
          <w:b/>
          <w:bCs/>
          <w:iCs/>
          <w:sz w:val="26"/>
          <w:szCs w:val="26"/>
        </w:rPr>
        <w:t>průměrná reálná mzda</w:t>
      </w:r>
      <w:r w:rsidRPr="00AE7317">
        <w:rPr>
          <w:rFonts w:ascii="Calibri" w:hAnsi="Calibri"/>
          <w:bCs/>
          <w:iCs/>
          <w:sz w:val="26"/>
          <w:szCs w:val="26"/>
        </w:rPr>
        <w:t xml:space="preserve"> tedy vzhledem k míře cenové inflace </w:t>
      </w:r>
      <w:r w:rsidRPr="00AE7317">
        <w:rPr>
          <w:rFonts w:ascii="Calibri" w:hAnsi="Calibri"/>
          <w:b/>
          <w:bCs/>
          <w:iCs/>
          <w:sz w:val="26"/>
          <w:szCs w:val="26"/>
        </w:rPr>
        <w:t>vzrostla o 4,3 %</w:t>
      </w:r>
      <w:r w:rsidRPr="00AE7317">
        <w:rPr>
          <w:rFonts w:ascii="Calibri" w:hAnsi="Calibri"/>
          <w:bCs/>
          <w:iCs/>
          <w:sz w:val="26"/>
          <w:szCs w:val="26"/>
        </w:rPr>
        <w:t xml:space="preserve"> (v 1. </w:t>
      </w:r>
      <w:r w:rsidRPr="00AE7317">
        <w:rPr>
          <w:rFonts w:ascii="Calibri" w:hAnsi="Calibri"/>
          <w:bCs/>
          <w:iCs/>
          <w:sz w:val="26"/>
          <w:szCs w:val="26"/>
        </w:rPr>
        <w:noBreakHyphen/>
        <w:t xml:space="preserve"> 3. čtvrtletí 2018 se zvýšila nominálně o 7,9 %, reálně o 5,6 %). </w:t>
      </w:r>
      <w:r w:rsidRPr="00AE7317">
        <w:rPr>
          <w:rFonts w:ascii="Calibri" w:hAnsi="Calibri"/>
          <w:b/>
          <w:bCs/>
          <w:iCs/>
          <w:sz w:val="26"/>
          <w:szCs w:val="26"/>
        </w:rPr>
        <w:t>Kupní síla výdělků</w:t>
      </w:r>
      <w:r w:rsidRPr="00AE7317">
        <w:rPr>
          <w:rFonts w:ascii="Calibri" w:hAnsi="Calibri"/>
          <w:bCs/>
          <w:iCs/>
          <w:sz w:val="26"/>
          <w:szCs w:val="26"/>
        </w:rPr>
        <w:t xml:space="preserve">, resp. jejich tempo růstu stále vykazovalo silnou dynamiku. Trh práce byl nadále pod vlivem </w:t>
      </w:r>
      <w:r w:rsidRPr="00AE7317">
        <w:rPr>
          <w:rFonts w:ascii="Calibri" w:hAnsi="Calibri"/>
          <w:b/>
          <w:bCs/>
          <w:iCs/>
          <w:sz w:val="26"/>
          <w:szCs w:val="26"/>
        </w:rPr>
        <w:t>příznivého vývoje ekonomiky, zvyšování zaměstnanosti a poklesu nezaměstnanosti.</w:t>
      </w:r>
      <w:r w:rsidRPr="00AE7317">
        <w:rPr>
          <w:rFonts w:ascii="Calibri" w:hAnsi="Calibri"/>
          <w:bCs/>
          <w:iCs/>
          <w:sz w:val="26"/>
          <w:szCs w:val="26"/>
        </w:rPr>
        <w:t xml:space="preserve"> Přetrvávající nedostatečný počet zaměstnatelných a využitelných osob a vysoká poptávka po disponibilní pracovní síle stále působily silně konkurenčně mezi zaměstnavateli a tím vytvářely tlak na růst mezd.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AE7317">
        <w:rPr>
          <w:rFonts w:ascii="Calibri" w:hAnsi="Calibri"/>
          <w:b/>
          <w:bCs/>
          <w:iCs/>
          <w:sz w:val="26"/>
          <w:szCs w:val="26"/>
        </w:rPr>
        <w:tab/>
        <w:t>V samotném 3. čtvrtletí</w:t>
      </w:r>
      <w:r w:rsidRPr="00AE7317">
        <w:rPr>
          <w:rFonts w:ascii="Calibri" w:hAnsi="Calibri"/>
          <w:bCs/>
          <w:iCs/>
          <w:sz w:val="26"/>
          <w:szCs w:val="26"/>
        </w:rPr>
        <w:t xml:space="preserve"> loňského roku bylo zaznamenáno </w:t>
      </w:r>
      <w:r w:rsidRPr="00AE7317">
        <w:rPr>
          <w:rFonts w:ascii="Calibri" w:hAnsi="Calibri"/>
          <w:b/>
          <w:bCs/>
          <w:iCs/>
          <w:sz w:val="26"/>
          <w:szCs w:val="26"/>
        </w:rPr>
        <w:t>o 0,3 p. b. nižší tempo růstu nominální průměrné mzdy než v 1. </w:t>
      </w:r>
      <w:r w:rsidRPr="00AE7317">
        <w:rPr>
          <w:rFonts w:ascii="Calibri" w:hAnsi="Calibri"/>
          <w:b/>
          <w:bCs/>
          <w:iCs/>
          <w:sz w:val="26"/>
          <w:szCs w:val="26"/>
        </w:rPr>
        <w:noBreakHyphen/>
        <w:t> 3. čtvrtletí – meziročně o 6,9 % a reálně o 4,0 %. Průměrná hrubá měsíční nominální mzda</w:t>
      </w:r>
      <w:r w:rsidRPr="00AE7317">
        <w:rPr>
          <w:rFonts w:ascii="Calibri" w:hAnsi="Calibri"/>
          <w:bCs/>
          <w:iCs/>
          <w:sz w:val="26"/>
          <w:szCs w:val="26"/>
        </w:rPr>
        <w:t xml:space="preserve"> </w:t>
      </w:r>
      <w:r w:rsidRPr="00AE7317">
        <w:rPr>
          <w:rFonts w:ascii="Calibri" w:hAnsi="Calibri"/>
          <w:b/>
          <w:bCs/>
          <w:iCs/>
          <w:sz w:val="26"/>
          <w:szCs w:val="26"/>
        </w:rPr>
        <w:t>v národním hospodářství dosáhla úrovně 33 697 Kč</w:t>
      </w:r>
      <w:r w:rsidRPr="00AE7317">
        <w:rPr>
          <w:rFonts w:ascii="Calibri" w:hAnsi="Calibri"/>
          <w:bCs/>
          <w:iCs/>
          <w:sz w:val="26"/>
          <w:szCs w:val="26"/>
        </w:rPr>
        <w:t xml:space="preserve"> – podrobněji viz tabulku č. 2 v příloze.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AE7317">
        <w:rPr>
          <w:rFonts w:ascii="Calibri" w:hAnsi="Calibri"/>
          <w:bCs/>
          <w:iCs/>
          <w:sz w:val="26"/>
          <w:szCs w:val="26"/>
        </w:rPr>
        <w:tab/>
        <w:t>Nedílnou součástí pravidelně publikovaných dat ČSÚ o průměrných mzdách byl i medián.</w:t>
      </w:r>
      <w:r w:rsidRPr="00AE7317">
        <w:rPr>
          <w:rFonts w:ascii="Calibri" w:hAnsi="Calibri"/>
          <w:b/>
          <w:bCs/>
          <w:iCs/>
          <w:sz w:val="26"/>
          <w:szCs w:val="26"/>
        </w:rPr>
        <w:t xml:space="preserve"> Medián mezd </w:t>
      </w:r>
      <w:r w:rsidRPr="00AE7317">
        <w:rPr>
          <w:rFonts w:ascii="Calibri" w:hAnsi="Calibri"/>
          <w:bCs/>
          <w:iCs/>
          <w:sz w:val="26"/>
          <w:szCs w:val="26"/>
        </w:rPr>
        <w:t xml:space="preserve">(prostřední hodnota mzdového rozdělení) </w:t>
      </w:r>
      <w:r w:rsidRPr="00AE7317">
        <w:rPr>
          <w:rFonts w:ascii="Calibri" w:hAnsi="Calibri"/>
          <w:b/>
          <w:bCs/>
          <w:iCs/>
          <w:sz w:val="26"/>
          <w:szCs w:val="26"/>
        </w:rPr>
        <w:t>dosáhl ve 3. čtvrtletí</w:t>
      </w:r>
      <w:r w:rsidRPr="00AE7317">
        <w:rPr>
          <w:rFonts w:ascii="Calibri" w:hAnsi="Calibri"/>
          <w:bCs/>
          <w:iCs/>
          <w:sz w:val="26"/>
          <w:szCs w:val="26"/>
        </w:rPr>
        <w:t xml:space="preserve"> loňského roku </w:t>
      </w:r>
      <w:r w:rsidRPr="00AE7317">
        <w:rPr>
          <w:rFonts w:ascii="Calibri" w:hAnsi="Calibri"/>
          <w:b/>
          <w:bCs/>
          <w:iCs/>
          <w:sz w:val="26"/>
          <w:szCs w:val="26"/>
        </w:rPr>
        <w:t xml:space="preserve">úrovně 29 549 Kč. Proti stejnému období předchozího roku vzrostl nominálně o 6,7 % </w:t>
      </w:r>
      <w:r w:rsidRPr="00AE7317">
        <w:rPr>
          <w:rFonts w:ascii="Calibri" w:hAnsi="Calibri"/>
          <w:bCs/>
          <w:iCs/>
          <w:sz w:val="26"/>
          <w:szCs w:val="26"/>
        </w:rPr>
        <w:t xml:space="preserve">(1 863 Kč) </w:t>
      </w:r>
      <w:r w:rsidRPr="00AE7317">
        <w:rPr>
          <w:rFonts w:ascii="Calibri" w:hAnsi="Calibri"/>
          <w:b/>
          <w:bCs/>
          <w:iCs/>
          <w:sz w:val="26"/>
          <w:szCs w:val="26"/>
        </w:rPr>
        <w:t xml:space="preserve">a reálně o 3,8 %. Medián mezd byl </w:t>
      </w:r>
      <w:r w:rsidRPr="00AE7317">
        <w:rPr>
          <w:rFonts w:ascii="Calibri" w:hAnsi="Calibri"/>
          <w:bCs/>
          <w:iCs/>
          <w:sz w:val="26"/>
          <w:szCs w:val="26"/>
        </w:rPr>
        <w:t xml:space="preserve">ve sledovaném období </w:t>
      </w:r>
      <w:r w:rsidRPr="00AE7317">
        <w:rPr>
          <w:rFonts w:ascii="Calibri" w:hAnsi="Calibri"/>
          <w:b/>
          <w:bCs/>
          <w:iCs/>
          <w:sz w:val="26"/>
          <w:szCs w:val="26"/>
        </w:rPr>
        <w:t>nižší o 4 148 Kč než průměrná mzda.</w:t>
      </w:r>
      <w:r w:rsidRPr="00AE7317">
        <w:rPr>
          <w:rFonts w:ascii="Calibri" w:hAnsi="Calibri"/>
          <w:bCs/>
          <w:iCs/>
          <w:sz w:val="26"/>
          <w:szCs w:val="26"/>
        </w:rPr>
        <w:t xml:space="preserve"> Medián mezd žen činil </w:t>
      </w:r>
      <w:r w:rsidRPr="00AE7317">
        <w:rPr>
          <w:rFonts w:ascii="Calibri" w:hAnsi="Calibri"/>
          <w:bCs/>
          <w:iCs/>
          <w:sz w:val="26"/>
          <w:szCs w:val="26"/>
        </w:rPr>
        <w:lastRenderedPageBreak/>
        <w:t>26 887 Kč, medián mezd mužů byl o 5 022 Kč vyšší a dosáhl 31 909 Kč (jejich vzájemná relace dosáhla úrovně 118,7 %).</w:t>
      </w:r>
    </w:p>
    <w:p w:rsidR="004F7E1B" w:rsidRPr="00AE7317" w:rsidRDefault="004F7E1B" w:rsidP="004F7E1B">
      <w:pPr>
        <w:spacing w:after="360"/>
        <w:ind w:left="709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>Informační systém o průměrném výdělku (ISPV) MPSV, který na základě výběrového šetření doplňuje mzdové statistiky ČSÚ, poskytuje řadu detailnějších statistik o mzdách (platech) zaměstnanců. Podle jeho výstupů za 3. čtvrtletí 2019 činil medián hrubé měsíční mzdy ve mzdové sféře 29 545 Kč a v platové sféře 36 047 Kč. Největší rozdíl mezi průměrnou mzdou a</w:t>
      </w:r>
      <w:r w:rsidR="0051310A">
        <w:rPr>
          <w:rFonts w:ascii="Calibri" w:hAnsi="Calibri"/>
          <w:bCs/>
          <w:sz w:val="26"/>
          <w:szCs w:val="26"/>
        </w:rPr>
        <w:t> </w:t>
      </w:r>
      <w:r w:rsidRPr="00AE7317">
        <w:rPr>
          <w:rFonts w:ascii="Calibri" w:hAnsi="Calibri"/>
          <w:bCs/>
          <w:sz w:val="26"/>
          <w:szCs w:val="26"/>
        </w:rPr>
        <w:t xml:space="preserve">mediánem byl zaznamenán v odvětví „informační a komunikační činnosti“ </w:t>
      </w:r>
      <w:r w:rsidR="0051310A">
        <w:rPr>
          <w:rFonts w:ascii="Calibri" w:hAnsi="Calibri"/>
          <w:bCs/>
          <w:sz w:val="26"/>
          <w:szCs w:val="26"/>
        </w:rPr>
        <w:t xml:space="preserve">– </w:t>
      </w:r>
      <w:r w:rsidRPr="00AE7317">
        <w:rPr>
          <w:rFonts w:ascii="Calibri" w:hAnsi="Calibri"/>
          <w:bCs/>
          <w:sz w:val="26"/>
          <w:szCs w:val="26"/>
        </w:rPr>
        <w:t>12 797 Kč, což svědčí o výrazných rozdílech ve mzdách jednotlivých zaměstnanců tohoto odvětví mzdové sféry. Opačná situace, tedy velmi malá diferenciace platů, byla pozorována u odvětví „vzdělávání“ platové sféry, ve které byl medián platu o 1 228 Kč vyšší než průměrný plat a činil 35 037 Kč.</w:t>
      </w:r>
    </w:p>
    <w:p w:rsidR="00AE7317" w:rsidRPr="00AE7317" w:rsidRDefault="00AE7317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</w:r>
      <w:r w:rsidRPr="00AE7317">
        <w:rPr>
          <w:rFonts w:ascii="Calibri" w:hAnsi="Calibri"/>
          <w:b/>
          <w:bCs/>
          <w:sz w:val="26"/>
          <w:szCs w:val="26"/>
        </w:rPr>
        <w:t>Výše průměrné</w:t>
      </w:r>
      <w:r w:rsidRPr="00AE7317">
        <w:rPr>
          <w:rFonts w:ascii="Calibri" w:hAnsi="Calibri"/>
          <w:bCs/>
          <w:sz w:val="26"/>
          <w:szCs w:val="26"/>
        </w:rPr>
        <w:t xml:space="preserve"> měsíční </w:t>
      </w:r>
      <w:r w:rsidRPr="00AE7317">
        <w:rPr>
          <w:rFonts w:ascii="Calibri" w:hAnsi="Calibri"/>
          <w:b/>
          <w:bCs/>
          <w:sz w:val="26"/>
          <w:szCs w:val="26"/>
        </w:rPr>
        <w:t xml:space="preserve">mzdy zaměstnanců pracujících v malých firmách </w:t>
      </w:r>
      <w:r w:rsidRPr="00AE7317">
        <w:rPr>
          <w:rFonts w:ascii="Calibri" w:hAnsi="Calibri"/>
          <w:bCs/>
          <w:sz w:val="26"/>
          <w:szCs w:val="26"/>
        </w:rPr>
        <w:t xml:space="preserve">(subjekty s méně než 20 zaměstnanci) v 1. – 3. čtvrtletí loňského roku </w:t>
      </w:r>
      <w:r w:rsidRPr="00AE7317">
        <w:rPr>
          <w:rFonts w:ascii="Calibri" w:hAnsi="Calibri"/>
          <w:b/>
          <w:bCs/>
          <w:sz w:val="26"/>
          <w:szCs w:val="26"/>
        </w:rPr>
        <w:t>činila 24 557 Kč, tj. 73,5 %</w:t>
      </w:r>
      <w:r w:rsidRPr="00AE7317">
        <w:rPr>
          <w:rFonts w:ascii="Calibri" w:hAnsi="Calibri"/>
          <w:bCs/>
          <w:sz w:val="26"/>
          <w:szCs w:val="26"/>
        </w:rPr>
        <w:t xml:space="preserve"> celospolečenského </w:t>
      </w:r>
      <w:r w:rsidRPr="00AE7317">
        <w:rPr>
          <w:rFonts w:ascii="Calibri" w:hAnsi="Calibri"/>
          <w:b/>
          <w:bCs/>
          <w:sz w:val="26"/>
          <w:szCs w:val="26"/>
        </w:rPr>
        <w:t>výdělkového průměru</w:t>
      </w:r>
      <w:r w:rsidRPr="00AE7317">
        <w:rPr>
          <w:rFonts w:ascii="Calibri" w:hAnsi="Calibri"/>
          <w:bCs/>
          <w:sz w:val="26"/>
          <w:szCs w:val="26"/>
        </w:rPr>
        <w:t>; v porovnání se stejným obdobím roku 2018 došlo ke zvýšení tohoto podílu o 0,4 p. b. – viz tabulku č. 3 v příloze.</w:t>
      </w:r>
    </w:p>
    <w:p w:rsidR="004F7E1B" w:rsidRPr="00AE7317" w:rsidRDefault="004F7E1B" w:rsidP="00AE7317">
      <w:pPr>
        <w:spacing w:after="12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  <w:t>Vývoj mezd v období leden – září 2019 charakterizovaly zejména následující skutečnosti:</w:t>
      </w:r>
    </w:p>
    <w:p w:rsidR="004F7E1B" w:rsidRPr="00AE7317" w:rsidRDefault="004F7E1B" w:rsidP="00AE7317">
      <w:pPr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/>
          <w:bCs/>
          <w:sz w:val="26"/>
          <w:szCs w:val="26"/>
        </w:rPr>
        <w:t>stále silná dynamika nárůstu průměrné</w:t>
      </w:r>
      <w:r w:rsidRPr="00AE7317">
        <w:rPr>
          <w:rFonts w:ascii="Calibri" w:hAnsi="Calibri"/>
          <w:bCs/>
          <w:sz w:val="26"/>
          <w:szCs w:val="26"/>
        </w:rPr>
        <w:t xml:space="preserve"> </w:t>
      </w:r>
      <w:r w:rsidRPr="00AE7317">
        <w:rPr>
          <w:rFonts w:ascii="Calibri" w:hAnsi="Calibri"/>
          <w:b/>
          <w:bCs/>
          <w:sz w:val="26"/>
          <w:szCs w:val="26"/>
        </w:rPr>
        <w:t xml:space="preserve">nominální mzdy </w:t>
      </w:r>
      <w:r w:rsidRPr="00AE7317">
        <w:rPr>
          <w:rFonts w:ascii="Calibri" w:hAnsi="Calibri"/>
          <w:bCs/>
          <w:sz w:val="26"/>
          <w:szCs w:val="26"/>
        </w:rPr>
        <w:t>v národním hospodářství, i přes její mírné meziroční snížení,</w:t>
      </w:r>
    </w:p>
    <w:p w:rsidR="004F7E1B" w:rsidRPr="00AE7317" w:rsidRDefault="004F7E1B" w:rsidP="00AE7317">
      <w:pPr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/>
          <w:bCs/>
          <w:sz w:val="26"/>
          <w:szCs w:val="26"/>
        </w:rPr>
        <w:t>druhé nejvyšší posílení kupní síly výdělků zaměstnanců za posledních 10 let</w:t>
      </w:r>
      <w:r w:rsidRPr="00AE7317">
        <w:rPr>
          <w:rFonts w:ascii="Calibri" w:hAnsi="Calibri"/>
          <w:bCs/>
          <w:sz w:val="26"/>
          <w:szCs w:val="26"/>
        </w:rPr>
        <w:t>, a to i přes téměř tříprocentní nárůst indexu spotřebitelských cen,</w:t>
      </w:r>
    </w:p>
    <w:p w:rsidR="004F7E1B" w:rsidRPr="00AE7317" w:rsidRDefault="004F7E1B" w:rsidP="00AE7317">
      <w:pPr>
        <w:numPr>
          <w:ilvl w:val="0"/>
          <w:numId w:val="26"/>
        </w:numPr>
        <w:spacing w:after="120" w:line="360" w:lineRule="auto"/>
        <w:ind w:left="714" w:hanging="357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/>
          <w:bCs/>
          <w:sz w:val="26"/>
          <w:szCs w:val="26"/>
        </w:rPr>
        <w:t>nárůst produktivity práce nižší, než</w:t>
      </w:r>
      <w:r w:rsidRPr="00AE7317">
        <w:rPr>
          <w:rFonts w:ascii="Calibri" w:hAnsi="Calibri"/>
          <w:bCs/>
          <w:sz w:val="26"/>
          <w:szCs w:val="26"/>
        </w:rPr>
        <w:t xml:space="preserve"> byla </w:t>
      </w:r>
      <w:r w:rsidRPr="00AE7317">
        <w:rPr>
          <w:rFonts w:ascii="Calibri" w:hAnsi="Calibri"/>
          <w:b/>
          <w:bCs/>
          <w:sz w:val="26"/>
          <w:szCs w:val="26"/>
        </w:rPr>
        <w:t>dynamika růstu mezd,</w:t>
      </w:r>
    </w:p>
    <w:p w:rsidR="004F7E1B" w:rsidRPr="00AE7317" w:rsidRDefault="004F7E1B" w:rsidP="004F7E1B">
      <w:pPr>
        <w:numPr>
          <w:ilvl w:val="0"/>
          <w:numId w:val="26"/>
        </w:numPr>
        <w:spacing w:after="360" w:line="360" w:lineRule="auto"/>
        <w:ind w:left="714" w:hanging="357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 xml:space="preserve">mírné </w:t>
      </w:r>
      <w:r w:rsidRPr="00AE7317">
        <w:rPr>
          <w:rFonts w:ascii="Calibri" w:hAnsi="Calibri"/>
          <w:b/>
          <w:bCs/>
          <w:sz w:val="26"/>
          <w:szCs w:val="26"/>
        </w:rPr>
        <w:t>snížení</w:t>
      </w:r>
      <w:r w:rsidRPr="00AE7317">
        <w:rPr>
          <w:rFonts w:ascii="Calibri" w:hAnsi="Calibri"/>
          <w:bCs/>
          <w:sz w:val="26"/>
          <w:szCs w:val="26"/>
        </w:rPr>
        <w:t xml:space="preserve"> jak </w:t>
      </w:r>
      <w:r w:rsidRPr="00AE7317">
        <w:rPr>
          <w:rFonts w:ascii="Calibri" w:hAnsi="Calibri"/>
          <w:b/>
          <w:bCs/>
          <w:sz w:val="26"/>
          <w:szCs w:val="26"/>
        </w:rPr>
        <w:t>meziodvětvové diferenciace</w:t>
      </w:r>
      <w:r w:rsidRPr="00AE7317">
        <w:rPr>
          <w:rFonts w:ascii="Calibri" w:hAnsi="Calibri"/>
          <w:bCs/>
          <w:sz w:val="26"/>
          <w:szCs w:val="26"/>
        </w:rPr>
        <w:t xml:space="preserve">, tak i </w:t>
      </w:r>
      <w:r w:rsidRPr="00AE7317">
        <w:rPr>
          <w:rFonts w:ascii="Calibri" w:hAnsi="Calibri"/>
          <w:b/>
          <w:bCs/>
          <w:sz w:val="26"/>
          <w:szCs w:val="26"/>
        </w:rPr>
        <w:t xml:space="preserve">územní diferenciace mezd zaměstnanců </w:t>
      </w:r>
      <w:r w:rsidRPr="00AE7317">
        <w:rPr>
          <w:rFonts w:ascii="Calibri" w:hAnsi="Calibri"/>
          <w:bCs/>
          <w:sz w:val="26"/>
          <w:szCs w:val="26"/>
        </w:rPr>
        <w:t>(na makroúrovni).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lastRenderedPageBreak/>
        <w:tab/>
      </w:r>
      <w:r w:rsidRPr="00AE7317">
        <w:rPr>
          <w:rFonts w:ascii="Calibri" w:hAnsi="Calibri"/>
          <w:b/>
          <w:bCs/>
          <w:sz w:val="26"/>
          <w:szCs w:val="26"/>
        </w:rPr>
        <w:t xml:space="preserve">Nárůst </w:t>
      </w:r>
      <w:r w:rsidRPr="00AE7317">
        <w:rPr>
          <w:rFonts w:ascii="Calibri" w:hAnsi="Calibri"/>
          <w:bCs/>
          <w:sz w:val="26"/>
          <w:szCs w:val="26"/>
        </w:rPr>
        <w:t>průměrné</w:t>
      </w:r>
      <w:r w:rsidRPr="00AE7317">
        <w:rPr>
          <w:rFonts w:ascii="Calibri" w:hAnsi="Calibri"/>
          <w:b/>
          <w:bCs/>
          <w:sz w:val="26"/>
          <w:szCs w:val="26"/>
        </w:rPr>
        <w:t xml:space="preserve"> reálné hodnoty mezd </w:t>
      </w:r>
      <w:r w:rsidRPr="00AE7317">
        <w:rPr>
          <w:rFonts w:ascii="Calibri" w:hAnsi="Calibri"/>
          <w:bCs/>
          <w:sz w:val="26"/>
          <w:szCs w:val="26"/>
        </w:rPr>
        <w:t>(4,3 %)</w:t>
      </w:r>
      <w:r w:rsidRPr="00AE7317">
        <w:rPr>
          <w:rFonts w:ascii="Calibri" w:hAnsi="Calibri"/>
          <w:b/>
          <w:bCs/>
          <w:sz w:val="26"/>
          <w:szCs w:val="26"/>
        </w:rPr>
        <w:t xml:space="preserve"> byl nižší </w:t>
      </w:r>
      <w:r w:rsidRPr="00AE7317">
        <w:rPr>
          <w:rFonts w:ascii="Calibri" w:hAnsi="Calibri"/>
          <w:bCs/>
          <w:sz w:val="26"/>
          <w:szCs w:val="26"/>
        </w:rPr>
        <w:t xml:space="preserve">o 1,3 p. b. proti dynamice ve stejném období roku 2018. </w:t>
      </w:r>
      <w:r w:rsidRPr="00AE7317">
        <w:rPr>
          <w:rFonts w:ascii="Calibri" w:hAnsi="Calibri"/>
          <w:b/>
          <w:bCs/>
          <w:sz w:val="26"/>
          <w:szCs w:val="26"/>
        </w:rPr>
        <w:t>Na posílení koupěschopné poptávky</w:t>
      </w:r>
      <w:r w:rsidRPr="00AE7317">
        <w:rPr>
          <w:rFonts w:ascii="Calibri" w:hAnsi="Calibri"/>
          <w:bCs/>
          <w:sz w:val="26"/>
          <w:szCs w:val="26"/>
        </w:rPr>
        <w:t xml:space="preserve"> působilo stále ještě poměrně </w:t>
      </w:r>
      <w:r w:rsidRPr="00AE7317">
        <w:rPr>
          <w:rFonts w:ascii="Calibri" w:hAnsi="Calibri"/>
          <w:b/>
          <w:bCs/>
          <w:sz w:val="26"/>
          <w:szCs w:val="26"/>
        </w:rPr>
        <w:t>vysoké tempo nominálního nárůstu mezd</w:t>
      </w:r>
      <w:r w:rsidRPr="00AE7317">
        <w:rPr>
          <w:rFonts w:ascii="Calibri" w:hAnsi="Calibri"/>
          <w:bCs/>
          <w:sz w:val="26"/>
          <w:szCs w:val="26"/>
        </w:rPr>
        <w:t xml:space="preserve">, které však již bylo doprovázeno </w:t>
      </w:r>
      <w:r w:rsidRPr="00AE7317">
        <w:rPr>
          <w:rFonts w:ascii="Calibri" w:hAnsi="Calibri"/>
          <w:b/>
          <w:bCs/>
          <w:sz w:val="26"/>
          <w:szCs w:val="26"/>
        </w:rPr>
        <w:t>mírně vyšší dynamikou spotřebitelských cen</w:t>
      </w:r>
      <w:r w:rsidRPr="00AE7317">
        <w:rPr>
          <w:rFonts w:ascii="Calibri" w:hAnsi="Calibri"/>
          <w:bCs/>
          <w:sz w:val="26"/>
          <w:szCs w:val="26"/>
        </w:rPr>
        <w:t xml:space="preserve"> (podrobněji viz</w:t>
      </w:r>
      <w:r w:rsidR="0051310A">
        <w:rPr>
          <w:rFonts w:ascii="Calibri" w:hAnsi="Calibri"/>
          <w:bCs/>
          <w:sz w:val="26"/>
          <w:szCs w:val="26"/>
        </w:rPr>
        <w:t> </w:t>
      </w:r>
      <w:r w:rsidRPr="00AE7317">
        <w:rPr>
          <w:rFonts w:ascii="Calibri" w:hAnsi="Calibri"/>
          <w:bCs/>
          <w:sz w:val="26"/>
          <w:szCs w:val="26"/>
        </w:rPr>
        <w:t xml:space="preserve">část 2 materiálu). </w:t>
      </w:r>
      <w:r w:rsidRPr="00AE7317">
        <w:rPr>
          <w:rFonts w:ascii="Calibri" w:hAnsi="Calibri"/>
          <w:b/>
          <w:bCs/>
          <w:sz w:val="26"/>
          <w:szCs w:val="26"/>
        </w:rPr>
        <w:t>Zvýšení průměrné reálné mzdy</w:t>
      </w:r>
      <w:r w:rsidRPr="00AE7317">
        <w:rPr>
          <w:rFonts w:ascii="Calibri" w:hAnsi="Calibri"/>
          <w:bCs/>
          <w:sz w:val="26"/>
          <w:szCs w:val="26"/>
        </w:rPr>
        <w:t xml:space="preserve"> v 1. </w:t>
      </w:r>
      <w:r w:rsidRPr="00AE7317">
        <w:rPr>
          <w:rFonts w:ascii="Calibri" w:hAnsi="Calibri"/>
          <w:bCs/>
          <w:sz w:val="26"/>
          <w:szCs w:val="26"/>
        </w:rPr>
        <w:noBreakHyphen/>
        <w:t> 3. čtvrtletí bylo zaznamenáno</w:t>
      </w:r>
      <w:r w:rsidRPr="00AE7317">
        <w:rPr>
          <w:rFonts w:ascii="Calibri" w:hAnsi="Calibri"/>
          <w:b/>
          <w:bCs/>
          <w:sz w:val="26"/>
          <w:szCs w:val="26"/>
        </w:rPr>
        <w:t xml:space="preserve"> ve všech 19 </w:t>
      </w:r>
      <w:r w:rsidRPr="00AE7317">
        <w:rPr>
          <w:rFonts w:ascii="Calibri" w:hAnsi="Calibri"/>
          <w:bCs/>
          <w:sz w:val="26"/>
          <w:szCs w:val="26"/>
        </w:rPr>
        <w:t xml:space="preserve">sledovaných </w:t>
      </w:r>
      <w:r w:rsidRPr="00AE7317">
        <w:rPr>
          <w:rFonts w:ascii="Calibri" w:hAnsi="Calibri"/>
          <w:b/>
          <w:bCs/>
          <w:sz w:val="26"/>
          <w:szCs w:val="26"/>
        </w:rPr>
        <w:t>odvětvových agregací CZ</w:t>
      </w:r>
      <w:r w:rsidRPr="00AE7317">
        <w:rPr>
          <w:rFonts w:ascii="Calibri" w:hAnsi="Calibri"/>
          <w:b/>
          <w:bCs/>
          <w:sz w:val="26"/>
          <w:szCs w:val="26"/>
        </w:rPr>
        <w:noBreakHyphen/>
        <w:t xml:space="preserve">NACE a v regionálním členění ve všech 14 krajích </w:t>
      </w:r>
      <w:r w:rsidRPr="00AE7317">
        <w:rPr>
          <w:rFonts w:ascii="Calibri" w:hAnsi="Calibri"/>
          <w:bCs/>
          <w:sz w:val="26"/>
          <w:szCs w:val="26"/>
        </w:rPr>
        <w:t>(viz dále).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</w:r>
      <w:r w:rsidRPr="00AE7317">
        <w:rPr>
          <w:rFonts w:ascii="Calibri" w:hAnsi="Calibri"/>
          <w:b/>
          <w:bCs/>
          <w:sz w:val="26"/>
          <w:szCs w:val="26"/>
        </w:rPr>
        <w:t xml:space="preserve">Přírůstek kupní síly výdělků byl </w:t>
      </w:r>
      <w:r w:rsidRPr="00AE7317">
        <w:rPr>
          <w:rFonts w:ascii="Calibri" w:hAnsi="Calibri"/>
          <w:bCs/>
          <w:sz w:val="26"/>
          <w:szCs w:val="26"/>
        </w:rPr>
        <w:t xml:space="preserve">v hodnoceném období </w:t>
      </w:r>
      <w:r w:rsidRPr="00AE7317">
        <w:rPr>
          <w:rFonts w:ascii="Calibri" w:hAnsi="Calibri"/>
          <w:b/>
          <w:bCs/>
          <w:sz w:val="26"/>
          <w:szCs w:val="26"/>
        </w:rPr>
        <w:t>vyšší než vykázaná produktivita práce.</w:t>
      </w:r>
      <w:r w:rsidRPr="00AE7317">
        <w:rPr>
          <w:rFonts w:ascii="Calibri" w:hAnsi="Calibri"/>
          <w:bCs/>
          <w:sz w:val="26"/>
          <w:szCs w:val="26"/>
        </w:rPr>
        <w:t xml:space="preserve"> Dynamika úhrnné </w:t>
      </w:r>
      <w:r w:rsidRPr="00AE7317">
        <w:rPr>
          <w:rFonts w:ascii="Calibri" w:hAnsi="Calibri"/>
          <w:b/>
          <w:bCs/>
          <w:sz w:val="26"/>
          <w:szCs w:val="26"/>
        </w:rPr>
        <w:t xml:space="preserve">produktivity práce </w:t>
      </w:r>
      <w:r w:rsidRPr="00AE7317">
        <w:rPr>
          <w:rFonts w:ascii="Calibri" w:hAnsi="Calibri"/>
          <w:bCs/>
          <w:sz w:val="26"/>
          <w:szCs w:val="26"/>
        </w:rPr>
        <w:t xml:space="preserve">(v pojetí hrubého domácího produktu ve stálých cenách na 1 pracovníka v národním hospodářství) </w:t>
      </w:r>
      <w:r w:rsidRPr="00AE7317">
        <w:rPr>
          <w:rFonts w:ascii="Calibri" w:hAnsi="Calibri"/>
          <w:b/>
          <w:bCs/>
          <w:sz w:val="26"/>
          <w:szCs w:val="26"/>
        </w:rPr>
        <w:t>vzrostla</w:t>
      </w:r>
      <w:r w:rsidRPr="00AE7317">
        <w:rPr>
          <w:rFonts w:ascii="Calibri" w:hAnsi="Calibri"/>
          <w:bCs/>
          <w:sz w:val="26"/>
          <w:szCs w:val="26"/>
        </w:rPr>
        <w:t xml:space="preserve"> ve</w:t>
      </w:r>
      <w:r w:rsidR="0051310A">
        <w:rPr>
          <w:rFonts w:ascii="Calibri" w:hAnsi="Calibri"/>
          <w:bCs/>
          <w:sz w:val="26"/>
          <w:szCs w:val="26"/>
        </w:rPr>
        <w:t> </w:t>
      </w:r>
      <w:r w:rsidRPr="00AE7317">
        <w:rPr>
          <w:rFonts w:ascii="Calibri" w:hAnsi="Calibri"/>
          <w:bCs/>
          <w:sz w:val="26"/>
          <w:szCs w:val="26"/>
        </w:rPr>
        <w:t xml:space="preserve">sledovaném období meziročně </w:t>
      </w:r>
      <w:r w:rsidRPr="00AE7317">
        <w:rPr>
          <w:rFonts w:ascii="Calibri" w:hAnsi="Calibri"/>
          <w:b/>
          <w:bCs/>
          <w:sz w:val="26"/>
          <w:szCs w:val="26"/>
        </w:rPr>
        <w:t>o 1,7 %</w:t>
      </w:r>
      <w:r w:rsidRPr="00AE7317">
        <w:rPr>
          <w:rFonts w:ascii="Calibri" w:hAnsi="Calibri"/>
          <w:bCs/>
          <w:sz w:val="26"/>
          <w:szCs w:val="26"/>
        </w:rPr>
        <w:t>; byla však o 2,6 p. b. nižší, než činil nárůst průměrné reálné mzdy – podrobný vývoj za jednotlivá čtvrtletí viz graf č. 1 v příloze.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</w:r>
      <w:r w:rsidRPr="00AE7317">
        <w:rPr>
          <w:rFonts w:ascii="Calibri" w:hAnsi="Calibri"/>
          <w:b/>
          <w:bCs/>
          <w:sz w:val="26"/>
          <w:szCs w:val="26"/>
        </w:rPr>
        <w:t xml:space="preserve">Relace </w:t>
      </w:r>
      <w:r w:rsidRPr="00AE7317">
        <w:rPr>
          <w:rFonts w:ascii="Calibri" w:hAnsi="Calibri"/>
          <w:bCs/>
          <w:sz w:val="26"/>
          <w:szCs w:val="26"/>
        </w:rPr>
        <w:t>produktivity práce a mezd</w:t>
      </w:r>
      <w:r w:rsidRPr="00AE7317">
        <w:rPr>
          <w:rFonts w:ascii="Calibri" w:hAnsi="Calibri"/>
          <w:b/>
          <w:bCs/>
          <w:sz w:val="26"/>
          <w:szCs w:val="26"/>
        </w:rPr>
        <w:t xml:space="preserve"> se promítla do vývoje jednotkových mzdových nákladů</w:t>
      </w:r>
      <w:r w:rsidRPr="00AE7317">
        <w:rPr>
          <w:rFonts w:ascii="Calibri" w:hAnsi="Calibri"/>
          <w:bCs/>
          <w:sz w:val="26"/>
          <w:szCs w:val="26"/>
        </w:rPr>
        <w:t xml:space="preserve">, které v meziročním pohledu za leden – září </w:t>
      </w:r>
      <w:r w:rsidRPr="00AE7317">
        <w:rPr>
          <w:rFonts w:ascii="Calibri" w:hAnsi="Calibri"/>
          <w:b/>
          <w:bCs/>
          <w:sz w:val="26"/>
          <w:szCs w:val="26"/>
        </w:rPr>
        <w:t xml:space="preserve">nominálně vzrostly o 5,4 % a reálně o 2,5 %, což však </w:t>
      </w:r>
      <w:r w:rsidRPr="00AE7317">
        <w:rPr>
          <w:rFonts w:ascii="Calibri" w:hAnsi="Calibri"/>
          <w:bCs/>
          <w:sz w:val="26"/>
          <w:szCs w:val="26"/>
        </w:rPr>
        <w:t xml:space="preserve">stále ještě vzhledem k ekonomickému vývoji </w:t>
      </w:r>
      <w:r w:rsidRPr="00AE7317">
        <w:rPr>
          <w:rFonts w:ascii="Calibri" w:hAnsi="Calibri"/>
          <w:b/>
          <w:bCs/>
          <w:sz w:val="26"/>
          <w:szCs w:val="26"/>
        </w:rPr>
        <w:t xml:space="preserve">nepředstavovalo vážnější riziko </w:t>
      </w:r>
      <w:r w:rsidRPr="00AE7317">
        <w:rPr>
          <w:rFonts w:ascii="Calibri" w:hAnsi="Calibri"/>
          <w:bCs/>
          <w:sz w:val="26"/>
          <w:szCs w:val="26"/>
        </w:rPr>
        <w:t>z pohledu</w:t>
      </w:r>
      <w:r w:rsidRPr="00AE7317">
        <w:rPr>
          <w:rFonts w:ascii="Calibri" w:hAnsi="Calibri"/>
          <w:b/>
          <w:bCs/>
          <w:sz w:val="26"/>
          <w:szCs w:val="26"/>
        </w:rPr>
        <w:t xml:space="preserve"> udržení konkurenceschopnosti tuzemské produkce.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AE7317">
        <w:rPr>
          <w:rFonts w:ascii="Calibri" w:hAnsi="Calibri"/>
          <w:b/>
          <w:bCs/>
          <w:sz w:val="26"/>
          <w:szCs w:val="26"/>
        </w:rPr>
        <w:tab/>
        <w:t xml:space="preserve">Reálná hodnota objemu mzdových prostředků </w:t>
      </w:r>
      <w:r w:rsidRPr="00AE7317">
        <w:rPr>
          <w:rFonts w:ascii="Calibri" w:hAnsi="Calibri"/>
          <w:bCs/>
          <w:sz w:val="26"/>
          <w:szCs w:val="26"/>
        </w:rPr>
        <w:t xml:space="preserve">zúčtovaných k výplatě </w:t>
      </w:r>
      <w:r w:rsidRPr="00AE7317">
        <w:rPr>
          <w:rFonts w:ascii="Calibri" w:hAnsi="Calibri"/>
          <w:b/>
          <w:bCs/>
          <w:sz w:val="26"/>
          <w:szCs w:val="26"/>
        </w:rPr>
        <w:t xml:space="preserve">vzrostla </w:t>
      </w:r>
      <w:r w:rsidRPr="00AE7317">
        <w:rPr>
          <w:rFonts w:ascii="Calibri" w:hAnsi="Calibri"/>
          <w:bCs/>
          <w:sz w:val="26"/>
          <w:szCs w:val="26"/>
        </w:rPr>
        <w:t>oproti 1. </w:t>
      </w:r>
      <w:r w:rsidRPr="00AE7317">
        <w:rPr>
          <w:rFonts w:ascii="Calibri" w:hAnsi="Calibri"/>
          <w:bCs/>
          <w:sz w:val="26"/>
          <w:szCs w:val="26"/>
        </w:rPr>
        <w:noBreakHyphen/>
        <w:t> 3. čtvrtletí 2018</w:t>
      </w:r>
      <w:r w:rsidRPr="00AE7317">
        <w:rPr>
          <w:rFonts w:ascii="Calibri" w:hAnsi="Calibri"/>
          <w:b/>
          <w:bCs/>
          <w:sz w:val="26"/>
          <w:szCs w:val="26"/>
        </w:rPr>
        <w:t xml:space="preserve"> o 4,8 %; mzdová náročnost HDP</w:t>
      </w:r>
      <w:r w:rsidRPr="00AE7317">
        <w:rPr>
          <w:rFonts w:ascii="Calibri" w:hAnsi="Calibri"/>
          <w:bCs/>
          <w:sz w:val="26"/>
          <w:szCs w:val="26"/>
        </w:rPr>
        <w:t xml:space="preserve"> (relace objemu mzdových prostředků k objemu hrubého domácího produktu v běžných cenách) </w:t>
      </w:r>
      <w:r w:rsidRPr="00AE7317">
        <w:rPr>
          <w:rFonts w:ascii="Calibri" w:hAnsi="Calibri"/>
          <w:b/>
          <w:bCs/>
          <w:sz w:val="26"/>
          <w:szCs w:val="26"/>
        </w:rPr>
        <w:t>se</w:t>
      </w:r>
      <w:r w:rsidRPr="00AE7317">
        <w:rPr>
          <w:rFonts w:ascii="Calibri" w:hAnsi="Calibri"/>
          <w:bCs/>
          <w:sz w:val="26"/>
          <w:szCs w:val="26"/>
        </w:rPr>
        <w:t xml:space="preserve"> ve stejném porovnání </w:t>
      </w:r>
      <w:r w:rsidRPr="00AE7317">
        <w:rPr>
          <w:rFonts w:ascii="Calibri" w:hAnsi="Calibri"/>
          <w:b/>
          <w:bCs/>
          <w:sz w:val="26"/>
          <w:szCs w:val="26"/>
        </w:rPr>
        <w:t>zvýšila</w:t>
      </w:r>
      <w:r w:rsidRPr="00AE7317">
        <w:rPr>
          <w:rFonts w:ascii="Calibri" w:hAnsi="Calibri"/>
          <w:bCs/>
          <w:sz w:val="26"/>
          <w:szCs w:val="26"/>
        </w:rPr>
        <w:t xml:space="preserve"> o 0,3 p. b.</w:t>
      </w:r>
      <w:r w:rsidRPr="00AE7317">
        <w:rPr>
          <w:rFonts w:ascii="Calibri" w:hAnsi="Calibri"/>
          <w:b/>
          <w:bCs/>
          <w:sz w:val="26"/>
          <w:szCs w:val="26"/>
        </w:rPr>
        <w:t xml:space="preserve"> na 29,1 %.</w:t>
      </w:r>
    </w:p>
    <w:p w:rsidR="004F7E1B" w:rsidRPr="00AE7317" w:rsidRDefault="004F7E1B" w:rsidP="004F7E1B">
      <w:pPr>
        <w:spacing w:after="360"/>
        <w:ind w:left="709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 xml:space="preserve">Část mezd, které svým zaměstnancům dlužili zaměstnavatelé v platební neschopnosti, jim byla vyplacena Úřadem práce ČR </w:t>
      </w:r>
      <w:r w:rsidRPr="00AE7317">
        <w:rPr>
          <w:rFonts w:ascii="Calibri" w:hAnsi="Calibri"/>
          <w:b/>
          <w:bCs/>
          <w:sz w:val="26"/>
          <w:szCs w:val="26"/>
        </w:rPr>
        <w:t>na základě zákona</w:t>
      </w:r>
      <w:r w:rsidRPr="00AE7317">
        <w:rPr>
          <w:rFonts w:ascii="Calibri" w:hAnsi="Calibri"/>
          <w:bCs/>
          <w:sz w:val="26"/>
          <w:szCs w:val="26"/>
        </w:rPr>
        <w:t xml:space="preserve"> č. 118/2000 Sb., </w:t>
      </w:r>
      <w:r w:rsidRPr="00AE7317">
        <w:rPr>
          <w:rFonts w:ascii="Calibri" w:hAnsi="Calibri"/>
          <w:b/>
          <w:bCs/>
          <w:sz w:val="26"/>
          <w:szCs w:val="26"/>
        </w:rPr>
        <w:t>o ochraně zaměstnanců při platební neschopnosti zaměstnavatele</w:t>
      </w:r>
      <w:r w:rsidRPr="00AE7317">
        <w:rPr>
          <w:rFonts w:ascii="Calibri" w:hAnsi="Calibri"/>
          <w:bCs/>
          <w:sz w:val="26"/>
          <w:szCs w:val="26"/>
        </w:rPr>
        <w:t xml:space="preserve"> a o změně některých zákonů, ve znění pozdějších předpisů.</w:t>
      </w:r>
      <w:r w:rsidRPr="00AE7317">
        <w:rPr>
          <w:rFonts w:ascii="Calibri" w:hAnsi="Calibri"/>
          <w:b/>
          <w:bCs/>
          <w:sz w:val="26"/>
          <w:szCs w:val="26"/>
        </w:rPr>
        <w:t xml:space="preserve"> </w:t>
      </w:r>
      <w:r w:rsidRPr="00AE7317">
        <w:rPr>
          <w:rFonts w:ascii="Calibri" w:hAnsi="Calibri"/>
          <w:bCs/>
          <w:sz w:val="26"/>
          <w:szCs w:val="26"/>
        </w:rPr>
        <w:t xml:space="preserve">Celkem bylo takto </w:t>
      </w:r>
      <w:r w:rsidRPr="00AE7317">
        <w:rPr>
          <w:rFonts w:ascii="Calibri" w:hAnsi="Calibri"/>
          <w:b/>
          <w:bCs/>
          <w:sz w:val="26"/>
          <w:szCs w:val="26"/>
        </w:rPr>
        <w:t xml:space="preserve">k 30. 9. 2019 poskytnuto 221,7 mil. Kč </w:t>
      </w:r>
      <w:r w:rsidRPr="00AE7317">
        <w:rPr>
          <w:rFonts w:ascii="Calibri" w:hAnsi="Calibri"/>
          <w:bCs/>
          <w:sz w:val="26"/>
          <w:szCs w:val="26"/>
        </w:rPr>
        <w:t>(o 53,1 mil. Kč více než v 1. </w:t>
      </w:r>
      <w:r w:rsidRPr="00AE7317">
        <w:rPr>
          <w:rFonts w:ascii="Calibri" w:hAnsi="Calibri"/>
          <w:bCs/>
          <w:sz w:val="26"/>
          <w:szCs w:val="26"/>
        </w:rPr>
        <w:noBreakHyphen/>
        <w:t> 3. čtvrtletí 2018), z toho nejvíce v hl. m. Praze (48,8 mil. Kč), v Plzeňském kraji (45,5 mil. Kč), ve Středočeském kraji (40,0 mil. Kč) a Jihomoravském kraji (26,7 mil. Kč).</w:t>
      </w:r>
    </w:p>
    <w:p w:rsidR="004F7E1B" w:rsidRPr="00AE7317" w:rsidRDefault="004F7E1B" w:rsidP="00AE7317">
      <w:pPr>
        <w:spacing w:after="12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/>
          <w:bCs/>
          <w:sz w:val="26"/>
          <w:szCs w:val="26"/>
        </w:rPr>
        <w:lastRenderedPageBreak/>
        <w:tab/>
      </w:r>
      <w:r w:rsidRPr="00AE7317">
        <w:rPr>
          <w:rFonts w:ascii="Calibri" w:hAnsi="Calibri"/>
          <w:bCs/>
          <w:sz w:val="26"/>
          <w:szCs w:val="26"/>
        </w:rPr>
        <w:t xml:space="preserve">S výjimkou odvětví </w:t>
      </w:r>
      <w:r w:rsidRPr="00AE7317">
        <w:rPr>
          <w:rFonts w:ascii="Calibri" w:hAnsi="Calibri"/>
          <w:b/>
          <w:bCs/>
          <w:sz w:val="26"/>
          <w:szCs w:val="26"/>
        </w:rPr>
        <w:t>„veřejná správa, obrana, sociální zabezpečení“</w:t>
      </w:r>
      <w:r w:rsidRPr="00AE7317">
        <w:rPr>
          <w:rFonts w:ascii="Calibri" w:hAnsi="Calibri"/>
          <w:bCs/>
          <w:sz w:val="26"/>
          <w:szCs w:val="26"/>
        </w:rPr>
        <w:t xml:space="preserve"> došlo v ostatních </w:t>
      </w:r>
      <w:r w:rsidRPr="00AE7317">
        <w:rPr>
          <w:rFonts w:ascii="Calibri" w:hAnsi="Calibri"/>
          <w:b/>
          <w:bCs/>
          <w:sz w:val="26"/>
          <w:szCs w:val="26"/>
        </w:rPr>
        <w:t>odvětvích tzv. veřejné služby a správy</w:t>
      </w:r>
      <w:r w:rsidRPr="00AE7317">
        <w:rPr>
          <w:rFonts w:ascii="Calibri" w:hAnsi="Calibri"/>
          <w:bCs/>
          <w:sz w:val="26"/>
          <w:szCs w:val="26"/>
        </w:rPr>
        <w:t xml:space="preserve"> k výrazně nadprůměrnému zvýšení průměrného platu. </w:t>
      </w:r>
      <w:r w:rsidRPr="00AE7317">
        <w:rPr>
          <w:rFonts w:ascii="Calibri" w:hAnsi="Calibri"/>
          <w:b/>
          <w:bCs/>
          <w:sz w:val="26"/>
          <w:szCs w:val="26"/>
        </w:rPr>
        <w:t>Největší</w:t>
      </w:r>
      <w:r w:rsidRPr="00AE7317">
        <w:rPr>
          <w:rFonts w:ascii="Calibri" w:hAnsi="Calibri"/>
          <w:bCs/>
          <w:sz w:val="26"/>
          <w:szCs w:val="26"/>
        </w:rPr>
        <w:t xml:space="preserve"> meziroční nominální</w:t>
      </w:r>
      <w:r w:rsidRPr="00AE7317">
        <w:rPr>
          <w:rFonts w:ascii="Calibri" w:hAnsi="Calibri"/>
          <w:b/>
          <w:bCs/>
          <w:sz w:val="26"/>
          <w:szCs w:val="26"/>
        </w:rPr>
        <w:t xml:space="preserve"> nárůst o 10,8 % </w:t>
      </w:r>
      <w:r w:rsidRPr="00AE7317">
        <w:rPr>
          <w:rFonts w:ascii="Calibri" w:hAnsi="Calibri"/>
          <w:bCs/>
          <w:sz w:val="26"/>
          <w:szCs w:val="26"/>
        </w:rPr>
        <w:t>byl zaznamenán v odvětví</w:t>
      </w:r>
      <w:r w:rsidRPr="00AE7317">
        <w:rPr>
          <w:rFonts w:ascii="Calibri" w:hAnsi="Calibri"/>
          <w:b/>
          <w:bCs/>
          <w:sz w:val="26"/>
          <w:szCs w:val="26"/>
        </w:rPr>
        <w:t xml:space="preserve"> „vzdělávání“</w:t>
      </w:r>
      <w:r w:rsidRPr="00AE7317">
        <w:rPr>
          <w:rFonts w:ascii="Calibri" w:hAnsi="Calibri"/>
          <w:bCs/>
          <w:sz w:val="26"/>
          <w:szCs w:val="26"/>
        </w:rPr>
        <w:t xml:space="preserve">. Ještě lépe na tom byli v rámci tohoto odvětví zaměstnanci škol a školských zařízení zřizovaných kraji a obcemi, u kterých došlo k vyššímu nárůstu průměrného platu o 0,6 p. b. (na 11,4 %). </w:t>
      </w:r>
      <w:r w:rsidRPr="00AE7317">
        <w:rPr>
          <w:rFonts w:ascii="Calibri" w:hAnsi="Calibri"/>
          <w:b/>
          <w:bCs/>
          <w:sz w:val="26"/>
          <w:szCs w:val="26"/>
        </w:rPr>
        <w:t>K nejmenšímu zvýšení o 6,3 %</w:t>
      </w:r>
      <w:r w:rsidRPr="00AE7317">
        <w:rPr>
          <w:rFonts w:ascii="Calibri" w:hAnsi="Calibri"/>
          <w:bCs/>
          <w:sz w:val="26"/>
          <w:szCs w:val="26"/>
        </w:rPr>
        <w:t xml:space="preserve"> došlo v odvětví </w:t>
      </w:r>
      <w:r w:rsidRPr="00AE7317">
        <w:rPr>
          <w:rFonts w:ascii="Calibri" w:hAnsi="Calibri"/>
          <w:b/>
          <w:bCs/>
          <w:sz w:val="26"/>
          <w:szCs w:val="26"/>
        </w:rPr>
        <w:t>„veřejná správa, obrana, sociální zabezpečení“</w:t>
      </w:r>
      <w:r w:rsidRPr="00AE7317">
        <w:rPr>
          <w:rFonts w:ascii="Calibri" w:hAnsi="Calibri"/>
          <w:bCs/>
          <w:sz w:val="26"/>
          <w:szCs w:val="26"/>
        </w:rPr>
        <w:t xml:space="preserve">. V rámci tohoto odvětví </w:t>
      </w:r>
      <w:r w:rsidRPr="00AE7317">
        <w:rPr>
          <w:rFonts w:ascii="Calibri" w:hAnsi="Calibri"/>
          <w:b/>
          <w:bCs/>
          <w:sz w:val="26"/>
          <w:szCs w:val="26"/>
        </w:rPr>
        <w:t>byl ve státní správě zaznamenán ještě</w:t>
      </w:r>
      <w:r w:rsidRPr="00AE7317">
        <w:rPr>
          <w:rFonts w:ascii="Calibri" w:hAnsi="Calibri"/>
          <w:bCs/>
          <w:sz w:val="26"/>
          <w:szCs w:val="26"/>
        </w:rPr>
        <w:t xml:space="preserve"> o 2,4 p. b. </w:t>
      </w:r>
      <w:r w:rsidRPr="00AE7317">
        <w:rPr>
          <w:rFonts w:ascii="Calibri" w:hAnsi="Calibri"/>
          <w:b/>
          <w:bCs/>
          <w:sz w:val="26"/>
          <w:szCs w:val="26"/>
        </w:rPr>
        <w:t>nižší relativní nárůst průměrného platu</w:t>
      </w:r>
      <w:r w:rsidRPr="00AE7317">
        <w:rPr>
          <w:rFonts w:ascii="Calibri" w:hAnsi="Calibri"/>
          <w:bCs/>
          <w:sz w:val="26"/>
          <w:szCs w:val="26"/>
        </w:rPr>
        <w:t xml:space="preserve"> (tzn. o 3,9 %). </w:t>
      </w:r>
      <w:r w:rsidRPr="00AE7317">
        <w:rPr>
          <w:rFonts w:ascii="Calibri" w:hAnsi="Calibri"/>
          <w:b/>
          <w:bCs/>
          <w:sz w:val="26"/>
          <w:szCs w:val="26"/>
        </w:rPr>
        <w:t>Přesto však absolutní úroveň průměrného výdělku</w:t>
      </w:r>
      <w:r w:rsidRPr="00AE7317">
        <w:rPr>
          <w:rFonts w:ascii="Calibri" w:hAnsi="Calibri"/>
          <w:bCs/>
          <w:sz w:val="26"/>
          <w:szCs w:val="26"/>
        </w:rPr>
        <w:t xml:space="preserve"> státních zaměstnanců </w:t>
      </w:r>
      <w:r w:rsidRPr="00AE7317">
        <w:rPr>
          <w:rFonts w:ascii="Calibri" w:hAnsi="Calibri"/>
          <w:b/>
          <w:bCs/>
          <w:sz w:val="26"/>
          <w:szCs w:val="26"/>
        </w:rPr>
        <w:t>patřila stále k těm nejvyšším</w:t>
      </w:r>
      <w:r w:rsidRPr="00AE7317">
        <w:rPr>
          <w:rFonts w:ascii="Calibri" w:hAnsi="Calibri"/>
          <w:bCs/>
          <w:sz w:val="26"/>
          <w:szCs w:val="26"/>
        </w:rPr>
        <w:t xml:space="preserve"> z celé oblasti veřejné služby a správy – podrobně viz tabulku č. 4 v příloze.</w:t>
      </w:r>
    </w:p>
    <w:p w:rsidR="004F7E1B" w:rsidRPr="00AE7317" w:rsidRDefault="004F7E1B" w:rsidP="0051310A">
      <w:pPr>
        <w:spacing w:after="6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</w:r>
      <w:r w:rsidRPr="00AE7317">
        <w:rPr>
          <w:rFonts w:ascii="Calibri" w:hAnsi="Calibri"/>
          <w:b/>
          <w:bCs/>
          <w:sz w:val="26"/>
          <w:szCs w:val="26"/>
        </w:rPr>
        <w:t xml:space="preserve">Na nárůst </w:t>
      </w:r>
      <w:r w:rsidRPr="00AE7317">
        <w:rPr>
          <w:rFonts w:ascii="Calibri" w:hAnsi="Calibri"/>
          <w:bCs/>
          <w:sz w:val="26"/>
          <w:szCs w:val="26"/>
        </w:rPr>
        <w:t>průměrné mzdy</w:t>
      </w:r>
      <w:r w:rsidRPr="00AE7317">
        <w:rPr>
          <w:rFonts w:ascii="Calibri" w:hAnsi="Calibri"/>
          <w:b/>
          <w:bCs/>
          <w:sz w:val="26"/>
          <w:szCs w:val="26"/>
        </w:rPr>
        <w:t xml:space="preserve"> v soukromé sféře </w:t>
      </w:r>
      <w:r w:rsidRPr="00AE7317">
        <w:rPr>
          <w:rFonts w:ascii="Calibri" w:hAnsi="Calibri"/>
          <w:bCs/>
          <w:sz w:val="26"/>
          <w:szCs w:val="26"/>
        </w:rPr>
        <w:t>působily v 1. </w:t>
      </w:r>
      <w:r w:rsidRPr="00AE7317">
        <w:rPr>
          <w:rFonts w:ascii="Calibri" w:hAnsi="Calibri"/>
          <w:bCs/>
          <w:sz w:val="26"/>
          <w:szCs w:val="26"/>
        </w:rPr>
        <w:noBreakHyphen/>
        <w:t> 3. čtvrtletí 2019 především</w:t>
      </w:r>
      <w:r w:rsidRPr="00AE7317">
        <w:rPr>
          <w:rFonts w:ascii="Calibri" w:hAnsi="Calibri"/>
          <w:b/>
          <w:bCs/>
          <w:sz w:val="26"/>
          <w:szCs w:val="26"/>
        </w:rPr>
        <w:t xml:space="preserve"> tyto </w:t>
      </w:r>
      <w:r w:rsidRPr="00AE7317">
        <w:rPr>
          <w:rFonts w:ascii="Calibri" w:hAnsi="Calibri"/>
          <w:bCs/>
          <w:sz w:val="26"/>
          <w:szCs w:val="26"/>
        </w:rPr>
        <w:t>základní</w:t>
      </w:r>
      <w:r w:rsidRPr="00AE7317">
        <w:rPr>
          <w:rFonts w:ascii="Calibri" w:hAnsi="Calibri"/>
          <w:b/>
          <w:bCs/>
          <w:sz w:val="26"/>
          <w:szCs w:val="26"/>
        </w:rPr>
        <w:t xml:space="preserve"> faktory:</w:t>
      </w:r>
    </w:p>
    <w:p w:rsidR="004F7E1B" w:rsidRPr="00AE7317" w:rsidRDefault="004F7E1B" w:rsidP="0051310A">
      <w:pPr>
        <w:numPr>
          <w:ilvl w:val="0"/>
          <w:numId w:val="27"/>
        </w:numPr>
        <w:spacing w:after="60" w:line="360" w:lineRule="auto"/>
        <w:ind w:left="714" w:hanging="357"/>
        <w:jc w:val="both"/>
        <w:rPr>
          <w:rFonts w:ascii="Calibri" w:hAnsi="Calibri"/>
          <w:sz w:val="26"/>
          <w:szCs w:val="26"/>
        </w:rPr>
      </w:pPr>
      <w:r w:rsidRPr="00AE7317">
        <w:rPr>
          <w:rFonts w:ascii="Calibri" w:hAnsi="Calibri"/>
          <w:b/>
          <w:bCs/>
          <w:sz w:val="26"/>
          <w:szCs w:val="26"/>
        </w:rPr>
        <w:t>nepolevující poptávka po</w:t>
      </w:r>
      <w:r w:rsidRPr="00AE7317">
        <w:rPr>
          <w:rFonts w:ascii="Calibri" w:hAnsi="Calibri"/>
          <w:bCs/>
          <w:sz w:val="26"/>
          <w:szCs w:val="26"/>
        </w:rPr>
        <w:t xml:space="preserve"> dostupné </w:t>
      </w:r>
      <w:r w:rsidRPr="00AE7317">
        <w:rPr>
          <w:rFonts w:ascii="Calibri" w:hAnsi="Calibri"/>
          <w:b/>
          <w:bCs/>
          <w:sz w:val="26"/>
          <w:szCs w:val="26"/>
        </w:rPr>
        <w:t>pracovní síle</w:t>
      </w:r>
      <w:r w:rsidRPr="00AE7317">
        <w:rPr>
          <w:rFonts w:ascii="Calibri" w:hAnsi="Calibri"/>
          <w:bCs/>
          <w:sz w:val="26"/>
          <w:szCs w:val="26"/>
        </w:rPr>
        <w:t xml:space="preserve"> a stále silná </w:t>
      </w:r>
      <w:r w:rsidRPr="00AE7317">
        <w:rPr>
          <w:rFonts w:ascii="Calibri" w:hAnsi="Calibri"/>
          <w:b/>
          <w:bCs/>
          <w:sz w:val="26"/>
          <w:szCs w:val="26"/>
        </w:rPr>
        <w:t>mzdová konkurence mezi zaměstnavateli</w:t>
      </w:r>
      <w:r w:rsidRPr="00AE7317">
        <w:rPr>
          <w:rFonts w:ascii="Calibri" w:hAnsi="Calibri"/>
          <w:bCs/>
          <w:sz w:val="26"/>
          <w:szCs w:val="26"/>
        </w:rPr>
        <w:t>,</w:t>
      </w:r>
    </w:p>
    <w:p w:rsidR="004F7E1B" w:rsidRPr="00AE7317" w:rsidRDefault="004F7E1B" w:rsidP="0051310A">
      <w:pPr>
        <w:numPr>
          <w:ilvl w:val="0"/>
          <w:numId w:val="27"/>
        </w:numPr>
        <w:spacing w:after="60" w:line="360" w:lineRule="auto"/>
        <w:jc w:val="both"/>
        <w:rPr>
          <w:rFonts w:ascii="Calibri" w:hAnsi="Calibri"/>
          <w:sz w:val="26"/>
          <w:szCs w:val="26"/>
        </w:rPr>
      </w:pPr>
      <w:r w:rsidRPr="00AE7317">
        <w:rPr>
          <w:rFonts w:ascii="Calibri" w:hAnsi="Calibri"/>
          <w:sz w:val="26"/>
          <w:szCs w:val="26"/>
        </w:rPr>
        <w:t>příznivý vývoj ekonomiky, zejména v průmyslu (dostatečné množství zakázek, apod.),</w:t>
      </w:r>
    </w:p>
    <w:p w:rsidR="004F7E1B" w:rsidRPr="00AE7317" w:rsidRDefault="004F7E1B" w:rsidP="00AE7317">
      <w:pPr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sz w:val="26"/>
          <w:szCs w:val="26"/>
        </w:rPr>
        <w:t>pokračující nárůst zaměstnanosti a další pokles nezaměstnanosti; podíl nezaměstnaných osob</w:t>
      </w:r>
      <w:r w:rsidRPr="00AE7317">
        <w:rPr>
          <w:rFonts w:ascii="Calibri" w:hAnsi="Calibri"/>
          <w:b/>
          <w:bCs/>
          <w:sz w:val="26"/>
          <w:szCs w:val="26"/>
        </w:rPr>
        <w:t xml:space="preserve"> činil 2,7 % k 30. září 2019 </w:t>
      </w:r>
      <w:r w:rsidRPr="00AE7317">
        <w:rPr>
          <w:rFonts w:ascii="Calibri" w:hAnsi="Calibri"/>
          <w:bCs/>
          <w:sz w:val="26"/>
          <w:szCs w:val="26"/>
        </w:rPr>
        <w:t>(k 30. září 2018 byl o 0,3 p. b. vyšší, tj. 3,0 %).</w:t>
      </w:r>
    </w:p>
    <w:p w:rsidR="004F7E1B" w:rsidRPr="00AE7317" w:rsidRDefault="004F7E1B" w:rsidP="0051310A">
      <w:pPr>
        <w:spacing w:before="240"/>
        <w:ind w:left="709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 xml:space="preserve">Z údajů o </w:t>
      </w:r>
      <w:r w:rsidRPr="00AE7317">
        <w:rPr>
          <w:rFonts w:ascii="Calibri" w:hAnsi="Calibri"/>
          <w:b/>
          <w:bCs/>
          <w:sz w:val="26"/>
          <w:szCs w:val="26"/>
        </w:rPr>
        <w:t>průměrném evidenčním počtu zaměstnanců</w:t>
      </w:r>
      <w:r w:rsidRPr="00AE7317">
        <w:rPr>
          <w:rFonts w:ascii="Calibri" w:hAnsi="Calibri"/>
          <w:bCs/>
          <w:sz w:val="26"/>
          <w:szCs w:val="26"/>
        </w:rPr>
        <w:t xml:space="preserve"> na přepočtené počty (dle Podnikové statistiky o mzdách a zaměstnancích, jedná se o druhý nejvýznamnější zdroj dat, který se však liší od Výběrových šetření pracovních sil) </w:t>
      </w:r>
      <w:r w:rsidRPr="00AE7317">
        <w:rPr>
          <w:rFonts w:ascii="Calibri" w:hAnsi="Calibri"/>
          <w:bCs/>
          <w:iCs/>
          <w:sz w:val="26"/>
          <w:szCs w:val="26"/>
        </w:rPr>
        <w:t>byl rovněž zaznamenán nárůst zaměstnanců, a to celkem o 19,4 tis. V detailnějším odvětvovém členění však byly patrné rozdíly ve vývoji počtu zaměstnanců. Největší a nejvýznamnější nárůst zaměstnanců byl vykázán v odvětví „velkoobchod a maloobchod; opravy a údržba motorových vozidel“ o 8,5 tis. (1,7 %), dále pak v odvětvích  „vzdělávání“ o 6,9 tis. a „zdravotní a sociální péče“ o 5,6 tis. Ke snížení počtu zaměstnanců došlo v sedmi odvětvích – nejvíce ve „zpracovatelském průmyslu“ o 8,2 tis. (0,7 %), „administrativní a podpůrné činnosti“ o 4,7 tis. a „peněžnictví a pojišťovnictví“ o 1,4 tis.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lastRenderedPageBreak/>
        <w:tab/>
      </w:r>
      <w:r w:rsidRPr="00AE7317">
        <w:rPr>
          <w:rFonts w:ascii="Calibri" w:hAnsi="Calibri"/>
          <w:bCs/>
          <w:iCs/>
          <w:sz w:val="26"/>
          <w:szCs w:val="26"/>
        </w:rPr>
        <w:t>Z hlediska odvětvového členění (podle Klasifikace ekonomických činností CZ</w:t>
      </w:r>
      <w:r w:rsidRPr="00AE7317">
        <w:rPr>
          <w:rFonts w:ascii="Calibri" w:hAnsi="Calibri"/>
          <w:bCs/>
          <w:iCs/>
          <w:sz w:val="26"/>
          <w:szCs w:val="26"/>
        </w:rPr>
        <w:noBreakHyphen/>
        <w:t xml:space="preserve">NACE – viz tabulku č. 5 v příloze) </w:t>
      </w:r>
      <w:r w:rsidRPr="00AE7317">
        <w:rPr>
          <w:rFonts w:ascii="Calibri" w:hAnsi="Calibri"/>
          <w:b/>
          <w:bCs/>
          <w:iCs/>
          <w:sz w:val="26"/>
          <w:szCs w:val="26"/>
        </w:rPr>
        <w:t>dosáhla v 1. </w:t>
      </w:r>
      <w:r w:rsidRPr="00AE7317">
        <w:rPr>
          <w:rFonts w:ascii="Calibri" w:hAnsi="Calibri"/>
          <w:b/>
          <w:bCs/>
          <w:iCs/>
          <w:sz w:val="26"/>
          <w:szCs w:val="26"/>
        </w:rPr>
        <w:noBreakHyphen/>
        <w:t xml:space="preserve"> 3. čtvrtletí 2019 nejvyšší nominální průměrné mzdy </w:t>
      </w:r>
      <w:r w:rsidRPr="00AE7317">
        <w:rPr>
          <w:rFonts w:ascii="Calibri" w:hAnsi="Calibri"/>
          <w:bCs/>
          <w:iCs/>
          <w:sz w:val="26"/>
          <w:szCs w:val="26"/>
        </w:rPr>
        <w:t xml:space="preserve">tradičně </w:t>
      </w:r>
      <w:r w:rsidRPr="00AE7317">
        <w:rPr>
          <w:rFonts w:ascii="Calibri" w:hAnsi="Calibri"/>
          <w:b/>
          <w:bCs/>
          <w:iCs/>
          <w:sz w:val="26"/>
          <w:szCs w:val="26"/>
        </w:rPr>
        <w:t>odvětví „peněžnictví a pojišťovnictví“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(59 814 Kč), </w:t>
      </w:r>
      <w:r w:rsidRPr="00AE7317">
        <w:rPr>
          <w:rFonts w:ascii="Calibri" w:hAnsi="Calibri"/>
          <w:b/>
          <w:bCs/>
          <w:iCs/>
          <w:sz w:val="26"/>
          <w:szCs w:val="26"/>
        </w:rPr>
        <w:t xml:space="preserve">odvětví „informační a komunikační činnosti“ </w:t>
      </w:r>
      <w:r w:rsidRPr="00AE7317">
        <w:rPr>
          <w:rFonts w:ascii="Calibri" w:hAnsi="Calibri"/>
          <w:bCs/>
          <w:iCs/>
          <w:sz w:val="26"/>
          <w:szCs w:val="26"/>
        </w:rPr>
        <w:t xml:space="preserve">(58 400 Kč) a </w:t>
      </w:r>
      <w:r w:rsidRPr="00AE7317">
        <w:rPr>
          <w:rFonts w:ascii="Calibri" w:hAnsi="Calibri"/>
          <w:b/>
          <w:bCs/>
          <w:iCs/>
          <w:sz w:val="26"/>
          <w:szCs w:val="26"/>
        </w:rPr>
        <w:t>odvětví „výroba a rozvod elektřiny, plynu, tepla a klimatizovaného vzduchu“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(48 248 Kč). Celorepublikový průměr (33 429 Kč) byl překročen rovněž v odvětvích „profesní, vědecké a technické činnosti“ (40 206 Kč), „veřejná správa a obrana; povinné sociální zabezpečení“ (37 652 Kč), „těžba a dobývání“ (36 328 Kč) a „zdravotní a sociální péče“ (35 702 Kč). </w:t>
      </w:r>
      <w:r w:rsidRPr="00AE7317">
        <w:rPr>
          <w:rFonts w:ascii="Calibri" w:hAnsi="Calibri"/>
          <w:b/>
          <w:bCs/>
          <w:iCs/>
          <w:sz w:val="26"/>
          <w:szCs w:val="26"/>
        </w:rPr>
        <w:t>Nejnižší průměrná mzda byla v odvětvích „ubytování, stravování a pohostinství“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(19 745 Kč), </w:t>
      </w:r>
      <w:r w:rsidRPr="00AE7317">
        <w:rPr>
          <w:rFonts w:ascii="Calibri" w:hAnsi="Calibri"/>
          <w:b/>
          <w:bCs/>
          <w:iCs/>
          <w:sz w:val="26"/>
          <w:szCs w:val="26"/>
        </w:rPr>
        <w:t>„administrativní a podpůrné činnosti“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(22 286 Kč) a </w:t>
      </w:r>
      <w:r w:rsidRPr="00AE7317">
        <w:rPr>
          <w:rFonts w:ascii="Calibri" w:hAnsi="Calibri"/>
          <w:b/>
          <w:bCs/>
          <w:iCs/>
          <w:sz w:val="26"/>
          <w:szCs w:val="26"/>
        </w:rPr>
        <w:t>„ostatní činnosti“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(24 738 Kč).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AE7317">
        <w:rPr>
          <w:rFonts w:ascii="Calibri" w:hAnsi="Calibri"/>
          <w:b/>
          <w:bCs/>
          <w:iCs/>
          <w:sz w:val="26"/>
          <w:szCs w:val="26"/>
        </w:rPr>
        <w:tab/>
        <w:t>Dynamika vývoje mezd v jednotlivých odvětvích byla diferencovaná</w:t>
      </w:r>
      <w:r w:rsidRPr="00AE7317">
        <w:rPr>
          <w:rFonts w:ascii="Calibri" w:hAnsi="Calibri"/>
          <w:bCs/>
          <w:iCs/>
          <w:sz w:val="26"/>
          <w:szCs w:val="26"/>
        </w:rPr>
        <w:t xml:space="preserve">, a to nominálně od 5,4 % do 10,8 %. </w:t>
      </w:r>
      <w:r w:rsidRPr="00AE7317">
        <w:rPr>
          <w:rFonts w:ascii="Calibri" w:hAnsi="Calibri"/>
          <w:b/>
          <w:bCs/>
          <w:iCs/>
          <w:sz w:val="26"/>
          <w:szCs w:val="26"/>
        </w:rPr>
        <w:t>Největší meziroční nárůst</w:t>
      </w:r>
      <w:r w:rsidRPr="00AE7317">
        <w:rPr>
          <w:rFonts w:ascii="Calibri" w:hAnsi="Calibri"/>
          <w:bCs/>
          <w:iCs/>
          <w:sz w:val="26"/>
          <w:szCs w:val="26"/>
        </w:rPr>
        <w:t xml:space="preserve"> byl zaznamenán v odvětvích </w:t>
      </w:r>
      <w:r w:rsidRPr="00AE7317">
        <w:rPr>
          <w:rFonts w:ascii="Calibri" w:hAnsi="Calibri"/>
          <w:b/>
          <w:bCs/>
          <w:iCs/>
          <w:sz w:val="26"/>
          <w:szCs w:val="26"/>
        </w:rPr>
        <w:t>„vzdělávání“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10,8 %), </w:t>
      </w:r>
      <w:r w:rsidRPr="00AE7317">
        <w:rPr>
          <w:rFonts w:ascii="Calibri" w:hAnsi="Calibri"/>
          <w:b/>
          <w:bCs/>
          <w:iCs/>
          <w:sz w:val="26"/>
          <w:szCs w:val="26"/>
        </w:rPr>
        <w:t>„kulturní, zábavní a rekreační činnosti“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10,7 %) a </w:t>
      </w:r>
      <w:r w:rsidRPr="00AE7317">
        <w:rPr>
          <w:rFonts w:ascii="Calibri" w:hAnsi="Calibri"/>
          <w:b/>
          <w:bCs/>
          <w:iCs/>
          <w:sz w:val="26"/>
          <w:szCs w:val="26"/>
        </w:rPr>
        <w:t>„zdravotní a sociální péče“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8,5 %). Naopak </w:t>
      </w:r>
      <w:r w:rsidRPr="00AE7317">
        <w:rPr>
          <w:rFonts w:ascii="Calibri" w:hAnsi="Calibri"/>
          <w:b/>
          <w:bCs/>
          <w:iCs/>
          <w:sz w:val="26"/>
          <w:szCs w:val="26"/>
        </w:rPr>
        <w:t>nejnižší meziroční nárůst</w:t>
      </w:r>
      <w:r w:rsidRPr="00AE7317">
        <w:rPr>
          <w:rFonts w:ascii="Calibri" w:hAnsi="Calibri"/>
          <w:bCs/>
          <w:iCs/>
          <w:sz w:val="26"/>
          <w:szCs w:val="26"/>
        </w:rPr>
        <w:t xml:space="preserve"> průměrné mzdy byl v odvětvích </w:t>
      </w:r>
      <w:r w:rsidRPr="00AE7317">
        <w:rPr>
          <w:rFonts w:ascii="Calibri" w:hAnsi="Calibri"/>
          <w:b/>
          <w:bCs/>
          <w:iCs/>
          <w:sz w:val="26"/>
          <w:szCs w:val="26"/>
        </w:rPr>
        <w:t>„těžba a dobývání“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5,4 %), </w:t>
      </w:r>
      <w:r w:rsidRPr="00AE7317">
        <w:rPr>
          <w:rFonts w:ascii="Calibri" w:hAnsi="Calibri"/>
          <w:b/>
          <w:bCs/>
          <w:iCs/>
          <w:sz w:val="26"/>
          <w:szCs w:val="26"/>
        </w:rPr>
        <w:t>„informační a komunikační činnosti“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5,5 %) a </w:t>
      </w:r>
      <w:r w:rsidRPr="00AE7317">
        <w:rPr>
          <w:rFonts w:ascii="Calibri" w:hAnsi="Calibri"/>
          <w:b/>
          <w:bCs/>
          <w:iCs/>
          <w:sz w:val="26"/>
          <w:szCs w:val="26"/>
        </w:rPr>
        <w:t>„profesní, vědecké a technické činnosti“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5,6 %). Ve všech odvětvích došlo k posílení kupní síly průměrné mzdy, a to až o 7,8 %.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</w:r>
      <w:r w:rsidRPr="00AE7317">
        <w:rPr>
          <w:rFonts w:ascii="Calibri" w:hAnsi="Calibri"/>
          <w:b/>
          <w:bCs/>
          <w:sz w:val="26"/>
          <w:szCs w:val="26"/>
        </w:rPr>
        <w:t>Meziodvětvová mzdová diferenciace</w:t>
      </w:r>
      <w:r w:rsidRPr="00AE7317">
        <w:rPr>
          <w:rFonts w:ascii="Calibri" w:hAnsi="Calibri"/>
          <w:bCs/>
          <w:sz w:val="26"/>
          <w:szCs w:val="26"/>
        </w:rPr>
        <w:t xml:space="preserve"> se proti stejnému období předchozího roku </w:t>
      </w:r>
      <w:r w:rsidRPr="00AE7317">
        <w:rPr>
          <w:rFonts w:ascii="Calibri" w:hAnsi="Calibri"/>
          <w:b/>
          <w:bCs/>
          <w:sz w:val="26"/>
          <w:szCs w:val="26"/>
        </w:rPr>
        <w:t>snížila;</w:t>
      </w:r>
      <w:r w:rsidRPr="00AE7317">
        <w:rPr>
          <w:rFonts w:ascii="Calibri" w:hAnsi="Calibri"/>
          <w:bCs/>
          <w:sz w:val="26"/>
          <w:szCs w:val="26"/>
        </w:rPr>
        <w:t xml:space="preserve"> variační koeficient průměrných mezd (podle sekcí CZ-NACE) poklesl o 0,3 p. b. na 30,5 %.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</w:r>
      <w:r w:rsidRPr="00AE7317">
        <w:rPr>
          <w:rFonts w:ascii="Calibri" w:hAnsi="Calibri"/>
          <w:b/>
          <w:bCs/>
          <w:sz w:val="26"/>
          <w:szCs w:val="26"/>
        </w:rPr>
        <w:t xml:space="preserve">Výše průměrné nominální mzdy se </w:t>
      </w:r>
      <w:r w:rsidRPr="00AE7317">
        <w:rPr>
          <w:rFonts w:ascii="Calibri" w:hAnsi="Calibri"/>
          <w:bCs/>
          <w:sz w:val="26"/>
          <w:szCs w:val="26"/>
        </w:rPr>
        <w:t>výrazně</w:t>
      </w:r>
      <w:r w:rsidRPr="00AE7317">
        <w:rPr>
          <w:rFonts w:ascii="Calibri" w:hAnsi="Calibri"/>
          <w:b/>
          <w:bCs/>
          <w:sz w:val="26"/>
          <w:szCs w:val="26"/>
        </w:rPr>
        <w:t xml:space="preserve"> lišila i podle velikosti zpravodajské jednotky, tj. čím větší byl počet zaměstnanců, tím vyšší byla průměrná mzda. V malých podnicích do 19 zaměstnanců</w:t>
      </w:r>
      <w:r w:rsidRPr="00AE7317">
        <w:rPr>
          <w:rFonts w:ascii="Calibri" w:hAnsi="Calibri"/>
          <w:bCs/>
          <w:sz w:val="26"/>
          <w:szCs w:val="26"/>
        </w:rPr>
        <w:t xml:space="preserve"> (velikostní kategorii s druhým nejvyšším počtem zaměstnanců – cca 837 tis.) byla s úrovní </w:t>
      </w:r>
      <w:r w:rsidRPr="00AE7317">
        <w:rPr>
          <w:rFonts w:ascii="Calibri" w:hAnsi="Calibri"/>
          <w:b/>
          <w:bCs/>
          <w:sz w:val="26"/>
          <w:szCs w:val="26"/>
        </w:rPr>
        <w:t>24 557 Kč nejnižší</w:t>
      </w:r>
      <w:r w:rsidRPr="00AE7317">
        <w:rPr>
          <w:rFonts w:ascii="Calibri" w:hAnsi="Calibri"/>
          <w:bCs/>
          <w:sz w:val="26"/>
          <w:szCs w:val="26"/>
        </w:rPr>
        <w:t xml:space="preserve"> (cca 74 % průměrné mzdy v národním hospodářství). Naopak </w:t>
      </w:r>
      <w:r w:rsidRPr="00AE7317">
        <w:rPr>
          <w:rFonts w:ascii="Calibri" w:hAnsi="Calibri"/>
          <w:b/>
          <w:bCs/>
          <w:sz w:val="26"/>
          <w:szCs w:val="26"/>
        </w:rPr>
        <w:t>nejvyšší průměrná mzda</w:t>
      </w:r>
      <w:r w:rsidRPr="00AE7317">
        <w:rPr>
          <w:rFonts w:ascii="Calibri" w:hAnsi="Calibri"/>
          <w:bCs/>
          <w:sz w:val="26"/>
          <w:szCs w:val="26"/>
        </w:rPr>
        <w:t xml:space="preserve"> </w:t>
      </w:r>
      <w:r w:rsidRPr="00AE7317">
        <w:rPr>
          <w:rFonts w:ascii="Calibri" w:hAnsi="Calibri"/>
          <w:b/>
          <w:bCs/>
          <w:sz w:val="26"/>
          <w:szCs w:val="26"/>
        </w:rPr>
        <w:t>40 491 Kč</w:t>
      </w:r>
      <w:r w:rsidRPr="00AE7317">
        <w:rPr>
          <w:rFonts w:ascii="Calibri" w:hAnsi="Calibri"/>
          <w:bCs/>
          <w:sz w:val="26"/>
          <w:szCs w:val="26"/>
        </w:rPr>
        <w:t xml:space="preserve"> (více než 121 % průměru) byla vyplacena </w:t>
      </w:r>
      <w:r w:rsidRPr="00AE7317">
        <w:rPr>
          <w:rFonts w:ascii="Calibri" w:hAnsi="Calibri"/>
          <w:b/>
          <w:bCs/>
          <w:sz w:val="26"/>
          <w:szCs w:val="26"/>
        </w:rPr>
        <w:t xml:space="preserve">v organizacích </w:t>
      </w:r>
      <w:r w:rsidRPr="00AE7317">
        <w:rPr>
          <w:rFonts w:ascii="Calibri" w:hAnsi="Calibri"/>
          <w:b/>
          <w:bCs/>
          <w:sz w:val="26"/>
          <w:szCs w:val="26"/>
        </w:rPr>
        <w:lastRenderedPageBreak/>
        <w:t>s 1 000 a více zaměstnanci.</w:t>
      </w:r>
      <w:r w:rsidRPr="00AE7317">
        <w:rPr>
          <w:rFonts w:ascii="Calibri" w:hAnsi="Calibri"/>
          <w:bCs/>
          <w:sz w:val="26"/>
          <w:szCs w:val="26"/>
        </w:rPr>
        <w:t xml:space="preserve"> Nejvyšší relativní zvýšení průměrné mzdy bylo zaznamenáno v nejmenších podnicích, nejnižší zvýšení v organizacích se 100 – 249 zaměstnanci. </w:t>
      </w:r>
      <w:r w:rsidRPr="00AE7317">
        <w:rPr>
          <w:rFonts w:ascii="Calibri" w:hAnsi="Calibri"/>
          <w:b/>
          <w:bCs/>
          <w:sz w:val="26"/>
          <w:szCs w:val="26"/>
        </w:rPr>
        <w:t>K posílení reálné průměrné mzdy došlo ve všech sledovaných velikostních kategorií ekonomických subjektů.</w:t>
      </w:r>
      <w:r w:rsidRPr="00AE7317">
        <w:rPr>
          <w:rFonts w:ascii="Calibri" w:hAnsi="Calibri"/>
          <w:bCs/>
          <w:sz w:val="26"/>
          <w:szCs w:val="26"/>
        </w:rPr>
        <w:t xml:space="preserve"> Pokles počtu zaměstnanců byl zaznamenán v organizacích s 20 – 49 a s 500 – 999 zaměstnanci, ve kterých se snížila zaměstnanost o 20,4 tis., resp. o 2,7 tis.; nejvyšší nárůst o 19,9 tis. byl zaznamenán rovněž v nejmenších podnicích do 19 zaměstnanců – podrobněji viz tabulku č. 6 v příloze.</w:t>
      </w:r>
    </w:p>
    <w:p w:rsidR="004F7E1B" w:rsidRPr="00AE7317" w:rsidRDefault="004F7E1B" w:rsidP="004F7E1B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AE7317">
        <w:rPr>
          <w:rFonts w:ascii="Calibri" w:hAnsi="Calibri"/>
          <w:bCs/>
          <w:sz w:val="26"/>
          <w:szCs w:val="26"/>
        </w:rPr>
        <w:tab/>
      </w:r>
      <w:r w:rsidRPr="00AE7317">
        <w:rPr>
          <w:rFonts w:ascii="Calibri" w:hAnsi="Calibri"/>
          <w:b/>
          <w:bCs/>
          <w:sz w:val="26"/>
          <w:szCs w:val="26"/>
        </w:rPr>
        <w:t xml:space="preserve">V krajském členění </w:t>
      </w:r>
      <w:r w:rsidRPr="00AE7317">
        <w:rPr>
          <w:rFonts w:ascii="Calibri" w:hAnsi="Calibri"/>
          <w:bCs/>
          <w:sz w:val="26"/>
          <w:szCs w:val="26"/>
        </w:rPr>
        <w:t xml:space="preserve">došlo k meziročnímu </w:t>
      </w:r>
      <w:r w:rsidRPr="00AE7317">
        <w:rPr>
          <w:rFonts w:ascii="Calibri" w:hAnsi="Calibri"/>
          <w:b/>
          <w:bCs/>
          <w:sz w:val="26"/>
          <w:szCs w:val="26"/>
        </w:rPr>
        <w:t xml:space="preserve">nominálnímu i reálnému růstu průměrné mzdy ve všech 14 krajích. </w:t>
      </w:r>
      <w:r w:rsidRPr="00AE7317">
        <w:rPr>
          <w:rFonts w:ascii="Calibri" w:hAnsi="Calibri"/>
          <w:bCs/>
          <w:sz w:val="26"/>
          <w:szCs w:val="26"/>
        </w:rPr>
        <w:t xml:space="preserve">Dlouhodobě </w:t>
      </w:r>
      <w:r w:rsidRPr="00AE7317">
        <w:rPr>
          <w:rFonts w:ascii="Calibri" w:hAnsi="Calibri"/>
          <w:b/>
          <w:bCs/>
          <w:sz w:val="26"/>
          <w:szCs w:val="26"/>
        </w:rPr>
        <w:t>nejvyšší úroveň průměrné mzdy vykazuje hl. m. Praha</w:t>
      </w:r>
      <w:r w:rsidRPr="00AE7317">
        <w:rPr>
          <w:rFonts w:ascii="Calibri" w:hAnsi="Calibri"/>
          <w:bCs/>
          <w:sz w:val="26"/>
          <w:szCs w:val="26"/>
        </w:rPr>
        <w:t xml:space="preserve">, ve sledovaném období dosáhla její výše </w:t>
      </w:r>
      <w:r w:rsidRPr="00AE7317">
        <w:rPr>
          <w:rFonts w:ascii="Calibri" w:hAnsi="Calibri"/>
          <w:b/>
          <w:bCs/>
          <w:sz w:val="26"/>
          <w:szCs w:val="26"/>
        </w:rPr>
        <w:t>41 891 Kč </w:t>
      </w:r>
      <w:r w:rsidRPr="00AE7317">
        <w:rPr>
          <w:rFonts w:ascii="Calibri" w:hAnsi="Calibri"/>
          <w:bCs/>
          <w:sz w:val="26"/>
          <w:szCs w:val="26"/>
        </w:rPr>
        <w:t xml:space="preserve">– tj. cca 125 % celorepublikového průměru. </w:t>
      </w:r>
      <w:r w:rsidRPr="00AE7317">
        <w:rPr>
          <w:rFonts w:ascii="Calibri" w:hAnsi="Calibri"/>
          <w:b/>
          <w:bCs/>
          <w:sz w:val="26"/>
          <w:szCs w:val="26"/>
        </w:rPr>
        <w:t>Nejvýznamnější relativní vzestup</w:t>
      </w:r>
      <w:r w:rsidRPr="00AE7317">
        <w:rPr>
          <w:rFonts w:ascii="Calibri" w:hAnsi="Calibri"/>
          <w:bCs/>
          <w:sz w:val="26"/>
          <w:szCs w:val="26"/>
        </w:rPr>
        <w:t xml:space="preserve"> průměrné nominální mzdy vykázaly</w:t>
      </w:r>
      <w:r w:rsidRPr="00AE7317">
        <w:rPr>
          <w:rFonts w:ascii="Calibri" w:hAnsi="Calibri"/>
          <w:b/>
          <w:bCs/>
          <w:sz w:val="26"/>
          <w:szCs w:val="26"/>
        </w:rPr>
        <w:t xml:space="preserve"> </w:t>
      </w:r>
      <w:r w:rsidRPr="00AE7317">
        <w:rPr>
          <w:rFonts w:ascii="Calibri" w:hAnsi="Calibri"/>
          <w:b/>
          <w:bCs/>
          <w:iCs/>
          <w:sz w:val="26"/>
          <w:szCs w:val="26"/>
        </w:rPr>
        <w:t>Královéhradecký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7,9 %),</w:t>
      </w:r>
      <w:r w:rsidRPr="00AE7317">
        <w:rPr>
          <w:rFonts w:ascii="Calibri" w:hAnsi="Calibri"/>
          <w:b/>
          <w:bCs/>
          <w:iCs/>
          <w:sz w:val="26"/>
          <w:szCs w:val="26"/>
        </w:rPr>
        <w:t xml:space="preserve"> Středočeský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7,7 %), </w:t>
      </w:r>
      <w:r w:rsidRPr="00AE7317">
        <w:rPr>
          <w:rFonts w:ascii="Calibri" w:hAnsi="Calibri"/>
          <w:b/>
          <w:bCs/>
          <w:iCs/>
          <w:sz w:val="26"/>
          <w:szCs w:val="26"/>
        </w:rPr>
        <w:t>Olomoucký a Moravskoslezský kraj</w:t>
      </w:r>
      <w:r w:rsidRPr="00AE7317">
        <w:rPr>
          <w:rFonts w:ascii="Calibri" w:hAnsi="Calibri"/>
          <w:bCs/>
          <w:iCs/>
          <w:sz w:val="26"/>
          <w:szCs w:val="26"/>
        </w:rPr>
        <w:t xml:space="preserve"> (oba shodně o 7,5 %)</w:t>
      </w:r>
      <w:r w:rsidRPr="00AE7317">
        <w:rPr>
          <w:rFonts w:ascii="Calibri" w:hAnsi="Calibri"/>
          <w:bCs/>
          <w:sz w:val="26"/>
          <w:szCs w:val="26"/>
        </w:rPr>
        <w:t xml:space="preserve">; naopak </w:t>
      </w:r>
      <w:r w:rsidRPr="00AE7317">
        <w:rPr>
          <w:rFonts w:ascii="Calibri" w:hAnsi="Calibri"/>
          <w:b/>
          <w:bCs/>
          <w:sz w:val="26"/>
          <w:szCs w:val="26"/>
        </w:rPr>
        <w:t>nejnižší nárůst</w:t>
      </w:r>
      <w:r w:rsidRPr="00AE7317">
        <w:rPr>
          <w:rFonts w:ascii="Calibri" w:hAnsi="Calibri"/>
          <w:bCs/>
          <w:sz w:val="26"/>
          <w:szCs w:val="26"/>
        </w:rPr>
        <w:t xml:space="preserve"> byl zaznamenán v </w:t>
      </w:r>
      <w:r w:rsidRPr="00AE7317">
        <w:rPr>
          <w:rFonts w:ascii="Calibri" w:hAnsi="Calibri"/>
          <w:b/>
          <w:bCs/>
          <w:sz w:val="26"/>
          <w:szCs w:val="26"/>
        </w:rPr>
        <w:t>hl. m. Praze </w:t>
      </w:r>
      <w:r w:rsidRPr="00AE7317">
        <w:rPr>
          <w:rFonts w:ascii="Calibri" w:hAnsi="Calibri"/>
          <w:bCs/>
          <w:sz w:val="26"/>
          <w:szCs w:val="26"/>
        </w:rPr>
        <w:t>(o 6,3 %),</w:t>
      </w:r>
      <w:r w:rsidRPr="00AE7317">
        <w:rPr>
          <w:rFonts w:cs="Arial"/>
          <w:b/>
          <w:bCs/>
          <w:iCs/>
          <w:szCs w:val="24"/>
        </w:rPr>
        <w:t xml:space="preserve"> </w:t>
      </w:r>
      <w:r w:rsidRPr="00AE7317">
        <w:rPr>
          <w:rFonts w:ascii="Calibri" w:hAnsi="Calibri"/>
          <w:b/>
          <w:bCs/>
          <w:iCs/>
          <w:sz w:val="26"/>
          <w:szCs w:val="26"/>
        </w:rPr>
        <w:t>v Kraji Vysočina</w:t>
      </w:r>
      <w:r w:rsidRPr="00AE7317">
        <w:rPr>
          <w:rFonts w:ascii="Calibri" w:hAnsi="Calibri"/>
          <w:bCs/>
          <w:iCs/>
          <w:sz w:val="26"/>
          <w:szCs w:val="26"/>
        </w:rPr>
        <w:t xml:space="preserve"> (o 6,4 %), </w:t>
      </w:r>
      <w:r w:rsidRPr="00AE7317">
        <w:rPr>
          <w:rFonts w:ascii="Calibri" w:hAnsi="Calibri"/>
          <w:b/>
          <w:bCs/>
          <w:iCs/>
          <w:sz w:val="26"/>
          <w:szCs w:val="26"/>
        </w:rPr>
        <w:t>v Plzeňském, Libereckém a Pardubickém kraji</w:t>
      </w:r>
      <w:r w:rsidRPr="00AE7317">
        <w:rPr>
          <w:rFonts w:ascii="Calibri" w:hAnsi="Calibri"/>
          <w:bCs/>
          <w:iCs/>
          <w:sz w:val="26"/>
          <w:szCs w:val="26"/>
        </w:rPr>
        <w:t xml:space="preserve"> (všechny shodně o 6,9 %)</w:t>
      </w:r>
      <w:r w:rsidRPr="00AE7317">
        <w:rPr>
          <w:rFonts w:ascii="Calibri" w:hAnsi="Calibri"/>
          <w:bCs/>
          <w:sz w:val="26"/>
          <w:szCs w:val="26"/>
        </w:rPr>
        <w:t xml:space="preserve"> </w:t>
      </w:r>
      <w:r w:rsidRPr="00AE7317">
        <w:rPr>
          <w:rFonts w:ascii="Calibri" w:hAnsi="Calibri"/>
          <w:bCs/>
          <w:iCs/>
          <w:sz w:val="26"/>
          <w:szCs w:val="26"/>
        </w:rPr>
        <w:t>–</w:t>
      </w:r>
      <w:r w:rsidRPr="00AE7317">
        <w:rPr>
          <w:rFonts w:ascii="Calibri" w:hAnsi="Calibri"/>
          <w:bCs/>
          <w:sz w:val="26"/>
          <w:szCs w:val="26"/>
        </w:rPr>
        <w:t xml:space="preserve"> viz tabulku č. 7 v příloze. </w:t>
      </w:r>
      <w:r w:rsidRPr="00AE7317">
        <w:rPr>
          <w:rFonts w:ascii="Calibri" w:hAnsi="Calibri"/>
          <w:b/>
          <w:bCs/>
          <w:sz w:val="26"/>
          <w:szCs w:val="26"/>
        </w:rPr>
        <w:t>Nejnižší absolutní úroveň průměrné mzdy 29 335 Kč byla v Karlovarském kraji.</w:t>
      </w:r>
      <w:r w:rsidRPr="00AE7317">
        <w:rPr>
          <w:rFonts w:ascii="Calibri" w:hAnsi="Calibri"/>
          <w:bCs/>
          <w:sz w:val="26"/>
          <w:szCs w:val="26"/>
        </w:rPr>
        <w:t xml:space="preserve"> Současně došlo k mírnému </w:t>
      </w:r>
      <w:r w:rsidRPr="00AE7317">
        <w:rPr>
          <w:rFonts w:ascii="Calibri" w:hAnsi="Calibri"/>
          <w:b/>
          <w:bCs/>
          <w:sz w:val="26"/>
          <w:szCs w:val="26"/>
        </w:rPr>
        <w:t>nárůstu diferenciace</w:t>
      </w:r>
      <w:r w:rsidRPr="00AE7317">
        <w:rPr>
          <w:rFonts w:ascii="Calibri" w:hAnsi="Calibri"/>
          <w:bCs/>
          <w:sz w:val="26"/>
          <w:szCs w:val="26"/>
        </w:rPr>
        <w:t>, tj. zvýšení extrémních mzdových hladin (hl. m. Praha x Karlovarský kraj) o 524 Kč na 12 556 Kč. Hodnota variačního koeficientu se naopak v tomto členění snížila z 10,0 % v 1. </w:t>
      </w:r>
      <w:r w:rsidRPr="00AE7317">
        <w:rPr>
          <w:rFonts w:ascii="Calibri" w:hAnsi="Calibri"/>
          <w:bCs/>
          <w:sz w:val="26"/>
          <w:szCs w:val="26"/>
        </w:rPr>
        <w:noBreakHyphen/>
        <w:t> 3. čtvrtletí 2018 na 9,8 % ve stejném období roku 2019.</w:t>
      </w:r>
    </w:p>
    <w:p w:rsidR="00D97A60" w:rsidRPr="00AE7317" w:rsidRDefault="00D97A60" w:rsidP="00D97A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D97A60" w:rsidRPr="00AE7317" w:rsidRDefault="00D97A60" w:rsidP="00D97A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D97A60" w:rsidRPr="00AE7317" w:rsidRDefault="00D97A60" w:rsidP="00B76496">
      <w:pPr>
        <w:spacing w:after="360" w:line="360" w:lineRule="auto"/>
        <w:jc w:val="both"/>
      </w:pPr>
      <w:r w:rsidRPr="00AE7317">
        <w:rPr>
          <w:rFonts w:asciiTheme="minorHAnsi" w:hAnsiTheme="minorHAnsi" w:cs="Arial"/>
          <w:sz w:val="26"/>
          <w:szCs w:val="26"/>
        </w:rPr>
        <w:tab/>
      </w:r>
      <w:r w:rsidRPr="00AE7317">
        <w:br w:type="page"/>
      </w:r>
    </w:p>
    <w:p w:rsidR="00687AA8" w:rsidRPr="00AE7317" w:rsidRDefault="00687AA8" w:rsidP="003A726A">
      <w:pPr>
        <w:spacing w:after="240"/>
        <w:rPr>
          <w:rFonts w:asciiTheme="minorHAnsi" w:hAnsiTheme="minorHAnsi" w:cs="Arial"/>
          <w:b/>
          <w:i/>
          <w:sz w:val="40"/>
          <w:szCs w:val="40"/>
        </w:rPr>
      </w:pPr>
      <w:r w:rsidRPr="00AE7317">
        <w:rPr>
          <w:rFonts w:asciiTheme="minorHAnsi" w:hAnsiTheme="minorHAnsi" w:cs="Arial"/>
          <w:b/>
          <w:i/>
          <w:sz w:val="40"/>
          <w:szCs w:val="40"/>
        </w:rPr>
        <w:lastRenderedPageBreak/>
        <w:t>1.3 Sociální příjmy</w:t>
      </w:r>
    </w:p>
    <w:p w:rsidR="00F1128F" w:rsidRPr="00AE7317" w:rsidRDefault="00F1128F" w:rsidP="003A726A">
      <w:pPr>
        <w:jc w:val="both"/>
        <w:rPr>
          <w:rFonts w:asciiTheme="minorHAnsi" w:hAnsiTheme="minorHAnsi" w:cs="Arial"/>
          <w:sz w:val="26"/>
          <w:szCs w:val="26"/>
        </w:rPr>
      </w:pPr>
    </w:p>
    <w:p w:rsidR="005376F7" w:rsidRPr="00AE7317" w:rsidRDefault="00077160" w:rsidP="0007716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="Arial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Celkový objem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sociálních příjmů (druhé nejvyšší složky peněžních příjmů domácností)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dosáhl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od počátku roku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do konce září 2019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částky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430,8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a převýšil skutečnost stejného období roku 2018 o 31,3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>, tj. o</w:t>
      </w:r>
      <w:r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7,8</w:t>
      </w:r>
      <w:r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% nominálně a o 4,9</w:t>
      </w:r>
      <w:r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% reálně.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 xml:space="preserve">Pokles byl zaznamenán u dávek státní sociální podpory a dávek pěstounské péče </w:t>
      </w:r>
      <w:r w:rsidR="005376F7" w:rsidRPr="00AE7317">
        <w:rPr>
          <w:rFonts w:asciiTheme="minorHAnsi" w:hAnsiTheme="minorHAnsi" w:cstheme="minorHAnsi"/>
          <w:sz w:val="26"/>
          <w:szCs w:val="26"/>
        </w:rPr>
        <w:t>a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 xml:space="preserve"> u dávek pomoci v hmotné nouzi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, příjmy občanů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z ostatních druhů sociálních dávek se zvýšily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– viz tabulku č. 8 v příloze.</w:t>
      </w:r>
    </w:p>
    <w:p w:rsidR="00077160" w:rsidRPr="00AE7317" w:rsidRDefault="00077160" w:rsidP="00B7649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6496" w:rsidRPr="00AE7317" w:rsidRDefault="00B76496" w:rsidP="00B7649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1128F" w:rsidRPr="00AE7317" w:rsidRDefault="00F1128F" w:rsidP="00B7649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376F7" w:rsidRPr="00AE7317" w:rsidRDefault="00077160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b/>
          <w:sz w:val="26"/>
          <w:szCs w:val="26"/>
          <w:u w:val="single"/>
        </w:rPr>
        <w:t>Dávky důchodového pojištění</w:t>
      </w:r>
      <w:r w:rsidR="005376F7" w:rsidRPr="00AE7317">
        <w:rPr>
          <w:rFonts w:asciiTheme="minorHAnsi" w:hAnsiTheme="minorHAnsi" w:cstheme="minorHAnsi"/>
          <w:sz w:val="26"/>
          <w:szCs w:val="26"/>
        </w:rPr>
        <w:t>, na které bylo v 1.</w:t>
      </w:r>
      <w:r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–</w:t>
      </w:r>
      <w:r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3. čtvrtletí 2019 bez dávek vyplácených do ciziny poskytnuto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340,0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, tj.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o 26,6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8,5</w:t>
      </w:r>
      <w:r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%)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více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než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ve srovnatelném období roku 2018, se podílely na celkové úrovni sociálních příjmů domácností 79</w:t>
      </w:r>
      <w:r w:rsidR="00014108" w:rsidRPr="00AE7317">
        <w:rPr>
          <w:rFonts w:asciiTheme="minorHAnsi" w:hAnsiTheme="minorHAnsi" w:cstheme="minorHAnsi"/>
          <w:sz w:val="26"/>
          <w:szCs w:val="26"/>
        </w:rPr>
        <w:t>,0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%.</w:t>
      </w:r>
    </w:p>
    <w:p w:rsidR="005376F7" w:rsidRPr="00AE7317" w:rsidRDefault="00077160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Nárůst zaznamenaly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výdaje na starobní důchody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, které (bez dávek vyplácených do ciziny)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vzrostly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o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23,1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mld.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Kč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na 282,8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>. Jejich podíl na celkovém objemu výdajů na dávky důchodového pojištění dosáhl 83,2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%. Výdaje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na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invalidní důchody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činily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35,6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2,5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mld.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Kč více než v 1.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–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3.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čtvrtletí roku 2018). Výdaje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na pozůstalostní důchody ve výši 21,1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vzrostly o 1,0 mld. Kč.</w:t>
      </w:r>
    </w:p>
    <w:p w:rsidR="005376F7" w:rsidRPr="00AE7317" w:rsidRDefault="00077160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Průměrná výše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(samostatně vypláceného)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starobního důchodu se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v období leden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–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září 2019 meziročně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zvýšila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o 1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037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Kč (o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8,4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%)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na 13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416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>,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 xml:space="preserve"> v reálném vyjádření se zvýšila o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5,6</w:t>
      </w:r>
      <w:r w:rsidR="00DE1CC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(při použití indexu životních nákladů domácností důchodců 102,7</w:t>
      </w:r>
      <w:r w:rsidR="00DE1CC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%).</w:t>
      </w:r>
    </w:p>
    <w:p w:rsidR="005376F7" w:rsidRPr="00AE7317" w:rsidRDefault="00077160" w:rsidP="00B7649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V září 2019:</w:t>
      </w:r>
    </w:p>
    <w:p w:rsidR="005376F7" w:rsidRPr="00AE7317" w:rsidRDefault="005376F7" w:rsidP="00B76496">
      <w:pPr>
        <w:pStyle w:val="Odstavecseseznamem"/>
        <w:numPr>
          <w:ilvl w:val="0"/>
          <w:numId w:val="43"/>
        </w:numPr>
        <w:spacing w:after="120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pobíralo důchod </w:t>
      </w:r>
      <w:r w:rsidRPr="00AE7317">
        <w:rPr>
          <w:rFonts w:asciiTheme="minorHAnsi" w:hAnsiTheme="minorHAnsi" w:cstheme="minorHAnsi"/>
          <w:b/>
          <w:sz w:val="26"/>
          <w:szCs w:val="26"/>
        </w:rPr>
        <w:t>2 888,0 tis. osob</w:t>
      </w:r>
      <w:r w:rsidRPr="00AE7317">
        <w:rPr>
          <w:rFonts w:asciiTheme="minorHAnsi" w:hAnsiTheme="minorHAnsi" w:cstheme="minorHAnsi"/>
          <w:sz w:val="26"/>
          <w:szCs w:val="26"/>
        </w:rPr>
        <w:t xml:space="preserve">, přičemž </w:t>
      </w:r>
      <w:r w:rsidRPr="00AE7317">
        <w:rPr>
          <w:rFonts w:asciiTheme="minorHAnsi" w:hAnsiTheme="minorHAnsi" w:cstheme="minorHAnsi"/>
          <w:b/>
          <w:sz w:val="26"/>
          <w:szCs w:val="26"/>
        </w:rPr>
        <w:t>jejich počet</w:t>
      </w:r>
      <w:r w:rsidRPr="00AE7317">
        <w:rPr>
          <w:rFonts w:asciiTheme="minorHAnsi" w:hAnsiTheme="minorHAnsi" w:cstheme="minorHAnsi"/>
          <w:sz w:val="26"/>
          <w:szCs w:val="26"/>
        </w:rPr>
        <w:t xml:space="preserve"> se meziročně </w:t>
      </w:r>
      <w:r w:rsidRPr="00AE7317">
        <w:rPr>
          <w:rFonts w:asciiTheme="minorHAnsi" w:hAnsiTheme="minorHAnsi" w:cstheme="minorHAnsi"/>
          <w:b/>
          <w:sz w:val="26"/>
          <w:szCs w:val="26"/>
        </w:rPr>
        <w:t>snížil</w:t>
      </w:r>
      <w:r w:rsidRPr="00AE7317">
        <w:rPr>
          <w:rFonts w:asciiTheme="minorHAnsi" w:hAnsiTheme="minorHAnsi" w:cstheme="minorHAnsi"/>
          <w:sz w:val="26"/>
          <w:szCs w:val="26"/>
        </w:rPr>
        <w:t xml:space="preserve"> o zanedbatelných 338 osob. </w:t>
      </w:r>
      <w:r w:rsidRPr="00AE7317">
        <w:rPr>
          <w:rFonts w:asciiTheme="minorHAnsi" w:hAnsiTheme="minorHAnsi" w:cstheme="minorHAnsi"/>
          <w:b/>
          <w:sz w:val="26"/>
          <w:szCs w:val="26"/>
        </w:rPr>
        <w:t>Starobní důchod</w:t>
      </w:r>
      <w:r w:rsidRPr="00AE7317">
        <w:rPr>
          <w:rFonts w:asciiTheme="minorHAnsi" w:hAnsiTheme="minorHAnsi" w:cstheme="minorHAnsi"/>
          <w:sz w:val="26"/>
          <w:szCs w:val="26"/>
        </w:rPr>
        <w:t xml:space="preserve"> (včetně poměrného) pobíralo </w:t>
      </w:r>
      <w:r w:rsidRPr="00AE7317">
        <w:rPr>
          <w:rFonts w:asciiTheme="minorHAnsi" w:hAnsiTheme="minorHAnsi" w:cstheme="minorHAnsi"/>
          <w:b/>
          <w:sz w:val="26"/>
          <w:szCs w:val="26"/>
        </w:rPr>
        <w:t>2 409,7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tis. osob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 576 osob více než v září 2018), z toho </w:t>
      </w:r>
      <w:r w:rsidRPr="00AE7317">
        <w:rPr>
          <w:rFonts w:asciiTheme="minorHAnsi" w:hAnsiTheme="minorHAnsi" w:cstheme="minorHAnsi"/>
          <w:b/>
          <w:sz w:val="26"/>
          <w:szCs w:val="26"/>
        </w:rPr>
        <w:t>trvale krácený předčasný důchod 637,2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tis. osob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 12,1 tis. více). Invalidní důchod pobíralo o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1,1 tis. osob méně – 420,5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tis. V rámci pozůstalostních důchodů došlo </w:t>
      </w:r>
      <w:r w:rsidRPr="00AE7317">
        <w:rPr>
          <w:rFonts w:asciiTheme="minorHAnsi" w:hAnsiTheme="minorHAnsi" w:cstheme="minorHAnsi"/>
          <w:sz w:val="26"/>
          <w:szCs w:val="26"/>
        </w:rPr>
        <w:lastRenderedPageBreak/>
        <w:t>ke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zvýšení počtu příjemců o 1,0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 u sirotčího důchodu a ke snížení počtu příjemců o 0,8 tis. u vdovského a vdoveckého důchodu,</w:t>
      </w:r>
    </w:p>
    <w:p w:rsidR="005376F7" w:rsidRPr="00AE7317" w:rsidRDefault="005376F7" w:rsidP="00B76496">
      <w:pPr>
        <w:pStyle w:val="Odstavecseseznamem"/>
        <w:numPr>
          <w:ilvl w:val="0"/>
          <w:numId w:val="43"/>
        </w:numPr>
        <w:spacing w:after="120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/>
          <w:sz w:val="26"/>
          <w:szCs w:val="26"/>
        </w:rPr>
        <w:t>průměrný</w:t>
      </w:r>
      <w:r w:rsidRPr="00AE7317">
        <w:rPr>
          <w:rFonts w:asciiTheme="minorHAnsi" w:hAnsiTheme="minorHAnsi" w:cstheme="minorHAnsi"/>
          <w:sz w:val="26"/>
          <w:szCs w:val="26"/>
        </w:rPr>
        <w:t xml:space="preserve"> nominální </w:t>
      </w:r>
      <w:r w:rsidRPr="00AE7317">
        <w:rPr>
          <w:rFonts w:asciiTheme="minorHAnsi" w:hAnsiTheme="minorHAnsi" w:cstheme="minorHAnsi"/>
          <w:b/>
          <w:sz w:val="26"/>
          <w:szCs w:val="26"/>
        </w:rPr>
        <w:t>starobní důchod</w:t>
      </w:r>
      <w:r w:rsidRPr="00AE7317">
        <w:rPr>
          <w:rFonts w:asciiTheme="minorHAnsi" w:hAnsiTheme="minorHAnsi" w:cstheme="minorHAnsi"/>
          <w:sz w:val="26"/>
          <w:szCs w:val="26"/>
        </w:rPr>
        <w:t xml:space="preserve"> (vyplácený samostatně) dosáhl </w:t>
      </w:r>
      <w:r w:rsidRPr="00AE7317">
        <w:rPr>
          <w:rFonts w:asciiTheme="minorHAnsi" w:hAnsiTheme="minorHAnsi" w:cstheme="minorHAnsi"/>
          <w:b/>
          <w:sz w:val="26"/>
          <w:szCs w:val="26"/>
        </w:rPr>
        <w:t>13 455 Kč a převýšil</w:t>
      </w:r>
      <w:r w:rsidRPr="00AE7317">
        <w:rPr>
          <w:rFonts w:asciiTheme="minorHAnsi" w:hAnsiTheme="minorHAnsi" w:cstheme="minorHAnsi"/>
          <w:sz w:val="26"/>
          <w:szCs w:val="26"/>
        </w:rPr>
        <w:t xml:space="preserve"> o 1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043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 (tj. </w:t>
      </w:r>
      <w:r w:rsidRPr="00AE7317">
        <w:rPr>
          <w:rFonts w:asciiTheme="minorHAnsi" w:hAnsiTheme="minorHAnsi" w:cstheme="minorHAnsi"/>
          <w:b/>
          <w:sz w:val="26"/>
          <w:szCs w:val="26"/>
        </w:rPr>
        <w:t>o 8,4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>) skutečnost stejného měsíce roku 2018 (tabulka č.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9 v příloze). U </w:t>
      </w:r>
      <w:r w:rsidRPr="00AE7317">
        <w:rPr>
          <w:rFonts w:asciiTheme="minorHAnsi" w:hAnsiTheme="minorHAnsi" w:cstheme="minorHAnsi"/>
          <w:b/>
          <w:sz w:val="26"/>
          <w:szCs w:val="26"/>
        </w:rPr>
        <w:t>žen</w:t>
      </w:r>
      <w:r w:rsidRPr="00AE7317">
        <w:rPr>
          <w:rFonts w:asciiTheme="minorHAnsi" w:hAnsiTheme="minorHAnsi" w:cstheme="minorHAnsi"/>
          <w:sz w:val="26"/>
          <w:szCs w:val="26"/>
        </w:rPr>
        <w:t xml:space="preserve"> činil 12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263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 a představoval </w:t>
      </w:r>
      <w:r w:rsidRPr="00AE7317">
        <w:rPr>
          <w:rFonts w:asciiTheme="minorHAnsi" w:hAnsiTheme="minorHAnsi" w:cstheme="minorHAnsi"/>
          <w:b/>
          <w:sz w:val="26"/>
          <w:szCs w:val="26"/>
        </w:rPr>
        <w:t>83,0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 průměrného důchodu mužů</w:t>
      </w:r>
      <w:r w:rsidRPr="00AE7317">
        <w:rPr>
          <w:rFonts w:asciiTheme="minorHAnsi" w:hAnsiTheme="minorHAnsi" w:cstheme="minorHAnsi"/>
          <w:sz w:val="26"/>
          <w:szCs w:val="26"/>
        </w:rPr>
        <w:t xml:space="preserve"> (14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773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Kč). Průměrná výše trvale kráceného předčasného důchodu byla oproti průměrnému starobnímu důchodu o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462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 nižší a dosáhla 11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993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 (o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947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 více než v září roku 2018), z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toho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u mužů 13 234 Kč a u žen 10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888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Kč,</w:t>
      </w:r>
    </w:p>
    <w:p w:rsidR="005376F7" w:rsidRPr="00AE7317" w:rsidRDefault="005376F7" w:rsidP="005376F7">
      <w:pPr>
        <w:pStyle w:val="Odstavecseseznamem"/>
        <w:numPr>
          <w:ilvl w:val="0"/>
          <w:numId w:val="43"/>
        </w:numPr>
        <w:spacing w:after="160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pobíralo samostatně vyplácený starobní důchod ve výši </w:t>
      </w:r>
      <w:r w:rsidRPr="00AE7317">
        <w:rPr>
          <w:rFonts w:asciiTheme="minorHAnsi" w:hAnsiTheme="minorHAnsi" w:cstheme="minorHAnsi"/>
          <w:b/>
          <w:sz w:val="26"/>
          <w:szCs w:val="26"/>
        </w:rPr>
        <w:t>do 10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999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Kč </w:t>
      </w:r>
      <w:r w:rsidRPr="00AE7317">
        <w:rPr>
          <w:rFonts w:asciiTheme="minorHAnsi" w:hAnsiTheme="minorHAnsi" w:cstheme="minorHAnsi"/>
          <w:sz w:val="26"/>
          <w:szCs w:val="26"/>
        </w:rPr>
        <w:t>měsíčně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18,1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osob, ve výši </w:t>
      </w:r>
      <w:r w:rsidRPr="00AE7317">
        <w:rPr>
          <w:rFonts w:asciiTheme="minorHAnsi" w:hAnsiTheme="minorHAnsi" w:cstheme="minorHAnsi"/>
          <w:b/>
          <w:sz w:val="26"/>
          <w:szCs w:val="26"/>
        </w:rPr>
        <w:t>11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000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–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13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999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 měsíčně </w:t>
      </w:r>
      <w:r w:rsidRPr="00AE7317">
        <w:rPr>
          <w:rFonts w:asciiTheme="minorHAnsi" w:hAnsiTheme="minorHAnsi" w:cstheme="minorHAnsi"/>
          <w:b/>
          <w:sz w:val="26"/>
          <w:szCs w:val="26"/>
        </w:rPr>
        <w:t>41,6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osob, důchod ve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výši </w:t>
      </w:r>
      <w:r w:rsidRPr="00AE7317">
        <w:rPr>
          <w:rFonts w:asciiTheme="minorHAnsi" w:hAnsiTheme="minorHAnsi" w:cstheme="minorHAnsi"/>
          <w:b/>
          <w:sz w:val="26"/>
          <w:szCs w:val="26"/>
        </w:rPr>
        <w:t>14 000 Kč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–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17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999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 měsíčně </w:t>
      </w:r>
      <w:r w:rsidRPr="00AE7317">
        <w:rPr>
          <w:rFonts w:asciiTheme="minorHAnsi" w:hAnsiTheme="minorHAnsi" w:cstheme="minorHAnsi"/>
          <w:b/>
          <w:sz w:val="26"/>
          <w:szCs w:val="26"/>
        </w:rPr>
        <w:t>35,2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osob a ve výši </w:t>
      </w:r>
      <w:r w:rsidRPr="00AE7317">
        <w:rPr>
          <w:rFonts w:asciiTheme="minorHAnsi" w:hAnsiTheme="minorHAnsi" w:cstheme="minorHAnsi"/>
          <w:b/>
          <w:sz w:val="26"/>
          <w:szCs w:val="26"/>
        </w:rPr>
        <w:t>18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000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 a více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5,1</w:t>
      </w:r>
      <w:r w:rsidR="00B76496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osob.</w:t>
      </w:r>
    </w:p>
    <w:p w:rsidR="007540A8" w:rsidRPr="00AE7317" w:rsidRDefault="007540A8" w:rsidP="00B7649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1128F" w:rsidRPr="00AE7317" w:rsidRDefault="00F1128F" w:rsidP="00B7649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6496" w:rsidRPr="00AE7317" w:rsidRDefault="00B76496" w:rsidP="00B76496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376F7" w:rsidRPr="00AE7317" w:rsidRDefault="00077160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="Arial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sz w:val="26"/>
          <w:szCs w:val="26"/>
        </w:rPr>
        <w:t>V</w:t>
      </w:r>
      <w:r w:rsidR="00B76496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pořadí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druhou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objemově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největší položku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sociálních příjmů domácností v 1. –</w:t>
      </w:r>
      <w:r w:rsidR="007540A8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3.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čtvrtletí</w:t>
      </w:r>
      <w:r w:rsidR="007540A8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2019 tvořily </w:t>
      </w:r>
      <w:r w:rsidR="005376F7" w:rsidRPr="00AE7317">
        <w:rPr>
          <w:rFonts w:asciiTheme="minorHAnsi" w:hAnsiTheme="minorHAnsi" w:cstheme="minorHAnsi"/>
          <w:b/>
          <w:sz w:val="26"/>
          <w:szCs w:val="26"/>
          <w:u w:val="single"/>
        </w:rPr>
        <w:t>dávky nemocenského pojištění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. Touto formou bylo poskytnuto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29,1</w:t>
      </w:r>
      <w:r w:rsidR="007540A8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7540A8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, což bylo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7540A8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15,2</w:t>
      </w:r>
      <w:r w:rsidR="007540A8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7540A8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3,8</w:t>
      </w:r>
      <w:r w:rsidR="007540A8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mld.</w:t>
      </w:r>
      <w:r w:rsidR="007540A8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Kč) více než ve srovnatelném období předchozího roku – viz tabulku č. 8 v příloze.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Rozhodující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dávkou bylo </w:t>
      </w:r>
      <w:r w:rsidRPr="00AE7317">
        <w:rPr>
          <w:rFonts w:asciiTheme="minorHAnsi" w:hAnsiTheme="minorHAnsi" w:cstheme="minorHAnsi"/>
          <w:b/>
          <w:sz w:val="26"/>
          <w:szCs w:val="26"/>
        </w:rPr>
        <w:t>nemocenské</w:t>
      </w:r>
      <w:r w:rsidRPr="00AE7317">
        <w:rPr>
          <w:rFonts w:asciiTheme="minorHAnsi" w:hAnsiTheme="minorHAnsi" w:cstheme="minorHAnsi"/>
          <w:sz w:val="26"/>
          <w:szCs w:val="26"/>
        </w:rPr>
        <w:t xml:space="preserve">; jeho podíl na dávkách nemocenského pojištění činil 68,9 % a </w:t>
      </w:r>
      <w:r w:rsidRPr="00AE7317">
        <w:rPr>
          <w:rFonts w:asciiTheme="minorHAnsi" w:hAnsiTheme="minorHAnsi" w:cstheme="minorHAnsi"/>
          <w:b/>
          <w:sz w:val="26"/>
          <w:szCs w:val="26"/>
        </w:rPr>
        <w:t>objem</w:t>
      </w:r>
      <w:r w:rsidRPr="00AE7317">
        <w:rPr>
          <w:rFonts w:asciiTheme="minorHAnsi" w:hAnsiTheme="minorHAnsi" w:cstheme="minorHAnsi"/>
          <w:sz w:val="26"/>
          <w:szCs w:val="26"/>
        </w:rPr>
        <w:t xml:space="preserve"> finančních prostředků </w:t>
      </w:r>
      <w:r w:rsidRPr="00AE7317">
        <w:rPr>
          <w:rFonts w:asciiTheme="minorHAnsi" w:hAnsiTheme="minorHAnsi" w:cstheme="minorHAnsi"/>
          <w:b/>
          <w:sz w:val="26"/>
          <w:szCs w:val="26"/>
        </w:rPr>
        <w:t>se zvýšil o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18,3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3,1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mld. Kč) </w:t>
      </w:r>
      <w:r w:rsidRPr="00AE7317">
        <w:rPr>
          <w:rFonts w:asciiTheme="minorHAnsi" w:hAnsiTheme="minorHAnsi" w:cstheme="minorHAnsi"/>
          <w:b/>
          <w:sz w:val="26"/>
          <w:szCs w:val="26"/>
        </w:rPr>
        <w:t>na 20,0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Na peněžitou pomoc v mateřství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bylo za leden až září 2019 vyplaceno </w:t>
      </w:r>
      <w:r w:rsidRPr="00AE7317">
        <w:rPr>
          <w:rFonts w:asciiTheme="minorHAnsi" w:hAnsiTheme="minorHAnsi" w:cstheme="minorHAnsi"/>
          <w:b/>
          <w:sz w:val="26"/>
          <w:szCs w:val="26"/>
        </w:rPr>
        <w:t>7,5 mld.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, tedy 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7,6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0,5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Kč) meziročně </w:t>
      </w:r>
      <w:r w:rsidRPr="00AE7317">
        <w:rPr>
          <w:rFonts w:asciiTheme="minorHAnsi" w:hAnsiTheme="minorHAnsi" w:cstheme="minorHAnsi"/>
          <w:b/>
          <w:sz w:val="26"/>
          <w:szCs w:val="26"/>
        </w:rPr>
        <w:t>více</w:t>
      </w:r>
      <w:r w:rsidRPr="00AE7317">
        <w:rPr>
          <w:rFonts w:asciiTheme="minorHAnsi" w:hAnsiTheme="minorHAnsi" w:cstheme="minorHAnsi"/>
          <w:sz w:val="26"/>
          <w:szCs w:val="26"/>
        </w:rPr>
        <w:t>. Její podíl na dávkách nemocenského pojištění činil 25,6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Výdaje na </w:t>
      </w:r>
      <w:r w:rsidRPr="00AE7317">
        <w:rPr>
          <w:rFonts w:asciiTheme="minorHAnsi" w:hAnsiTheme="minorHAnsi" w:cstheme="minorHAnsi"/>
          <w:b/>
          <w:sz w:val="26"/>
          <w:szCs w:val="26"/>
        </w:rPr>
        <w:t>ošetřovné</w:t>
      </w:r>
      <w:r w:rsidRPr="00AE7317">
        <w:rPr>
          <w:rFonts w:asciiTheme="minorHAnsi" w:hAnsiTheme="minorHAnsi" w:cstheme="minorHAnsi"/>
          <w:sz w:val="26"/>
          <w:szCs w:val="26"/>
        </w:rPr>
        <w:t xml:space="preserve"> se ve sledovaném období zvýšily </w:t>
      </w:r>
      <w:r w:rsidRPr="00AE7317">
        <w:rPr>
          <w:rFonts w:asciiTheme="minorHAnsi" w:hAnsiTheme="minorHAnsi" w:cstheme="minorHAnsi"/>
          <w:b/>
          <w:sz w:val="26"/>
          <w:szCs w:val="26"/>
        </w:rPr>
        <w:t>o 5,7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69,</w:t>
      </w:r>
      <w:r w:rsidR="00344A16">
        <w:rPr>
          <w:rFonts w:asciiTheme="minorHAnsi" w:hAnsiTheme="minorHAnsi" w:cstheme="minorHAnsi"/>
          <w:sz w:val="26"/>
          <w:szCs w:val="26"/>
        </w:rPr>
        <w:t>7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mil.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Kč) na </w:t>
      </w:r>
      <w:r w:rsidRPr="00AE7317">
        <w:rPr>
          <w:rFonts w:asciiTheme="minorHAnsi" w:hAnsiTheme="minorHAnsi" w:cstheme="minorHAnsi"/>
          <w:b/>
          <w:sz w:val="26"/>
          <w:szCs w:val="26"/>
        </w:rPr>
        <w:t>1,3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Na otcovskou poporodní péči</w:t>
      </w:r>
      <w:r w:rsidRPr="00AE7317">
        <w:rPr>
          <w:rFonts w:asciiTheme="minorHAnsi" w:hAnsiTheme="minorHAnsi" w:cstheme="minorHAnsi"/>
          <w:sz w:val="26"/>
          <w:szCs w:val="26"/>
        </w:rPr>
        <w:t xml:space="preserve"> (dávka zavedená od 1.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února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2018) bylo</w:t>
      </w:r>
      <w:r w:rsidR="008C3AA4" w:rsidRPr="00AE7317">
        <w:rPr>
          <w:rFonts w:asciiTheme="minorHAnsi" w:hAnsiTheme="minorHAnsi" w:cstheme="minorHAnsi"/>
          <w:sz w:val="26"/>
          <w:szCs w:val="26"/>
        </w:rPr>
        <w:t xml:space="preserve">      </w:t>
      </w:r>
      <w:r w:rsidRPr="00AE7317">
        <w:rPr>
          <w:rFonts w:asciiTheme="minorHAnsi" w:hAnsiTheme="minorHAnsi" w:cstheme="minorHAnsi"/>
          <w:sz w:val="26"/>
          <w:szCs w:val="26"/>
        </w:rPr>
        <w:t xml:space="preserve"> v 1. – 3.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čtvrtletí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2019 vynaloženo </w:t>
      </w:r>
      <w:r w:rsidRPr="00AE7317">
        <w:rPr>
          <w:rFonts w:asciiTheme="minorHAnsi" w:hAnsiTheme="minorHAnsi" w:cstheme="minorHAnsi"/>
          <w:b/>
          <w:sz w:val="26"/>
          <w:szCs w:val="26"/>
        </w:rPr>
        <w:t>205,8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mil.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, tj. o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51,5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mil.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 </w:t>
      </w:r>
      <w:r w:rsidRPr="00AE7317">
        <w:rPr>
          <w:rFonts w:asciiTheme="minorHAnsi" w:hAnsiTheme="minorHAnsi" w:cstheme="minorHAnsi"/>
          <w:b/>
          <w:sz w:val="26"/>
          <w:szCs w:val="26"/>
        </w:rPr>
        <w:t>více</w:t>
      </w:r>
      <w:r w:rsidRPr="00AE7317">
        <w:rPr>
          <w:rFonts w:asciiTheme="minorHAnsi" w:hAnsiTheme="minorHAnsi" w:cstheme="minorHAnsi"/>
          <w:sz w:val="26"/>
          <w:szCs w:val="26"/>
        </w:rPr>
        <w:t xml:space="preserve"> než ve stejném období roku 2018.</w:t>
      </w:r>
    </w:p>
    <w:p w:rsidR="005376F7" w:rsidRPr="00AE7317" w:rsidRDefault="005376F7" w:rsidP="007540A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U dlouhodobého ošetřovného</w:t>
      </w:r>
      <w:r w:rsidRPr="00AE7317">
        <w:rPr>
          <w:rFonts w:asciiTheme="minorHAnsi" w:hAnsiTheme="minorHAnsi" w:cstheme="minorHAnsi"/>
          <w:sz w:val="26"/>
          <w:szCs w:val="26"/>
        </w:rPr>
        <w:t xml:space="preserve"> (dávka zavedená od 1.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června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2018) došlo ke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zvýšení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finančních prostředků o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70,3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mil.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 </w:t>
      </w:r>
      <w:r w:rsidRPr="00AE7317">
        <w:rPr>
          <w:rFonts w:asciiTheme="minorHAnsi" w:hAnsiTheme="minorHAnsi" w:cstheme="minorHAnsi"/>
          <w:b/>
          <w:sz w:val="26"/>
          <w:szCs w:val="26"/>
        </w:rPr>
        <w:t>na 79,7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mil.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 – viz tabulku č.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14 v příloze.</w:t>
      </w:r>
    </w:p>
    <w:p w:rsidR="00F1128F" w:rsidRPr="00AE7317" w:rsidRDefault="00F1128F" w:rsidP="00F1128F">
      <w:pPr>
        <w:jc w:val="both"/>
        <w:rPr>
          <w:rFonts w:asciiTheme="minorHAnsi" w:hAnsiTheme="minorHAnsi" w:cs="Arial"/>
          <w:sz w:val="26"/>
          <w:szCs w:val="26"/>
        </w:rPr>
      </w:pPr>
    </w:p>
    <w:p w:rsidR="00F1128F" w:rsidRPr="00AE7317" w:rsidRDefault="00F1128F" w:rsidP="00F1128F">
      <w:pPr>
        <w:jc w:val="both"/>
        <w:rPr>
          <w:rFonts w:asciiTheme="minorHAnsi" w:hAnsiTheme="minorHAnsi" w:cs="Arial"/>
          <w:sz w:val="26"/>
          <w:szCs w:val="26"/>
        </w:rPr>
      </w:pPr>
    </w:p>
    <w:p w:rsidR="00F1128F" w:rsidRPr="00AE7317" w:rsidRDefault="00F1128F" w:rsidP="00F1128F">
      <w:pPr>
        <w:jc w:val="both"/>
        <w:rPr>
          <w:rFonts w:asciiTheme="minorHAnsi" w:hAnsiTheme="minorHAnsi" w:cs="Arial"/>
          <w:sz w:val="26"/>
          <w:szCs w:val="26"/>
        </w:rPr>
      </w:pPr>
    </w:p>
    <w:p w:rsidR="005376F7" w:rsidRPr="00AE7317" w:rsidRDefault="00077160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="Arial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Na </w:t>
      </w:r>
      <w:r w:rsidR="005376F7" w:rsidRPr="00AE7317">
        <w:rPr>
          <w:rFonts w:asciiTheme="minorHAnsi" w:hAnsiTheme="minorHAnsi" w:cstheme="minorHAnsi"/>
          <w:b/>
          <w:sz w:val="26"/>
          <w:szCs w:val="26"/>
          <w:u w:val="single"/>
        </w:rPr>
        <w:t>dávkách státní sociální podpory a pěstounské péče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bylo od ledna do září 2019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vyplaceno 28,5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a byly tak se 6,6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% podílem třetí nejvýznamnější složkou sociálních příjmů domácností. V hodnoceném období bylo touto formou vyplaceno meziročně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1,0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 méně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finančních prostředků (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o 3,3 %</w:t>
      </w:r>
      <w:r w:rsidR="005376F7" w:rsidRPr="00AE7317">
        <w:rPr>
          <w:rFonts w:asciiTheme="minorHAnsi" w:hAnsiTheme="minorHAnsi" w:cstheme="minorHAnsi"/>
          <w:sz w:val="26"/>
          <w:szCs w:val="26"/>
        </w:rPr>
        <w:t>) než ve stejném období předchozího roku – viz tabulky č.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8 a 10 v příloze.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Výdaje na</w:t>
      </w:r>
      <w:r w:rsidRPr="00AE7317">
        <w:rPr>
          <w:rFonts w:asciiTheme="minorHAnsi" w:hAnsiTheme="minorHAnsi" w:cstheme="minorHAnsi"/>
          <w:sz w:val="26"/>
          <w:szCs w:val="26"/>
        </w:rPr>
        <w:t xml:space="preserve"> rozhodující dávku tohoto systému – </w:t>
      </w:r>
      <w:r w:rsidRPr="00AE7317">
        <w:rPr>
          <w:rFonts w:asciiTheme="minorHAnsi" w:hAnsiTheme="minorHAnsi" w:cstheme="minorHAnsi"/>
          <w:b/>
          <w:sz w:val="26"/>
          <w:szCs w:val="26"/>
        </w:rPr>
        <w:t>rodičovský příspěvek</w:t>
      </w:r>
      <w:r w:rsidRPr="00AE7317">
        <w:rPr>
          <w:rFonts w:asciiTheme="minorHAnsi" w:hAnsiTheme="minorHAnsi" w:cstheme="minorHAnsi"/>
          <w:sz w:val="26"/>
          <w:szCs w:val="26"/>
        </w:rPr>
        <w:t xml:space="preserve"> (s podílem 64,3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% na celkovém objemu těchto dávek) </w:t>
      </w:r>
      <w:r w:rsidRPr="00AE7317">
        <w:rPr>
          <w:rFonts w:asciiTheme="minorHAnsi" w:hAnsiTheme="minorHAnsi" w:cstheme="minorHAnsi"/>
          <w:b/>
          <w:sz w:val="26"/>
          <w:szCs w:val="26"/>
        </w:rPr>
        <w:t>se snížily o 2,3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 0,4 mld. Kč) </w:t>
      </w:r>
      <w:r w:rsidRPr="00AE7317">
        <w:rPr>
          <w:rFonts w:asciiTheme="minorHAnsi" w:hAnsiTheme="minorHAnsi" w:cstheme="minorHAnsi"/>
          <w:b/>
          <w:sz w:val="26"/>
          <w:szCs w:val="26"/>
        </w:rPr>
        <w:t>na 18,3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. Průměrný počet měsíčně poskytovaných rodičovských příspěvků se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snížil (o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0,5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%, tj.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1,4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tis.) na 281,9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Pokles byl rovněž zaznamenán </w:t>
      </w:r>
      <w:r w:rsidRPr="00AE7317">
        <w:rPr>
          <w:rFonts w:asciiTheme="minorHAnsi" w:hAnsiTheme="minorHAnsi" w:cstheme="minorHAnsi"/>
          <w:b/>
          <w:sz w:val="26"/>
          <w:szCs w:val="26"/>
        </w:rPr>
        <w:t>u příspěvku na bydlení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(18,9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% podíl na celkové výši výdajů na dávky státní sociální podpory a pěstounské péče). V lednu až září 2019 na něj bylo vynaloženo </w:t>
      </w:r>
      <w:r w:rsidRPr="00AE7317">
        <w:rPr>
          <w:rFonts w:asciiTheme="minorHAnsi" w:hAnsiTheme="minorHAnsi" w:cstheme="minorHAnsi"/>
          <w:b/>
          <w:sz w:val="26"/>
          <w:szCs w:val="26"/>
        </w:rPr>
        <w:t>5,4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, tj. 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8,2</w:t>
      </w:r>
      <w:r w:rsidR="008C3AA4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0,5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mld.</w:t>
      </w:r>
      <w:r w:rsidR="008C3AA4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Kč) </w:t>
      </w:r>
      <w:r w:rsidRPr="00AE7317">
        <w:rPr>
          <w:rFonts w:asciiTheme="minorHAnsi" w:hAnsiTheme="minorHAnsi" w:cstheme="minorHAnsi"/>
          <w:b/>
          <w:sz w:val="26"/>
          <w:szCs w:val="26"/>
        </w:rPr>
        <w:t>méně</w:t>
      </w:r>
      <w:r w:rsidRPr="00AE7317">
        <w:rPr>
          <w:rFonts w:asciiTheme="minorHAnsi" w:hAnsiTheme="minorHAnsi" w:cstheme="minorHAnsi"/>
          <w:sz w:val="26"/>
          <w:szCs w:val="26"/>
        </w:rPr>
        <w:t xml:space="preserve"> při sníženém počtu v průměru měsíčně vyplácených dávek (o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10,8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%, tj. 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20,4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tis.) na 168,3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tis., jejichž průměrná výše činila 3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576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 (zvýšení 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3,0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%).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Formou </w:t>
      </w:r>
      <w:r w:rsidRPr="00AE7317">
        <w:rPr>
          <w:rFonts w:asciiTheme="minorHAnsi" w:hAnsiTheme="minorHAnsi" w:cstheme="minorHAnsi"/>
          <w:b/>
          <w:sz w:val="26"/>
          <w:szCs w:val="26"/>
        </w:rPr>
        <w:t>přídavku na dítě</w:t>
      </w:r>
      <w:r w:rsidRPr="00AE7317">
        <w:rPr>
          <w:rFonts w:asciiTheme="minorHAnsi" w:hAnsiTheme="minorHAnsi" w:cstheme="minorHAnsi"/>
          <w:sz w:val="26"/>
          <w:szCs w:val="26"/>
        </w:rPr>
        <w:t xml:space="preserve"> (s podílem 6,1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% na celkovém objemu dávek státní sociální podpory a pěstounské péče) bylo vyplaceno </w:t>
      </w:r>
      <w:r w:rsidRPr="00AE7317">
        <w:rPr>
          <w:rFonts w:asciiTheme="minorHAnsi" w:hAnsiTheme="minorHAnsi" w:cstheme="minorHAnsi"/>
          <w:b/>
          <w:sz w:val="26"/>
          <w:szCs w:val="26"/>
        </w:rPr>
        <w:t>1,7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 (pokles 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8,5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%), průměrný měsíční počet dávek se ve sledovaném období snížil 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11,6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 na 241,4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tis. 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Ke snížení dále došlo i u </w:t>
      </w:r>
      <w:r w:rsidRPr="00AE7317">
        <w:rPr>
          <w:rFonts w:asciiTheme="minorHAnsi" w:hAnsiTheme="minorHAnsi" w:cstheme="minorHAnsi"/>
          <w:b/>
          <w:sz w:val="26"/>
          <w:szCs w:val="26"/>
        </w:rPr>
        <w:t>porodného</w:t>
      </w:r>
      <w:r w:rsidRPr="00AE7317">
        <w:rPr>
          <w:rFonts w:asciiTheme="minorHAnsi" w:hAnsiTheme="minorHAnsi" w:cstheme="minorHAnsi"/>
          <w:sz w:val="26"/>
          <w:szCs w:val="26"/>
        </w:rPr>
        <w:t xml:space="preserve">, bylo na něj vyčerpáno </w:t>
      </w:r>
      <w:r w:rsidRPr="00AE7317">
        <w:rPr>
          <w:rFonts w:asciiTheme="minorHAnsi" w:hAnsiTheme="minorHAnsi" w:cstheme="minorHAnsi"/>
          <w:b/>
          <w:sz w:val="26"/>
          <w:szCs w:val="26"/>
        </w:rPr>
        <w:t>103,5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mil.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, tj. </w:t>
      </w:r>
      <w:r w:rsidRPr="00AE7317">
        <w:rPr>
          <w:rFonts w:asciiTheme="minorHAnsi" w:hAnsiTheme="minorHAnsi" w:cstheme="minorHAnsi"/>
          <w:b/>
          <w:sz w:val="26"/>
          <w:szCs w:val="26"/>
        </w:rPr>
        <w:t>o 22,8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 méně</w:t>
      </w:r>
      <w:r w:rsidRPr="00AE7317">
        <w:rPr>
          <w:rFonts w:asciiTheme="minorHAnsi" w:hAnsiTheme="minorHAnsi" w:cstheme="minorHAnsi"/>
          <w:sz w:val="26"/>
          <w:szCs w:val="26"/>
        </w:rPr>
        <w:t xml:space="preserve"> než ve stejném období předchozího roku.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AE7317">
        <w:rPr>
          <w:rFonts w:asciiTheme="minorHAnsi" w:hAnsiTheme="minorHAnsi" w:cstheme="minorHAnsi"/>
          <w:b/>
          <w:sz w:val="26"/>
          <w:szCs w:val="26"/>
        </w:rPr>
        <w:t>dávky pěstounské péče</w:t>
      </w:r>
      <w:r w:rsidRPr="00AE7317">
        <w:rPr>
          <w:rFonts w:asciiTheme="minorHAnsi" w:hAnsiTheme="minorHAnsi" w:cstheme="minorHAnsi"/>
          <w:sz w:val="26"/>
          <w:szCs w:val="26"/>
        </w:rPr>
        <w:t xml:space="preserve"> bylo vynaloženo 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4,0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111,8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mil.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Kč) meziročně </w:t>
      </w:r>
      <w:r w:rsidRPr="00AE7317">
        <w:rPr>
          <w:rFonts w:asciiTheme="minorHAnsi" w:hAnsiTheme="minorHAnsi" w:cstheme="minorHAnsi"/>
          <w:b/>
          <w:sz w:val="26"/>
          <w:szCs w:val="26"/>
        </w:rPr>
        <w:t>více</w:t>
      </w:r>
      <w:r w:rsidRPr="00AE7317">
        <w:rPr>
          <w:rFonts w:asciiTheme="minorHAnsi" w:hAnsiTheme="minorHAnsi" w:cstheme="minorHAnsi"/>
          <w:sz w:val="26"/>
          <w:szCs w:val="26"/>
        </w:rPr>
        <w:t xml:space="preserve">, tedy </w:t>
      </w:r>
      <w:r w:rsidRPr="00AE7317">
        <w:rPr>
          <w:rFonts w:asciiTheme="minorHAnsi" w:hAnsiTheme="minorHAnsi" w:cstheme="minorHAnsi"/>
          <w:b/>
          <w:sz w:val="26"/>
          <w:szCs w:val="26"/>
        </w:rPr>
        <w:t>2,9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. Jejich průměrný měsíční počet vzrostl 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1,3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 na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30,6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 – viz tabulky č.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10 – 13 v příloze.</w:t>
      </w:r>
    </w:p>
    <w:p w:rsidR="005376F7" w:rsidRPr="00AE7317" w:rsidRDefault="00077160" w:rsidP="0007716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="Arial"/>
          <w:sz w:val="26"/>
          <w:szCs w:val="26"/>
        </w:rPr>
        <w:lastRenderedPageBreak/>
        <w:tab/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Další významnou složkou sociálních příjmů domácností je </w:t>
      </w:r>
      <w:r w:rsidR="005376F7" w:rsidRPr="00AE7317">
        <w:rPr>
          <w:rFonts w:asciiTheme="minorHAnsi" w:hAnsiTheme="minorHAnsi" w:cstheme="minorHAnsi"/>
          <w:b/>
          <w:sz w:val="26"/>
          <w:szCs w:val="26"/>
          <w:u w:val="single"/>
        </w:rPr>
        <w:t>příspěvek na péči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. V hodnoceném období bylo takto čerpáno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21,7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="005376F7" w:rsidRPr="00AE7317">
        <w:rPr>
          <w:rFonts w:asciiTheme="minorHAnsi" w:hAnsiTheme="minorHAnsi" w:cstheme="minorHAnsi"/>
          <w:sz w:val="26"/>
          <w:szCs w:val="26"/>
        </w:rPr>
        <w:t>, což bylo 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11,4</w:t>
      </w:r>
      <w:r w:rsidR="00352572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(2,2 mld. Kč) meziročně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více</w:t>
      </w:r>
      <w:r w:rsidR="005376F7" w:rsidRPr="00AE7317">
        <w:rPr>
          <w:rFonts w:asciiTheme="minorHAnsi" w:hAnsiTheme="minorHAnsi" w:cstheme="minorHAnsi"/>
          <w:sz w:val="26"/>
          <w:szCs w:val="26"/>
        </w:rPr>
        <w:t>. Ve všech krajích došlo k meziročnímu nárůstu, nejvíce v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kraji Středočeském (o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12,5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%) – viz tabulku č. 15 v příloze.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Měsíčně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bylo v průměru vyplaceno 363,4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tis. dávek, z toho v I.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stupni závislosti 107,4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tis. (29,6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%), ve II.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stupni 117,3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tis. (32,3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%), ve III.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stupni 87,0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tis. (23,9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%) a ve IV.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stupni 51,7</w:t>
      </w:r>
      <w:r w:rsidR="00352572" w:rsidRPr="00AE7317">
        <w:rPr>
          <w:rFonts w:asciiTheme="minorHAnsi" w:hAnsiTheme="minorHAnsi" w:cstheme="minorHAnsi"/>
          <w:sz w:val="26"/>
          <w:szCs w:val="26"/>
        </w:rPr>
        <w:t> </w:t>
      </w:r>
      <w:r w:rsidR="005376F7" w:rsidRPr="00AE7317">
        <w:rPr>
          <w:rFonts w:asciiTheme="minorHAnsi" w:hAnsiTheme="minorHAnsi" w:cstheme="minorHAnsi"/>
          <w:sz w:val="26"/>
          <w:szCs w:val="26"/>
        </w:rPr>
        <w:t>tis. dávek (14,2 %).</w:t>
      </w:r>
    </w:p>
    <w:p w:rsidR="005376F7" w:rsidRPr="00AE7317" w:rsidRDefault="005376F7" w:rsidP="0035257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1128F" w:rsidRPr="00AE7317" w:rsidRDefault="00F1128F" w:rsidP="0035257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52572" w:rsidRPr="00AE7317" w:rsidRDefault="00352572" w:rsidP="0035257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376F7" w:rsidRPr="00AE7317" w:rsidRDefault="00077160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="Arial"/>
          <w:sz w:val="26"/>
          <w:szCs w:val="26"/>
        </w:rPr>
        <w:tab/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Prostředky vyplacené formou </w:t>
      </w:r>
      <w:r w:rsidR="005376F7" w:rsidRPr="00AE7317">
        <w:rPr>
          <w:rFonts w:asciiTheme="minorHAnsi" w:hAnsiTheme="minorHAnsi" w:cstheme="minorHAnsi"/>
          <w:b/>
          <w:sz w:val="26"/>
          <w:szCs w:val="26"/>
          <w:u w:val="single"/>
        </w:rPr>
        <w:t>podpory v nezaměstnanosti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se podílely na celkových sociálních příjmech 1,4 %. V lednu – září 2019 na ně bylo čerpáno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6,2 mld. Kč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při meziročním </w:t>
      </w:r>
      <w:r w:rsidR="005376F7" w:rsidRPr="00AE7317">
        <w:rPr>
          <w:rFonts w:asciiTheme="minorHAnsi" w:hAnsiTheme="minorHAnsi" w:cstheme="minorHAnsi"/>
          <w:b/>
          <w:sz w:val="26"/>
          <w:szCs w:val="26"/>
        </w:rPr>
        <w:t>nárůstu o 7,3 %</w:t>
      </w:r>
      <w:r w:rsidR="005376F7" w:rsidRPr="00AE7317">
        <w:rPr>
          <w:rFonts w:asciiTheme="minorHAnsi" w:hAnsiTheme="minorHAnsi" w:cstheme="minorHAnsi"/>
          <w:sz w:val="26"/>
          <w:szCs w:val="26"/>
        </w:rPr>
        <w:t xml:space="preserve"> – viz tabulku č. 8 v příloze.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V uvedeném období </w:t>
      </w:r>
      <w:r w:rsidRPr="00AE7317">
        <w:rPr>
          <w:rFonts w:asciiTheme="minorHAnsi" w:hAnsiTheme="minorHAnsi" w:cstheme="minorHAnsi"/>
          <w:b/>
          <w:sz w:val="26"/>
          <w:szCs w:val="26"/>
        </w:rPr>
        <w:t>se snížil průměrný podíl nezaměstnaných osob</w:t>
      </w:r>
      <w:r w:rsidRPr="00AE7317">
        <w:rPr>
          <w:rFonts w:asciiTheme="minorHAnsi" w:hAnsiTheme="minorHAnsi" w:cstheme="minorHAnsi"/>
          <w:sz w:val="26"/>
          <w:szCs w:val="26"/>
        </w:rPr>
        <w:t xml:space="preserve"> (podíl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dosažitelných uchazečů o zaměstnání ve věku 15 až 64 let k obyvatelstvu stejného věku) </w:t>
      </w:r>
      <w:r w:rsidRPr="00AE7317">
        <w:rPr>
          <w:rFonts w:asciiTheme="minorHAnsi" w:hAnsiTheme="minorHAnsi" w:cstheme="minorHAnsi"/>
          <w:b/>
          <w:sz w:val="26"/>
          <w:szCs w:val="26"/>
        </w:rPr>
        <w:t>ze 3,3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 na 2,9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. </w:t>
      </w:r>
      <w:r w:rsidRPr="00AE7317">
        <w:rPr>
          <w:rFonts w:asciiTheme="minorHAnsi" w:hAnsiTheme="minorHAnsi" w:cstheme="minorHAnsi"/>
          <w:b/>
          <w:sz w:val="26"/>
          <w:szCs w:val="26"/>
        </w:rPr>
        <w:t>Průměrný počet evidovaných nezaměstnaných se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snížil</w:t>
      </w:r>
      <w:r w:rsidRPr="00AE7317">
        <w:rPr>
          <w:rFonts w:asciiTheme="minorHAnsi" w:hAnsiTheme="minorHAnsi" w:cstheme="minorHAnsi"/>
          <w:sz w:val="26"/>
          <w:szCs w:val="26"/>
        </w:rPr>
        <w:t xml:space="preserve"> o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33,1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 na 216,3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tis., přičemž průměrný počet evidovaných nezaměstnaných </w:t>
      </w:r>
      <w:r w:rsidRPr="00AE7317">
        <w:rPr>
          <w:rFonts w:asciiTheme="minorHAnsi" w:hAnsiTheme="minorHAnsi" w:cstheme="minorHAnsi"/>
          <w:b/>
          <w:sz w:val="26"/>
          <w:szCs w:val="26"/>
        </w:rPr>
        <w:t>s nárokem na podporu</w:t>
      </w:r>
      <w:r w:rsidRPr="00AE7317">
        <w:rPr>
          <w:rFonts w:asciiTheme="minorHAnsi" w:hAnsiTheme="minorHAnsi" w:cstheme="minorHAnsi"/>
          <w:sz w:val="26"/>
          <w:szCs w:val="26"/>
        </w:rPr>
        <w:t xml:space="preserve"> v nezaměstnanosti </w:t>
      </w:r>
      <w:r w:rsidRPr="00AE7317">
        <w:rPr>
          <w:rFonts w:asciiTheme="minorHAnsi" w:hAnsiTheme="minorHAnsi" w:cstheme="minorHAnsi"/>
          <w:b/>
          <w:sz w:val="26"/>
          <w:szCs w:val="26"/>
        </w:rPr>
        <w:t>vzrostl</w:t>
      </w:r>
      <w:r w:rsidRPr="00AE7317">
        <w:rPr>
          <w:rFonts w:asciiTheme="minorHAnsi" w:hAnsiTheme="minorHAnsi" w:cstheme="minorHAnsi"/>
          <w:sz w:val="26"/>
          <w:szCs w:val="26"/>
        </w:rPr>
        <w:t xml:space="preserve"> o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0,4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tis. </w:t>
      </w:r>
      <w:r w:rsidRPr="00AE7317">
        <w:rPr>
          <w:rFonts w:asciiTheme="minorHAnsi" w:hAnsiTheme="minorHAnsi" w:cstheme="minorHAnsi"/>
          <w:b/>
          <w:sz w:val="26"/>
          <w:szCs w:val="26"/>
        </w:rPr>
        <w:t>na 79,0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tis</w:t>
      </w:r>
      <w:r w:rsidRPr="00AE7317">
        <w:rPr>
          <w:rFonts w:asciiTheme="minorHAnsi" w:hAnsiTheme="minorHAnsi" w:cstheme="minorHAnsi"/>
          <w:sz w:val="26"/>
          <w:szCs w:val="26"/>
        </w:rPr>
        <w:t>. Podíl žen pobírajících podporu v nezaměstnanosti na celkovém počtu uchazečů s podporou činil 53,7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% (o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1,8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p.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b. více než v 1.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–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3.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čtvrtletí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2018). Na jedno volné pracovní místo připadalo 0,6 uchazeče (ve stejném období předchozího roku 0,9 uchazeče).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Průměrná výše podpory v nezaměstnanosti</w:t>
      </w:r>
      <w:r w:rsidRPr="00AE7317">
        <w:rPr>
          <w:rFonts w:asciiTheme="minorHAnsi" w:hAnsiTheme="minorHAnsi" w:cstheme="minorHAnsi"/>
          <w:sz w:val="26"/>
          <w:szCs w:val="26"/>
        </w:rPr>
        <w:t xml:space="preserve"> se meziročně ve sledovaném období </w:t>
      </w:r>
      <w:r w:rsidRPr="00AE7317">
        <w:rPr>
          <w:rFonts w:asciiTheme="minorHAnsi" w:hAnsiTheme="minorHAnsi" w:cstheme="minorHAnsi"/>
          <w:b/>
          <w:sz w:val="26"/>
          <w:szCs w:val="26"/>
        </w:rPr>
        <w:t>zvýšila o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8,3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597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Kč) </w:t>
      </w:r>
      <w:r w:rsidRPr="00AE7317">
        <w:rPr>
          <w:rFonts w:asciiTheme="minorHAnsi" w:hAnsiTheme="minorHAnsi" w:cstheme="minorHAnsi"/>
          <w:b/>
          <w:sz w:val="26"/>
          <w:szCs w:val="26"/>
        </w:rPr>
        <w:t>na 7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827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, přičemž vzrostla ve všech krajích. Nejnižší průměrnou úroveň podpory vykázal kraj Moravskoslezský (7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178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Kč), nejvyšší hl.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Praha (9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924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Kč) – viz tabulku č. 16 v příloze.</w:t>
      </w:r>
    </w:p>
    <w:p w:rsidR="005376F7" w:rsidRPr="00AE7317" w:rsidRDefault="005376F7" w:rsidP="00F1128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1128F" w:rsidRPr="00AE7317" w:rsidRDefault="00F1128F" w:rsidP="00F1128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1128F" w:rsidRPr="00AE7317" w:rsidRDefault="00F1128F" w:rsidP="00F1128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AE7317">
        <w:rPr>
          <w:rFonts w:asciiTheme="minorHAnsi" w:hAnsiTheme="minorHAnsi" w:cstheme="minorHAnsi"/>
          <w:b/>
          <w:sz w:val="26"/>
          <w:szCs w:val="26"/>
          <w:u w:val="single"/>
        </w:rPr>
        <w:t>Dávky pomoci v hmotné nouzi</w:t>
      </w:r>
      <w:r w:rsidRPr="00AE7317">
        <w:rPr>
          <w:rFonts w:asciiTheme="minorHAnsi" w:hAnsiTheme="minorHAnsi" w:cstheme="minorHAnsi"/>
          <w:sz w:val="26"/>
          <w:szCs w:val="26"/>
        </w:rPr>
        <w:t xml:space="preserve"> byly čerpány </w:t>
      </w:r>
      <w:r w:rsidRPr="00AE7317">
        <w:rPr>
          <w:rFonts w:asciiTheme="minorHAnsi" w:hAnsiTheme="minorHAnsi" w:cstheme="minorHAnsi"/>
          <w:b/>
          <w:sz w:val="26"/>
          <w:szCs w:val="26"/>
        </w:rPr>
        <w:t>ve výši 3,3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>. V porovnání s množstvím prostředků poskytnutých touto formou v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lednu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–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září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2018 se jednalo o jejich </w:t>
      </w:r>
      <w:r w:rsidRPr="00AE7317">
        <w:rPr>
          <w:rFonts w:asciiTheme="minorHAnsi" w:hAnsiTheme="minorHAnsi" w:cstheme="minorHAnsi"/>
          <w:b/>
          <w:sz w:val="26"/>
          <w:szCs w:val="26"/>
        </w:rPr>
        <w:t>snížení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(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18,7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>, tj. o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0,8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mld.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Kč) – viz tabulky č. 8 a 17 v příloze.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Výdaje na </w:t>
      </w:r>
      <w:r w:rsidRPr="00AE7317">
        <w:rPr>
          <w:rFonts w:asciiTheme="minorHAnsi" w:hAnsiTheme="minorHAnsi" w:cstheme="minorHAnsi"/>
          <w:b/>
          <w:sz w:val="26"/>
          <w:szCs w:val="26"/>
        </w:rPr>
        <w:t>příspěvek na živobytí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(jejichž podíl činil 62,7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% z úhrnného objemu prostředků na dávky pomoci v hmotné nouzi) </w:t>
      </w:r>
      <w:r w:rsidRPr="00AE7317">
        <w:rPr>
          <w:rFonts w:asciiTheme="minorHAnsi" w:hAnsiTheme="minorHAnsi" w:cstheme="minorHAnsi"/>
          <w:b/>
          <w:sz w:val="26"/>
          <w:szCs w:val="26"/>
        </w:rPr>
        <w:t>klesly na 2,1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 a byly tak oproti skutečnosti srovnávaného období předchozího roku o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0,5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mld. Kč (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20,2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>) nižší. Meziročně se snížily ve všech krajích – viz tabulku č. 18 v příloze.</w:t>
      </w:r>
    </w:p>
    <w:p w:rsidR="005376F7" w:rsidRPr="00AE7317" w:rsidRDefault="005376F7" w:rsidP="00F1128F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AE7317">
        <w:rPr>
          <w:rFonts w:asciiTheme="minorHAnsi" w:hAnsiTheme="minorHAnsi" w:cstheme="minorHAnsi"/>
          <w:b/>
          <w:sz w:val="26"/>
          <w:szCs w:val="26"/>
        </w:rPr>
        <w:t>doplatku na bydlení</w:t>
      </w:r>
      <w:r w:rsidRPr="00AE7317">
        <w:rPr>
          <w:rFonts w:asciiTheme="minorHAnsi" w:hAnsiTheme="minorHAnsi" w:cstheme="minorHAnsi"/>
          <w:sz w:val="26"/>
          <w:szCs w:val="26"/>
        </w:rPr>
        <w:t>, který představuje 36,1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% z úhrnu dávek pomoci v hmotné nouzi, bylo vyplaceno </w:t>
      </w:r>
      <w:r w:rsidRPr="00AE7317">
        <w:rPr>
          <w:rFonts w:asciiTheme="minorHAnsi" w:hAnsiTheme="minorHAnsi" w:cstheme="minorHAnsi"/>
          <w:b/>
          <w:sz w:val="26"/>
          <w:szCs w:val="26"/>
        </w:rPr>
        <w:t>1,2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, tj. 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0,2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Kč </w:t>
      </w:r>
      <w:r w:rsidRPr="00AE7317">
        <w:rPr>
          <w:rFonts w:asciiTheme="minorHAnsi" w:hAnsiTheme="minorHAnsi" w:cstheme="minorHAnsi"/>
          <w:sz w:val="26"/>
          <w:szCs w:val="26"/>
        </w:rPr>
        <w:t>(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16,2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>)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méně</w:t>
      </w:r>
      <w:r w:rsidRPr="00AE7317">
        <w:rPr>
          <w:rFonts w:asciiTheme="minorHAnsi" w:hAnsiTheme="minorHAnsi" w:cstheme="minorHAnsi"/>
          <w:sz w:val="26"/>
          <w:szCs w:val="26"/>
        </w:rPr>
        <w:t xml:space="preserve"> než ve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stejném období roku 2018. U čerpání této dávky rovněž došlo k poklesu ve všech krajích ČR, jak ukazuje tabulka č. 18 v příloze.</w:t>
      </w:r>
    </w:p>
    <w:p w:rsidR="005376F7" w:rsidRPr="00AE7317" w:rsidRDefault="005376F7" w:rsidP="005376F7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</w:rPr>
        <w:t>Výdaje na mimořádnou okamžitou pomoc</w:t>
      </w:r>
      <w:r w:rsidRPr="00AE7317">
        <w:rPr>
          <w:rFonts w:asciiTheme="minorHAnsi" w:hAnsiTheme="minorHAnsi" w:cstheme="minorHAnsi"/>
          <w:sz w:val="26"/>
          <w:szCs w:val="26"/>
        </w:rPr>
        <w:t xml:space="preserve"> se proti srovnatelnému období roku 2018 </w:t>
      </w:r>
      <w:r w:rsidRPr="00AE7317">
        <w:rPr>
          <w:rFonts w:asciiTheme="minorHAnsi" w:hAnsiTheme="minorHAnsi" w:cstheme="minorHAnsi"/>
          <w:b/>
          <w:sz w:val="26"/>
          <w:szCs w:val="26"/>
        </w:rPr>
        <w:t>snížily</w:t>
      </w:r>
      <w:r w:rsidRPr="00AE7317">
        <w:rPr>
          <w:rFonts w:asciiTheme="minorHAnsi" w:hAnsiTheme="minorHAnsi" w:cstheme="minorHAnsi"/>
          <w:sz w:val="26"/>
          <w:szCs w:val="26"/>
        </w:rPr>
        <w:t xml:space="preserve">. Bylo na nich vyplaceno </w:t>
      </w:r>
      <w:r w:rsidRPr="00AE7317">
        <w:rPr>
          <w:rFonts w:asciiTheme="minorHAnsi" w:hAnsiTheme="minorHAnsi" w:cstheme="minorHAnsi"/>
          <w:b/>
          <w:sz w:val="26"/>
          <w:szCs w:val="26"/>
        </w:rPr>
        <w:t>39,7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mil.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, tj. </w:t>
      </w:r>
      <w:r w:rsidRPr="00AE7317">
        <w:rPr>
          <w:rFonts w:asciiTheme="minorHAnsi" w:hAnsiTheme="minorHAnsi" w:cstheme="minorHAnsi"/>
          <w:b/>
          <w:sz w:val="26"/>
          <w:szCs w:val="26"/>
        </w:rPr>
        <w:t>o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17,6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</w:t>
      </w:r>
      <w:r w:rsidRPr="00AE7317">
        <w:rPr>
          <w:rFonts w:asciiTheme="minorHAnsi" w:hAnsiTheme="minorHAnsi" w:cstheme="minorHAnsi"/>
          <w:sz w:val="26"/>
          <w:szCs w:val="26"/>
        </w:rPr>
        <w:t xml:space="preserve"> (o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8,5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mil.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Kč) méně.</w:t>
      </w:r>
    </w:p>
    <w:p w:rsidR="005376F7" w:rsidRPr="00AE7317" w:rsidRDefault="005376F7" w:rsidP="00F1128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1128F" w:rsidRPr="00AE7317" w:rsidRDefault="00F1128F" w:rsidP="00F1128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1128F" w:rsidRPr="00AE7317" w:rsidRDefault="00F1128F" w:rsidP="00F1128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376F7" w:rsidRPr="00AE7317" w:rsidRDefault="005376F7" w:rsidP="005376F7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sz w:val="26"/>
          <w:szCs w:val="26"/>
          <w:u w:val="single"/>
        </w:rPr>
        <w:t>Dávky pro osoby se zdravotním postižením</w:t>
      </w:r>
      <w:r w:rsidRPr="00AE7317">
        <w:rPr>
          <w:rFonts w:asciiTheme="minorHAnsi" w:hAnsiTheme="minorHAnsi" w:cstheme="minorHAnsi"/>
          <w:sz w:val="26"/>
          <w:szCs w:val="26"/>
        </w:rPr>
        <w:t xml:space="preserve"> se podílely na celkových sociálních příjmech domácností pouze 0,5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 xml:space="preserve">%. Bylo na nich vyplaceno </w:t>
      </w:r>
      <w:r w:rsidRPr="00AE7317">
        <w:rPr>
          <w:rFonts w:asciiTheme="minorHAnsi" w:hAnsiTheme="minorHAnsi" w:cstheme="minorHAnsi"/>
          <w:b/>
          <w:sz w:val="26"/>
          <w:szCs w:val="26"/>
        </w:rPr>
        <w:t>2,0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mld.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 (</w:t>
      </w:r>
      <w:r w:rsidRPr="00AE7317">
        <w:rPr>
          <w:rFonts w:asciiTheme="minorHAnsi" w:hAnsiTheme="minorHAnsi" w:cstheme="minorHAnsi"/>
          <w:b/>
          <w:sz w:val="26"/>
          <w:szCs w:val="26"/>
        </w:rPr>
        <w:t>o 2,6</w:t>
      </w:r>
      <w:r w:rsidR="00F1128F" w:rsidRPr="00AE7317">
        <w:rPr>
          <w:rFonts w:asciiTheme="minorHAnsi" w:hAnsiTheme="minorHAnsi" w:cstheme="minorHAnsi"/>
          <w:b/>
          <w:sz w:val="26"/>
          <w:szCs w:val="26"/>
        </w:rPr>
        <w:t> </w:t>
      </w:r>
      <w:r w:rsidRPr="00AE7317">
        <w:rPr>
          <w:rFonts w:asciiTheme="minorHAnsi" w:hAnsiTheme="minorHAnsi" w:cstheme="minorHAnsi"/>
          <w:b/>
          <w:sz w:val="26"/>
          <w:szCs w:val="26"/>
        </w:rPr>
        <w:t>% více</w:t>
      </w:r>
      <w:r w:rsidRPr="00AE7317">
        <w:rPr>
          <w:rFonts w:asciiTheme="minorHAnsi" w:hAnsiTheme="minorHAnsi" w:cstheme="minorHAnsi"/>
          <w:sz w:val="26"/>
          <w:szCs w:val="26"/>
        </w:rPr>
        <w:t xml:space="preserve"> než ve sledovaném období roku 2018). V 1.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–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3.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čtvrtletí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2019 bylo vyplaceno 5,8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tis. příspěvků na zvláštní pomůcku v celkové výši 711,4 mil. Kč. Příspěvků na mobilitu bylo poskytnuto v průměru měsíčně 261,4 tis. a bylo na ně čerpáno za leden až září 2019 celkem 1,3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mld.</w:t>
      </w:r>
      <w:r w:rsidR="00F1128F" w:rsidRPr="00AE7317">
        <w:rPr>
          <w:rFonts w:asciiTheme="minorHAnsi" w:hAnsiTheme="minorHAnsi" w:cstheme="minorHAnsi"/>
          <w:sz w:val="26"/>
          <w:szCs w:val="26"/>
        </w:rPr>
        <w:t> </w:t>
      </w:r>
      <w:r w:rsidRPr="00AE7317">
        <w:rPr>
          <w:rFonts w:asciiTheme="minorHAnsi" w:hAnsiTheme="minorHAnsi" w:cstheme="minorHAnsi"/>
          <w:sz w:val="26"/>
          <w:szCs w:val="26"/>
        </w:rPr>
        <w:t>Kč – viz tabulku č. 19 v příloze.</w:t>
      </w:r>
    </w:p>
    <w:p w:rsidR="00893A94" w:rsidRPr="00AE7317" w:rsidRDefault="00893A94" w:rsidP="00893A94">
      <w:pPr>
        <w:rPr>
          <w:strike/>
        </w:rPr>
      </w:pPr>
      <w:r w:rsidRPr="00AE7317">
        <w:rPr>
          <w:strike/>
        </w:rPr>
        <w:br w:type="page"/>
      </w:r>
    </w:p>
    <w:p w:rsidR="00893A94" w:rsidRPr="00AE7317" w:rsidRDefault="00893A94" w:rsidP="00893A94">
      <w:pPr>
        <w:rPr>
          <w:rFonts w:asciiTheme="minorHAnsi" w:hAnsiTheme="minorHAnsi" w:cs="Arial"/>
          <w:b/>
          <w:i/>
          <w:iCs/>
          <w:sz w:val="44"/>
          <w:szCs w:val="44"/>
        </w:rPr>
      </w:pPr>
      <w:r w:rsidRPr="00AE7317">
        <w:rPr>
          <w:rFonts w:asciiTheme="minorHAnsi" w:hAnsiTheme="minorHAnsi" w:cs="Arial"/>
          <w:b/>
          <w:iCs/>
          <w:sz w:val="44"/>
          <w:szCs w:val="44"/>
        </w:rPr>
        <w:lastRenderedPageBreak/>
        <w:t>2.</w:t>
      </w:r>
      <w:r w:rsidRPr="00AE7317">
        <w:rPr>
          <w:rFonts w:asciiTheme="minorHAnsi" w:hAnsiTheme="minorHAnsi" w:cs="Arial"/>
          <w:b/>
          <w:i/>
          <w:iCs/>
          <w:sz w:val="44"/>
          <w:szCs w:val="44"/>
        </w:rPr>
        <w:t xml:space="preserve"> </w:t>
      </w:r>
      <w:r w:rsidRPr="00AE7317">
        <w:rPr>
          <w:rFonts w:asciiTheme="minorHAnsi" w:hAnsiTheme="minorHAnsi" w:cs="Arial"/>
          <w:b/>
          <w:iCs/>
          <w:sz w:val="44"/>
          <w:szCs w:val="44"/>
        </w:rPr>
        <w:t>Spotřebitelské ceny a životní náklady</w:t>
      </w:r>
    </w:p>
    <w:p w:rsidR="00D237C3" w:rsidRPr="00AE7317" w:rsidRDefault="00D237C3" w:rsidP="00D237C3">
      <w:pPr>
        <w:spacing w:line="360" w:lineRule="auto"/>
        <w:rPr>
          <w:rFonts w:cs="Arial"/>
          <w:b/>
          <w:szCs w:val="36"/>
        </w:rPr>
      </w:pPr>
    </w:p>
    <w:p w:rsidR="00D237C3" w:rsidRPr="00AE7317" w:rsidRDefault="00D237C3" w:rsidP="00D237C3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/>
          <w:sz w:val="26"/>
          <w:szCs w:val="26"/>
        </w:rPr>
        <w:tab/>
        <w:t xml:space="preserve">Nárůst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spotřebitelských cen</w:t>
      </w:r>
      <w:r w:rsidRPr="00AE7317">
        <w:rPr>
          <w:rFonts w:asciiTheme="minorHAnsi" w:hAnsiTheme="minorHAnsi" w:cstheme="minorHAnsi"/>
          <w:sz w:val="26"/>
          <w:szCs w:val="26"/>
        </w:rPr>
        <w:t xml:space="preserve"> a životních nákladů </w:t>
      </w:r>
      <w:r w:rsidRPr="00AE7317">
        <w:rPr>
          <w:rFonts w:asciiTheme="minorHAnsi" w:hAnsiTheme="minorHAnsi" w:cstheme="minorHAnsi"/>
          <w:b/>
          <w:sz w:val="26"/>
          <w:szCs w:val="26"/>
        </w:rPr>
        <w:t>byl</w:t>
      </w:r>
      <w:r w:rsidRPr="00AE7317">
        <w:rPr>
          <w:rFonts w:asciiTheme="minorHAnsi" w:hAnsiTheme="minorHAnsi" w:cstheme="minorHAnsi"/>
          <w:sz w:val="26"/>
          <w:szCs w:val="26"/>
        </w:rPr>
        <w:t xml:space="preserve"> z pohledu domácností v lednu až září 2019 </w:t>
      </w:r>
      <w:r w:rsidRPr="00AE7317">
        <w:rPr>
          <w:rFonts w:asciiTheme="minorHAnsi" w:hAnsiTheme="minorHAnsi" w:cstheme="minorHAnsi"/>
          <w:b/>
          <w:sz w:val="26"/>
          <w:szCs w:val="26"/>
        </w:rPr>
        <w:t>oproti předcházejícímu roku vyšší a</w:t>
      </w:r>
      <w:r w:rsidRPr="00AE7317">
        <w:rPr>
          <w:rFonts w:asciiTheme="minorHAnsi" w:hAnsiTheme="minorHAnsi" w:cstheme="minorHAnsi"/>
          <w:sz w:val="26"/>
          <w:szCs w:val="26"/>
        </w:rPr>
        <w:t xml:space="preserve"> meziročně </w:t>
      </w:r>
      <w:r w:rsidRPr="00AE7317">
        <w:rPr>
          <w:rFonts w:asciiTheme="minorHAnsi" w:hAnsiTheme="minorHAnsi" w:cstheme="minorHAnsi"/>
          <w:b/>
          <w:sz w:val="26"/>
          <w:szCs w:val="26"/>
        </w:rPr>
        <w:t>činil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2,8 %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>(ve stejném období roku 2018 stouply ceny meziročně o 2,2 %) – viz tabulky č. 20 a č. 21.</w:t>
      </w:r>
    </w:p>
    <w:p w:rsidR="00D237C3" w:rsidRPr="00AE7317" w:rsidRDefault="00D237C3" w:rsidP="00D237C3">
      <w:pPr>
        <w:spacing w:after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 xml:space="preserve">Mezičtvrtletní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přírůstek </w:t>
      </w:r>
      <w:r w:rsidRPr="00AE7317">
        <w:rPr>
          <w:rFonts w:asciiTheme="minorHAnsi" w:hAnsiTheme="minorHAnsi" w:cstheme="minorHAnsi"/>
          <w:sz w:val="26"/>
          <w:szCs w:val="26"/>
        </w:rPr>
        <w:t xml:space="preserve">spotřebitelských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cen ve třetím čtvrtletí 2019 dosáhl 0,6 %, </w:t>
      </w:r>
      <w:r w:rsidRPr="00AE7317">
        <w:rPr>
          <w:rFonts w:asciiTheme="minorHAnsi" w:hAnsiTheme="minorHAnsi" w:cstheme="minorHAnsi"/>
          <w:bCs/>
          <w:sz w:val="26"/>
          <w:szCs w:val="26"/>
        </w:rPr>
        <w:t>což bylo o jednu desetinu méně než ve druhém čtvrtletí (0,7 %).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Oproti druhému čtvrtletí zejména došlo ke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zvýšení cen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v oddílech rekreace a kultura </w:t>
      </w:r>
      <w:r w:rsidRPr="00AE7317">
        <w:rPr>
          <w:rFonts w:asciiTheme="minorHAnsi" w:hAnsiTheme="minorHAnsi" w:cstheme="minorHAnsi"/>
          <w:bCs/>
          <w:sz w:val="26"/>
          <w:szCs w:val="26"/>
        </w:rPr>
        <w:t>(o 4,5 %),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kde nejvíce vzrostly ceny dovolených s komplexními službami (o 21,4 %),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a bydlení (o 0,6 %),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což bylo způsobeno vyššími cenami nájemného z bytu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(o 1,5 %), elektřiny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(o 0,4 %) a tepla a teplé vody (o 0,3 %).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Náklady domácnostem naopak </w:t>
      </w:r>
      <w:r w:rsidRPr="00AE7317">
        <w:rPr>
          <w:rFonts w:asciiTheme="minorHAnsi" w:hAnsiTheme="minorHAnsi" w:cstheme="minorHAnsi"/>
          <w:bCs/>
          <w:sz w:val="26"/>
          <w:szCs w:val="26"/>
        </w:rPr>
        <w:t>mezičtvrtletně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poklesly v oddílech doprava </w:t>
      </w:r>
      <w:r w:rsidRPr="00AE7317">
        <w:rPr>
          <w:rFonts w:asciiTheme="minorHAnsi" w:hAnsiTheme="minorHAnsi" w:cstheme="minorHAnsi"/>
          <w:bCs/>
          <w:sz w:val="26"/>
          <w:szCs w:val="26"/>
        </w:rPr>
        <w:t>(o 0,2 %),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kde se snížily ceny pohonných hmot a olejů (o 1,0 %),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odívání a obuv </w:t>
      </w:r>
      <w:r w:rsidRPr="00AE7317">
        <w:rPr>
          <w:rFonts w:asciiTheme="minorHAnsi" w:hAnsiTheme="minorHAnsi" w:cstheme="minorHAnsi"/>
          <w:bCs/>
          <w:sz w:val="26"/>
          <w:szCs w:val="26"/>
        </w:rPr>
        <w:t>(o 3,0 %)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a pošty a telekomunikace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(o 0,5 %). Ceny potravin a nealkoholických nápojů se v porovnání s druhým čtvrtletím nezměnily. Vzrostly ceny pekárenských výrobků a obilovin a masa, to ale bylo vyváženo poklesem cen ovoce, zeleniny, olejů a tuků. </w:t>
      </w:r>
    </w:p>
    <w:p w:rsidR="00D237C3" w:rsidRPr="00AE7317" w:rsidRDefault="00D237C3" w:rsidP="00D237C3">
      <w:pPr>
        <w:spacing w:after="240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>Meziročně vzrostly spotřebitelské ceny ve 3. čtvrtletí 2019 o 2,8 %, tj. stejně jako ve 2. čtvrtletí. Na růst úhrnné cenové hladiny působilo v červenci – září 2019 zejména zvýšení růstu cen v oddílech „potraviny a nealkoholické nápoje“ (největší vliv měly ceny masa a pekárenských výrobků</w:t>
      </w:r>
      <w:r w:rsidRPr="00AE7317">
        <w:rPr>
          <w:rFonts w:asciiTheme="minorHAnsi" w:hAnsiTheme="minorHAnsi" w:cstheme="minorHAnsi"/>
          <w:sz w:val="26"/>
          <w:szCs w:val="26"/>
          <w:lang w:val="en-GB"/>
        </w:rPr>
        <w:t xml:space="preserve">; </w:t>
      </w:r>
      <w:r w:rsidRPr="00AE7317">
        <w:rPr>
          <w:rFonts w:asciiTheme="minorHAnsi" w:hAnsiTheme="minorHAnsi" w:cstheme="minorHAnsi"/>
          <w:sz w:val="26"/>
          <w:szCs w:val="26"/>
        </w:rPr>
        <w:t>obilovin), „stravování a ubytování“ (především náklady na stravovací služby) a „rekreace a kultura“ (zvláště dovolené s komplexními službami). Na zpomalení cenového růstu naopak působila nižší dynamika v oddíle „bydlení“, kde se náklady zvýšily o 5,2 %, zatímco ve druhém čtvrtletí vzrostly o 5,7 %. Vliv měl rovněž pokles cen o 0,2 % v oddíle „doprava“. Tržní ceny se meziročně ve třetím čtvrtletí 2019 zvýšily o 2,6 %, regulované ceny vzrostly o 4,3 %.</w:t>
      </w:r>
    </w:p>
    <w:p w:rsidR="00D237C3" w:rsidRPr="00AE7317" w:rsidRDefault="00D237C3" w:rsidP="00D237C3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V lednu – září 2019 vzrostly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životní náklady domácností důchodců ve srovnání se stejným obdobím předchozího roku o 2,7 % </w:t>
      </w:r>
      <w:r w:rsidRPr="00AE7317">
        <w:rPr>
          <w:rFonts w:asciiTheme="minorHAnsi" w:hAnsiTheme="minorHAnsi" w:cstheme="minorHAnsi"/>
          <w:bCs/>
          <w:sz w:val="26"/>
          <w:szCs w:val="26"/>
        </w:rPr>
        <w:t>(tj. nárůst o 0,7 p. b. vyšší než v lednu – září 2018).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Na rozdíl od celkového indexu byl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cenový vývoj těchto domácností výrazně ovlivněn zavedením slev na jízdné,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který snižuje cenový index v oddíle doprava od září 2018. Ale zatímco v srpnu 2019 byly ceny ve skupině </w:t>
      </w:r>
      <w:r w:rsidRPr="00AE7317">
        <w:rPr>
          <w:rFonts w:asciiTheme="minorHAnsi" w:hAnsiTheme="minorHAnsi" w:cstheme="minorHAnsi"/>
          <w:bCs/>
          <w:sz w:val="26"/>
          <w:szCs w:val="26"/>
        </w:rPr>
        <w:lastRenderedPageBreak/>
        <w:t>dopravní služby o 24,1 % meziročně nižší, tak v září rostly o 0,7 % (kdy již došlo k meziročnímu srovnání s prvním měsícem po zavedení slev).</w:t>
      </w:r>
    </w:p>
    <w:p w:rsidR="00D237C3" w:rsidRPr="00AE7317" w:rsidRDefault="00D237C3" w:rsidP="00D237C3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E7317">
        <w:rPr>
          <w:rFonts w:asciiTheme="minorHAnsi" w:hAnsiTheme="minorHAnsi" w:cstheme="minorHAnsi"/>
          <w:bCs/>
          <w:sz w:val="26"/>
          <w:szCs w:val="26"/>
        </w:rPr>
        <w:tab/>
        <w:t xml:space="preserve">Totožně jako domácnostem celkem vzrostly za první tři čtvrtletí 2019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životní náklady domácností žijících v hl. m. Praze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(meziroční index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102,8 %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), kde nadprůměrně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vzrostly ceny zejména v oddílech „potraviny a nealkoholické nápoje“,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či „rekreace a kultura“.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Naopak méně rostly životní náklady například v oddíle „alkoholické nápoje, tabák“ a „stravování a ubytování“.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Domácnostem v Praze poklesly,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podobně jako domácnostem celkem,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náklady v oddílech „odívání a obuv“ a „pošty a telekomunikace“.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Ke značně odlišnému cenovému vývoji došlo v oddílu zahrnujícím náklady na bydlení. Index za tento oddíl byl mírně nižší než v případě domácností celkem, ale v rámci tohoto oddílu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výrazně rychleji rostly domácnostem v hl. m. Praze náklady na nájemné a naopak znatelně nižší byl růst nákladů v cenové skupině zahrnující energie, plyn a paliva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– více ke struktuře růstu životních nákladů vykazovaných typů domácností uvádí tabulka č. 21 v příloze.</w:t>
      </w:r>
    </w:p>
    <w:p w:rsidR="00D237C3" w:rsidRPr="00AE7317" w:rsidRDefault="00D237C3" w:rsidP="00D237C3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E7317">
        <w:rPr>
          <w:rFonts w:asciiTheme="minorHAnsi" w:hAnsiTheme="minorHAnsi" w:cstheme="minorHAnsi"/>
          <w:bCs/>
          <w:sz w:val="26"/>
          <w:szCs w:val="26"/>
        </w:rPr>
        <w:tab/>
        <w:t>M</w:t>
      </w:r>
      <w:r w:rsidRPr="00AE7317">
        <w:rPr>
          <w:rFonts w:asciiTheme="minorHAnsi" w:hAnsiTheme="minorHAnsi" w:cstheme="minorHAnsi"/>
          <w:sz w:val="26"/>
          <w:szCs w:val="26"/>
        </w:rPr>
        <w:t xml:space="preserve">eziroční přírůstek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harmonizovaného indexu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spotřebitelských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cen </w:t>
      </w:r>
      <w:r w:rsidRPr="00AE7317">
        <w:rPr>
          <w:rFonts w:asciiTheme="minorHAnsi" w:hAnsiTheme="minorHAnsi" w:cstheme="minorHAnsi"/>
          <w:sz w:val="26"/>
          <w:szCs w:val="26"/>
        </w:rPr>
        <w:t xml:space="preserve">(propočtený podle metodiky Eurostatu pro potřeby porovnání inflace v jednotlivých členských zemích)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v České republice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činil v červenci, srpnu, i v září minulého roku shodně 2,6 %.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Meziroční přírůstek </w:t>
      </w:r>
      <w:r w:rsidRPr="00AE7317">
        <w:rPr>
          <w:rFonts w:asciiTheme="minorHAnsi" w:hAnsiTheme="minorHAnsi" w:cstheme="minorHAnsi"/>
          <w:bCs/>
          <w:sz w:val="26"/>
          <w:szCs w:val="26"/>
        </w:rPr>
        <w:t>harmonizovaného indexu spotřebitelských cen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v EU dosáhl v červenci 1,4 %, v srpnu 1,4 %, a v září 1,2 %.</w:t>
      </w:r>
    </w:p>
    <w:p w:rsidR="00D237C3" w:rsidRPr="00AE7317" w:rsidRDefault="00D237C3" w:rsidP="00D237C3">
      <w:pPr>
        <w:spacing w:after="120"/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Cs/>
          <w:sz w:val="26"/>
          <w:szCs w:val="26"/>
        </w:rPr>
        <w:t xml:space="preserve">Podle aktuálních dílčích dat ČSÚ z počátku ledna 2020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vzrostly spotřebitelské ceny v prosinci 2019 </w:t>
      </w:r>
      <w:r w:rsidRPr="00AE7317">
        <w:rPr>
          <w:rFonts w:asciiTheme="minorHAnsi" w:hAnsiTheme="minorHAnsi" w:cstheme="minorHAnsi"/>
          <w:bCs/>
          <w:sz w:val="26"/>
          <w:szCs w:val="26"/>
        </w:rPr>
        <w:t>(proti prosinci 2018)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o 3,2 %. </w:t>
      </w:r>
      <w:r w:rsidRPr="00AE7317">
        <w:rPr>
          <w:rFonts w:asciiTheme="minorHAnsi" w:hAnsiTheme="minorHAnsi" w:cstheme="minorHAnsi"/>
          <w:bCs/>
          <w:sz w:val="26"/>
          <w:szCs w:val="26"/>
        </w:rPr>
        <w:t>Jednalo se o 1,2 p. b. vyšší meziroční růst cen než v prosinci předcházejícího roku.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Největší vliv na nárůst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úhrnné cenové inflace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měl nadále oddíl „bydlení, voda, energie, paliva“ </w:t>
      </w:r>
      <w:r w:rsidRPr="00AE7317">
        <w:rPr>
          <w:rFonts w:asciiTheme="minorHAnsi" w:hAnsiTheme="minorHAnsi" w:cstheme="minorHAnsi"/>
          <w:bCs/>
          <w:sz w:val="26"/>
          <w:szCs w:val="26"/>
        </w:rPr>
        <w:t>(ceny nájmů, elektřiny, zemního plynu, tepla a teplé vody).</w:t>
      </w:r>
    </w:p>
    <w:p w:rsidR="00D237C3" w:rsidRPr="00AE7317" w:rsidRDefault="00D237C3" w:rsidP="00D237C3">
      <w:pPr>
        <w:spacing w:after="360"/>
        <w:ind w:left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Průměrná míra cenové inflace vyjádřená přírůstkem spotřebitelských cen v roce 2019 proti průměru roku 2018 dosáhla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(v souladu s odhadem MPSV zveřejněným v Analýze vývoje příjmů a výdajů domácností ČR v 1. pololetí 2019)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2,8 %,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což bylo o 0,7 p. b. více než v roce 2018.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Životní náklady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domácností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důchodců se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v průměru meziročně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zvýšily o 2,8 %.</w:t>
      </w:r>
    </w:p>
    <w:p w:rsidR="00D237C3" w:rsidRPr="00AE7317" w:rsidRDefault="00D237C3" w:rsidP="00D237C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bCs/>
          <w:sz w:val="26"/>
          <w:szCs w:val="26"/>
        </w:rPr>
        <w:tab/>
        <w:t>Podrobnější rozbor cenové inflace bude proveden v dubnu t. r. v rámci komplexní analýzy příjmové a výdajové situace domácností za celý rok 2019.</w:t>
      </w:r>
    </w:p>
    <w:p w:rsidR="00F02B74" w:rsidRPr="00AE7317" w:rsidRDefault="00F02B74" w:rsidP="003A726A">
      <w:pPr>
        <w:jc w:val="both"/>
        <w:rPr>
          <w:rFonts w:asciiTheme="minorHAnsi" w:hAnsiTheme="minorHAnsi"/>
          <w:b/>
          <w:bCs/>
          <w:sz w:val="44"/>
          <w:szCs w:val="44"/>
        </w:rPr>
      </w:pPr>
      <w:r w:rsidRPr="00AE7317">
        <w:rPr>
          <w:rFonts w:asciiTheme="minorHAnsi" w:hAnsiTheme="minorHAnsi"/>
          <w:b/>
          <w:bCs/>
          <w:sz w:val="44"/>
          <w:szCs w:val="44"/>
        </w:rPr>
        <w:lastRenderedPageBreak/>
        <w:t>3. Peněžní výdaje, úvěry a úspory domácností</w:t>
      </w:r>
    </w:p>
    <w:p w:rsidR="00083A69" w:rsidRPr="00AE7317" w:rsidRDefault="00083A69" w:rsidP="003A726A">
      <w:pPr>
        <w:spacing w:after="240"/>
        <w:jc w:val="both"/>
        <w:rPr>
          <w:rFonts w:asciiTheme="minorHAnsi" w:hAnsiTheme="minorHAnsi" w:cstheme="minorHAnsi"/>
        </w:rPr>
      </w:pPr>
    </w:p>
    <w:p w:rsidR="00083A69" w:rsidRPr="00AE7317" w:rsidRDefault="00083A69" w:rsidP="00083A69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</w:rPr>
        <w:tab/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Na základě údajů statistiky národních účtů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vynaložil </w:t>
      </w:r>
      <w:r w:rsidRPr="00AE7317">
        <w:rPr>
          <w:rFonts w:asciiTheme="minorHAnsi" w:hAnsiTheme="minorHAnsi" w:cstheme="minorHAnsi"/>
          <w:bCs/>
          <w:sz w:val="26"/>
          <w:szCs w:val="26"/>
        </w:rPr>
        <w:t>v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1. – 3. čtvrtletí 2019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sektor domácností </w:t>
      </w:r>
      <w:r w:rsidRPr="00AE7317">
        <w:rPr>
          <w:rFonts w:asciiTheme="minorHAnsi" w:hAnsiTheme="minorHAnsi" w:cstheme="minorHAnsi"/>
          <w:b/>
          <w:sz w:val="26"/>
          <w:szCs w:val="26"/>
        </w:rPr>
        <w:t>1 952,6 m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ld. Kč na výdaje spojené s individuální spotřebou, </w:t>
      </w:r>
      <w:r w:rsidRPr="00AE7317">
        <w:rPr>
          <w:rFonts w:asciiTheme="minorHAnsi" w:hAnsiTheme="minorHAnsi" w:cstheme="minorHAnsi"/>
          <w:bCs/>
          <w:sz w:val="26"/>
          <w:szCs w:val="26"/>
        </w:rPr>
        <w:t>tj. </w:t>
      </w:r>
      <w:r w:rsidRPr="00AE7317">
        <w:rPr>
          <w:rFonts w:asciiTheme="minorHAnsi" w:hAnsiTheme="minorHAnsi" w:cstheme="minorHAnsi"/>
          <w:sz w:val="26"/>
          <w:szCs w:val="26"/>
        </w:rPr>
        <w:t>o 5,9 % (112,8 mld. Kč) více než o rok dříve</w:t>
      </w:r>
      <w:r w:rsidRPr="00AE7317">
        <w:rPr>
          <w:rFonts w:asciiTheme="minorHAnsi" w:hAnsiTheme="minorHAnsi" w:cstheme="minorHAnsi"/>
          <w:bCs/>
          <w:sz w:val="26"/>
          <w:szCs w:val="26"/>
        </w:rPr>
        <w:t>.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Domácnosti</w:t>
      </w:r>
      <w:r w:rsidRPr="00AE7317">
        <w:rPr>
          <w:rFonts w:asciiTheme="minorHAnsi" w:hAnsiTheme="minorHAnsi" w:cstheme="minorHAnsi"/>
          <w:sz w:val="26"/>
          <w:szCs w:val="26"/>
        </w:rPr>
        <w:t xml:space="preserve"> tak – po zohlednění cenové inflace – </w:t>
      </w:r>
      <w:r w:rsidRPr="00AE7317">
        <w:rPr>
          <w:rFonts w:asciiTheme="minorHAnsi" w:hAnsiTheme="minorHAnsi" w:cstheme="minorHAnsi"/>
          <w:b/>
          <w:sz w:val="26"/>
          <w:szCs w:val="26"/>
        </w:rPr>
        <w:t>nakoupily zboží a služeb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reálně</w:t>
      </w:r>
      <w:r w:rsidRPr="00AE7317">
        <w:rPr>
          <w:rFonts w:asciiTheme="minorHAnsi" w:hAnsiTheme="minorHAnsi" w:cstheme="minorHAnsi"/>
          <w:sz w:val="26"/>
          <w:szCs w:val="26"/>
        </w:rPr>
        <w:t xml:space="preserve"> o cca 59,6 mld. Kč </w:t>
      </w:r>
      <w:r w:rsidRPr="00AE7317">
        <w:rPr>
          <w:rFonts w:asciiTheme="minorHAnsi" w:hAnsiTheme="minorHAnsi" w:cstheme="minorHAnsi"/>
          <w:b/>
          <w:sz w:val="26"/>
          <w:szCs w:val="26"/>
        </w:rPr>
        <w:t>více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>než před rokem.</w:t>
      </w:r>
    </w:p>
    <w:p w:rsidR="00083A69" w:rsidRPr="00AE7317" w:rsidRDefault="00083A69" w:rsidP="00083A69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Míra úspor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domácností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činila </w:t>
      </w:r>
      <w:r w:rsidRPr="00AE7317">
        <w:rPr>
          <w:rFonts w:asciiTheme="minorHAnsi" w:hAnsiTheme="minorHAnsi" w:cstheme="minorHAnsi"/>
          <w:bCs/>
          <w:sz w:val="26"/>
          <w:szCs w:val="26"/>
        </w:rPr>
        <w:t>dle ČSÚ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za prvních devět měsíců minulého roku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10,43 %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a byla tak vyšší oproti stejnému období roku 2018 o 0,33 p. b. </w:t>
      </w:r>
      <w:r w:rsidRPr="00AE7317">
        <w:rPr>
          <w:rFonts w:asciiTheme="minorHAnsi" w:hAnsiTheme="minorHAnsi" w:cstheme="minorHAnsi"/>
          <w:sz w:val="26"/>
          <w:szCs w:val="26"/>
        </w:rPr>
        <w:t>– viz tabulku č. 1 v příloze.</w:t>
      </w:r>
    </w:p>
    <w:p w:rsidR="00083A69" w:rsidRPr="00AE7317" w:rsidRDefault="00083A69" w:rsidP="00083A69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ab/>
        <w:t>Úvěry domácnostem zachovaly v prvním až třetím čtvrtletí roku 2019 svou mírně zpomalující dynamiku růstu a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 xml:space="preserve">podle údajů ČNB činil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úhrnný objem půjček domácností </w:t>
      </w:r>
      <w:r w:rsidRPr="00AE7317">
        <w:rPr>
          <w:rFonts w:asciiTheme="minorHAnsi" w:hAnsiTheme="minorHAnsi" w:cstheme="minorHAnsi"/>
          <w:sz w:val="26"/>
          <w:szCs w:val="26"/>
        </w:rPr>
        <w:t xml:space="preserve">k 30. září 2019 celkem </w:t>
      </w:r>
      <w:r w:rsidRPr="00AE7317">
        <w:rPr>
          <w:rFonts w:asciiTheme="minorHAnsi" w:hAnsiTheme="minorHAnsi" w:cstheme="minorHAnsi"/>
          <w:b/>
          <w:sz w:val="26"/>
          <w:szCs w:val="26"/>
        </w:rPr>
        <w:t>1 719,0 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mld. Kč,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což bylo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o 103,6 mld. Kč více než ke stejnému datu roku 2018.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Za prvních devět měsíců minulého roku vzrostly úvěry domácností o 73,2 mld. Kč (za stejné období roku 2018 došlo k nárůstu o 85,5 mld. Kč) – data za vklady a úvěry jsou uvedena v tabulce č. 22:</w:t>
      </w:r>
    </w:p>
    <w:p w:rsidR="00083A69" w:rsidRPr="00AE7317" w:rsidRDefault="00083A69" w:rsidP="00083A69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>rozhodující část</w:t>
      </w:r>
      <w:r w:rsidRPr="00AE7317">
        <w:rPr>
          <w:rFonts w:asciiTheme="minorHAnsi" w:hAnsiTheme="minorHAnsi" w:cstheme="minorHAnsi"/>
          <w:sz w:val="26"/>
          <w:szCs w:val="26"/>
        </w:rPr>
        <w:t xml:space="preserve"> meziročního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vzestupu objemu </w:t>
      </w:r>
      <w:r w:rsidRPr="00AE7317">
        <w:rPr>
          <w:rFonts w:asciiTheme="minorHAnsi" w:hAnsiTheme="minorHAnsi" w:cstheme="minorHAnsi"/>
          <w:sz w:val="26"/>
          <w:szCs w:val="26"/>
        </w:rPr>
        <w:t xml:space="preserve">bankovních peněžních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půjček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představovaly úvěry spojené s bydlením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AE7317">
        <w:rPr>
          <w:rFonts w:asciiTheme="minorHAnsi" w:hAnsiTheme="minorHAnsi" w:cstheme="minorHAnsi"/>
          <w:sz w:val="26"/>
          <w:szCs w:val="26"/>
        </w:rPr>
        <w:t>avšak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meziroční dynamika jejich růstu se od začátku roku snižuje.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C</w:t>
      </w:r>
      <w:r w:rsidRPr="00AE7317">
        <w:rPr>
          <w:rFonts w:asciiTheme="minorHAnsi" w:hAnsiTheme="minorHAnsi" w:cstheme="minorHAnsi"/>
          <w:b/>
          <w:sz w:val="26"/>
          <w:szCs w:val="26"/>
        </w:rPr>
        <w:t>elkový objem úvěrů na bydlení dosáhl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1 305,6 mld. Kč, </w:t>
      </w:r>
      <w:r w:rsidRPr="00AE7317">
        <w:rPr>
          <w:rFonts w:asciiTheme="minorHAnsi" w:hAnsiTheme="minorHAnsi" w:cstheme="minorHAnsi"/>
          <w:bCs/>
          <w:sz w:val="26"/>
          <w:szCs w:val="26"/>
        </w:rPr>
        <w:t>což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 xml:space="preserve">bylo o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87,1 mld. Kč </w:t>
      </w:r>
      <w:r w:rsidRPr="00AE7317">
        <w:rPr>
          <w:rFonts w:asciiTheme="minorHAnsi" w:hAnsiTheme="minorHAnsi" w:cstheme="minorHAnsi"/>
          <w:sz w:val="26"/>
          <w:szCs w:val="26"/>
        </w:rPr>
        <w:t>více než o rok dříve,</w:t>
      </w:r>
    </w:p>
    <w:p w:rsidR="00083A69" w:rsidRPr="00AE7317" w:rsidRDefault="00083A69" w:rsidP="00083A69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podíl úvěrů na bydlení na celkovém objemu </w:t>
      </w:r>
      <w:r w:rsidRPr="00AE7317">
        <w:rPr>
          <w:rFonts w:asciiTheme="minorHAnsi" w:hAnsiTheme="minorHAnsi" w:cstheme="minorHAnsi"/>
          <w:bCs/>
          <w:sz w:val="26"/>
          <w:szCs w:val="26"/>
        </w:rPr>
        <w:t>bankovních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půjček </w:t>
      </w:r>
      <w:r w:rsidRPr="00AE7317">
        <w:rPr>
          <w:rFonts w:asciiTheme="minorHAnsi" w:hAnsiTheme="minorHAnsi" w:cstheme="minorHAnsi"/>
          <w:bCs/>
          <w:sz w:val="26"/>
          <w:szCs w:val="26"/>
        </w:rPr>
        <w:t>českých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Cs/>
          <w:sz w:val="26"/>
          <w:szCs w:val="26"/>
        </w:rPr>
        <w:t>domácností nadále rostl a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činil ke konci září 76,0 %, </w:t>
      </w:r>
      <w:r w:rsidRPr="00AE7317">
        <w:rPr>
          <w:rFonts w:asciiTheme="minorHAnsi" w:hAnsiTheme="minorHAnsi" w:cstheme="minorHAnsi"/>
          <w:bCs/>
          <w:sz w:val="26"/>
          <w:szCs w:val="26"/>
        </w:rPr>
        <w:t>což bylo o 0,4 p. b. více než předcházející rok,</w:t>
      </w:r>
    </w:p>
    <w:p w:rsidR="00083A69" w:rsidRPr="00AE7317" w:rsidRDefault="00083A69" w:rsidP="00083A69">
      <w:pPr>
        <w:numPr>
          <w:ilvl w:val="0"/>
          <w:numId w:val="23"/>
        </w:numPr>
        <w:spacing w:after="24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>objem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ostatních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úvěrů se zvýšil meziročně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celkem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o 16,5 mld. Kč,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v tom zahrnuté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spotřební úvěry domácností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u obchodních bank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vzrostly o 17,4 mld. Kč.</w:t>
      </w:r>
    </w:p>
    <w:p w:rsidR="00083A69" w:rsidRPr="00AE7317" w:rsidRDefault="00083A69" w:rsidP="00083A69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E7317">
        <w:rPr>
          <w:rFonts w:asciiTheme="minorHAnsi" w:hAnsiTheme="minorHAnsi" w:cstheme="minorHAnsi"/>
          <w:bCs/>
          <w:sz w:val="26"/>
          <w:szCs w:val="26"/>
        </w:rPr>
        <w:lastRenderedPageBreak/>
        <w:tab/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Domácnosti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zvýšily 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za první tři čtvrtletí roku 2019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celkové množství svých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úspor a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na rozdíl od předchozích let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již nepokračoval trend poklesu termínových vkladů,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kdy domácnosti preferovaly výhradně pouze likvidnější netermínované vklady v podobě peněz na běžných nebo spořicích účtech:</w:t>
      </w:r>
    </w:p>
    <w:p w:rsidR="00083A69" w:rsidRPr="00AE7317" w:rsidRDefault="00083A69" w:rsidP="00083A69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E7317">
        <w:rPr>
          <w:rFonts w:asciiTheme="minorHAnsi" w:hAnsiTheme="minorHAnsi" w:cstheme="minorHAnsi"/>
          <w:b/>
          <w:bCs/>
          <w:sz w:val="26"/>
          <w:szCs w:val="26"/>
        </w:rPr>
        <w:t>celkový objem</w:t>
      </w:r>
      <w:r w:rsidRPr="00AE7317">
        <w:rPr>
          <w:rFonts w:asciiTheme="minorHAnsi" w:hAnsiTheme="minorHAnsi" w:cstheme="minorHAnsi"/>
          <w:sz w:val="26"/>
          <w:szCs w:val="26"/>
        </w:rPr>
        <w:t xml:space="preserve"> bankovních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úspor domácností</w:t>
      </w:r>
      <w:r w:rsidRPr="00AE7317">
        <w:rPr>
          <w:rFonts w:asciiTheme="minorHAnsi" w:hAnsiTheme="minorHAnsi" w:cstheme="minorHAnsi"/>
          <w:sz w:val="26"/>
          <w:szCs w:val="26"/>
        </w:rPr>
        <w:t xml:space="preserve"> činil ke konci září 2019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2 678,6 mld. Kč </w:t>
      </w:r>
      <w:r w:rsidRPr="00AE7317">
        <w:rPr>
          <w:rFonts w:asciiTheme="minorHAnsi" w:hAnsiTheme="minorHAnsi" w:cstheme="minorHAnsi"/>
          <w:sz w:val="26"/>
          <w:szCs w:val="26"/>
        </w:rPr>
        <w:t>a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sz w:val="26"/>
          <w:szCs w:val="26"/>
        </w:rPr>
        <w:t xml:space="preserve">podle dostupných údajů ČNB meziročně </w:t>
      </w:r>
      <w:r w:rsidRPr="00AE7317">
        <w:rPr>
          <w:rFonts w:asciiTheme="minorHAnsi" w:hAnsiTheme="minorHAnsi" w:cstheme="minorHAnsi"/>
          <w:b/>
          <w:sz w:val="26"/>
          <w:szCs w:val="26"/>
        </w:rPr>
        <w:t>vzrostl</w:t>
      </w:r>
      <w:r w:rsidRPr="00AE7317">
        <w:rPr>
          <w:rFonts w:asciiTheme="minorHAnsi" w:hAnsiTheme="minorHAnsi" w:cstheme="minorHAnsi"/>
          <w:sz w:val="26"/>
          <w:szCs w:val="26"/>
        </w:rPr>
        <w:t xml:space="preserve"> </w:t>
      </w:r>
      <w:r w:rsidRPr="00AE7317">
        <w:rPr>
          <w:rFonts w:asciiTheme="minorHAnsi" w:hAnsiTheme="minorHAnsi" w:cstheme="minorHAnsi"/>
          <w:b/>
          <w:bCs/>
          <w:sz w:val="26"/>
          <w:szCs w:val="26"/>
        </w:rPr>
        <w:t>o 179,2 mld. Kč.</w:t>
      </w:r>
      <w:r w:rsidRPr="00AE7317">
        <w:rPr>
          <w:rFonts w:asciiTheme="minorHAnsi" w:hAnsiTheme="minorHAnsi" w:cstheme="minorHAnsi"/>
          <w:bCs/>
          <w:sz w:val="26"/>
          <w:szCs w:val="26"/>
        </w:rPr>
        <w:t xml:space="preserve"> Od začátku roku 2019 do konce třetího čtvrtletí se vklady zvýšily o 120,1 mld. Kč, </w:t>
      </w:r>
    </w:p>
    <w:p w:rsidR="00083A69" w:rsidRPr="00AE7317" w:rsidRDefault="00083A69" w:rsidP="00083A69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celkově </w:t>
      </w:r>
      <w:r w:rsidRPr="00AE7317">
        <w:rPr>
          <w:rFonts w:asciiTheme="minorHAnsi" w:hAnsiTheme="minorHAnsi" w:cstheme="minorHAnsi"/>
          <w:b/>
          <w:sz w:val="26"/>
          <w:szCs w:val="26"/>
        </w:rPr>
        <w:t>netermínované vklady</w:t>
      </w:r>
      <w:r w:rsidRPr="00AE7317">
        <w:rPr>
          <w:rFonts w:asciiTheme="minorHAnsi" w:hAnsiTheme="minorHAnsi" w:cstheme="minorHAnsi"/>
          <w:sz w:val="26"/>
          <w:szCs w:val="26"/>
        </w:rPr>
        <w:t xml:space="preserve"> na konci září </w:t>
      </w:r>
      <w:r w:rsidRPr="00AE7317">
        <w:rPr>
          <w:rFonts w:asciiTheme="minorHAnsi" w:hAnsiTheme="minorHAnsi" w:cstheme="minorHAnsi"/>
          <w:b/>
          <w:sz w:val="26"/>
          <w:szCs w:val="26"/>
        </w:rPr>
        <w:t>meziročně vzrostly o 140,3 mld. Kč</w:t>
      </w:r>
      <w:r w:rsidRPr="00AE7317">
        <w:rPr>
          <w:rFonts w:asciiTheme="minorHAnsi" w:hAnsiTheme="minorHAnsi" w:cstheme="minorHAnsi"/>
          <w:sz w:val="26"/>
          <w:szCs w:val="26"/>
        </w:rPr>
        <w:t xml:space="preserve"> a </w:t>
      </w:r>
      <w:r w:rsidRPr="00AE7317">
        <w:rPr>
          <w:rFonts w:asciiTheme="minorHAnsi" w:hAnsiTheme="minorHAnsi" w:cstheme="minorHAnsi"/>
          <w:b/>
          <w:sz w:val="26"/>
          <w:szCs w:val="26"/>
        </w:rPr>
        <w:t>termínové vklady o 39,0 mld. Kč,</w:t>
      </w:r>
    </w:p>
    <w:p w:rsidR="00083A69" w:rsidRPr="00AE7317" w:rsidRDefault="00083A69" w:rsidP="00083A69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domácnosti využívaly pro vklady převážně domácí měnu. Na konci třetího čtvrtletí roku 2019 činila podle ČNB 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výše cizoměnových vkladů </w:t>
      </w:r>
      <w:r w:rsidRPr="00AE7317">
        <w:rPr>
          <w:rFonts w:asciiTheme="minorHAnsi" w:hAnsiTheme="minorHAnsi" w:cstheme="minorHAnsi"/>
          <w:sz w:val="26"/>
          <w:szCs w:val="26"/>
        </w:rPr>
        <w:t>jen</w:t>
      </w:r>
      <w:r w:rsidRPr="00AE7317">
        <w:rPr>
          <w:rFonts w:asciiTheme="minorHAnsi" w:hAnsiTheme="minorHAnsi" w:cstheme="minorHAnsi"/>
          <w:b/>
          <w:sz w:val="26"/>
          <w:szCs w:val="26"/>
        </w:rPr>
        <w:t xml:space="preserve"> 93,6 mld. Kč.</w:t>
      </w:r>
    </w:p>
    <w:p w:rsidR="00F02B74" w:rsidRPr="00AE7317" w:rsidRDefault="00F02B74" w:rsidP="00F02B7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F02B74" w:rsidRPr="00AE7317" w:rsidSect="00A96EE8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E0" w:rsidRDefault="004A1DE0">
      <w:r>
        <w:separator/>
      </w:r>
    </w:p>
  </w:endnote>
  <w:endnote w:type="continuationSeparator" w:id="0">
    <w:p w:rsidR="004A1DE0" w:rsidRDefault="004A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E2" w:rsidRDefault="004268E2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68E2" w:rsidRDefault="004268E2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E2" w:rsidRDefault="004268E2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4268E2" w:rsidRDefault="004268E2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E8" w:rsidRPr="00A96EE8" w:rsidRDefault="00A96EE8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 w:rsidR="00E12D08">
      <w:rPr>
        <w:noProof/>
      </w:rPr>
      <w:t>1</w:t>
    </w:r>
    <w:r w:rsidRPr="00A96EE8">
      <w:fldChar w:fldCharType="end"/>
    </w:r>
  </w:p>
  <w:p w:rsidR="00A96EE8" w:rsidRDefault="00A96EE8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E0" w:rsidRDefault="004A1DE0">
      <w:r>
        <w:separator/>
      </w:r>
    </w:p>
  </w:footnote>
  <w:footnote w:type="continuationSeparator" w:id="0">
    <w:p w:rsidR="004A1DE0" w:rsidRDefault="004A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02"/>
    <w:multiLevelType w:val="hybridMultilevel"/>
    <w:tmpl w:val="1D00D45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81A"/>
    <w:multiLevelType w:val="hybridMultilevel"/>
    <w:tmpl w:val="A57026E2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75E5A62"/>
    <w:multiLevelType w:val="hybridMultilevel"/>
    <w:tmpl w:val="71FAFD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944"/>
    <w:multiLevelType w:val="hybridMultilevel"/>
    <w:tmpl w:val="57B8BD6C"/>
    <w:lvl w:ilvl="0" w:tplc="43406100">
      <w:start w:val="1"/>
      <w:numFmt w:val="bullet"/>
      <w:lvlText w:val="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DC08D0"/>
    <w:multiLevelType w:val="hybridMultilevel"/>
    <w:tmpl w:val="C7964F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D7D"/>
    <w:multiLevelType w:val="hybridMultilevel"/>
    <w:tmpl w:val="B8F648E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62A49"/>
    <w:multiLevelType w:val="hybridMultilevel"/>
    <w:tmpl w:val="C9205FB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32"/>
    <w:multiLevelType w:val="hybridMultilevel"/>
    <w:tmpl w:val="C2A83A96"/>
    <w:lvl w:ilvl="0" w:tplc="8DD49488">
      <w:start w:val="1"/>
      <w:numFmt w:val="bullet"/>
      <w:lvlText w:val=""/>
      <w:lvlJc w:val="left"/>
      <w:pPr>
        <w:tabs>
          <w:tab w:val="num" w:pos="-138"/>
        </w:tabs>
        <w:ind w:left="-1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9" w15:restartNumberingAfterBreak="0">
    <w:nsid w:val="129C318E"/>
    <w:multiLevelType w:val="hybridMultilevel"/>
    <w:tmpl w:val="C4C094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22E8D"/>
    <w:multiLevelType w:val="hybridMultilevel"/>
    <w:tmpl w:val="0818E5EE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20D21"/>
    <w:multiLevelType w:val="hybridMultilevel"/>
    <w:tmpl w:val="9D7ACCBA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D26A8"/>
    <w:multiLevelType w:val="hybridMultilevel"/>
    <w:tmpl w:val="7182FF5A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06488"/>
    <w:multiLevelType w:val="hybridMultilevel"/>
    <w:tmpl w:val="FBAEDE52"/>
    <w:lvl w:ilvl="0" w:tplc="43406100">
      <w:start w:val="1"/>
      <w:numFmt w:val="bullet"/>
      <w:lvlText w:val=""/>
      <w:lvlJc w:val="left"/>
      <w:pPr>
        <w:tabs>
          <w:tab w:val="num" w:pos="130"/>
        </w:tabs>
        <w:ind w:left="1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680"/>
        </w:tabs>
        <w:ind w:left="-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"/>
        </w:tabs>
        <w:ind w:left="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</w:abstractNum>
  <w:abstractNum w:abstractNumId="14" w15:restartNumberingAfterBreak="0">
    <w:nsid w:val="1F680B7A"/>
    <w:multiLevelType w:val="hybridMultilevel"/>
    <w:tmpl w:val="ECDC379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B147B"/>
    <w:multiLevelType w:val="hybridMultilevel"/>
    <w:tmpl w:val="F05CB9B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A2001"/>
    <w:multiLevelType w:val="hybridMultilevel"/>
    <w:tmpl w:val="0C28C9FE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14034A"/>
    <w:multiLevelType w:val="hybridMultilevel"/>
    <w:tmpl w:val="994EC4B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14D35"/>
    <w:multiLevelType w:val="hybridMultilevel"/>
    <w:tmpl w:val="45A88F2A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81E22"/>
    <w:multiLevelType w:val="hybridMultilevel"/>
    <w:tmpl w:val="DB328FF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0636F"/>
    <w:multiLevelType w:val="hybridMultilevel"/>
    <w:tmpl w:val="A950F9FC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047D3"/>
    <w:multiLevelType w:val="hybridMultilevel"/>
    <w:tmpl w:val="75246BB6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44EB"/>
    <w:multiLevelType w:val="hybridMultilevel"/>
    <w:tmpl w:val="5610351C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0406B"/>
    <w:multiLevelType w:val="hybridMultilevel"/>
    <w:tmpl w:val="39CEED66"/>
    <w:lvl w:ilvl="0" w:tplc="8DD49488">
      <w:start w:val="1"/>
      <w:numFmt w:val="bullet"/>
      <w:lvlText w:val="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397E63E9"/>
    <w:multiLevelType w:val="hybridMultilevel"/>
    <w:tmpl w:val="3C723678"/>
    <w:lvl w:ilvl="0" w:tplc="D6D66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75C8"/>
    <w:multiLevelType w:val="hybridMultilevel"/>
    <w:tmpl w:val="8CD69554"/>
    <w:lvl w:ilvl="0" w:tplc="4340610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A64DC9"/>
    <w:multiLevelType w:val="hybridMultilevel"/>
    <w:tmpl w:val="C8447A5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C6970"/>
    <w:multiLevelType w:val="hybridMultilevel"/>
    <w:tmpl w:val="7C58D846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E49DD"/>
    <w:multiLevelType w:val="hybridMultilevel"/>
    <w:tmpl w:val="4D0295B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A4F5E"/>
    <w:multiLevelType w:val="hybridMultilevel"/>
    <w:tmpl w:val="3A7AE7A6"/>
    <w:lvl w:ilvl="0" w:tplc="6504B1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A044C61"/>
    <w:multiLevelType w:val="hybridMultilevel"/>
    <w:tmpl w:val="B8981C4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4411"/>
    <w:multiLevelType w:val="hybridMultilevel"/>
    <w:tmpl w:val="48A0B058"/>
    <w:lvl w:ilvl="0" w:tplc="28046BB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245788E"/>
    <w:multiLevelType w:val="hybridMultilevel"/>
    <w:tmpl w:val="240C3C3E"/>
    <w:lvl w:ilvl="0" w:tplc="B3069C9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E8C7C7D"/>
    <w:multiLevelType w:val="hybridMultilevel"/>
    <w:tmpl w:val="54D60CBC"/>
    <w:lvl w:ilvl="0" w:tplc="C7F0B5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21168CD"/>
    <w:multiLevelType w:val="hybridMultilevel"/>
    <w:tmpl w:val="8E2A4E8E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F414C8"/>
    <w:multiLevelType w:val="hybridMultilevel"/>
    <w:tmpl w:val="02F4A36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A7031"/>
    <w:multiLevelType w:val="hybridMultilevel"/>
    <w:tmpl w:val="C86E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9288C"/>
    <w:multiLevelType w:val="hybridMultilevel"/>
    <w:tmpl w:val="E5BE455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61ACE"/>
    <w:multiLevelType w:val="hybridMultilevel"/>
    <w:tmpl w:val="2542C554"/>
    <w:lvl w:ilvl="0" w:tplc="C7F0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4CC01D2"/>
    <w:multiLevelType w:val="hybridMultilevel"/>
    <w:tmpl w:val="278EBF52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524CE6"/>
    <w:multiLevelType w:val="hybridMultilevel"/>
    <w:tmpl w:val="A19421A6"/>
    <w:lvl w:ilvl="0" w:tplc="0986A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9EC21E7"/>
    <w:multiLevelType w:val="hybridMultilevel"/>
    <w:tmpl w:val="C47EC03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F27AC"/>
    <w:multiLevelType w:val="hybridMultilevel"/>
    <w:tmpl w:val="790065DE"/>
    <w:lvl w:ilvl="0" w:tplc="DC343C08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15776"/>
    <w:multiLevelType w:val="hybridMultilevel"/>
    <w:tmpl w:val="26D4DDC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8"/>
  </w:num>
  <w:num w:numId="5">
    <w:abstractNumId w:val="13"/>
  </w:num>
  <w:num w:numId="6">
    <w:abstractNumId w:val="29"/>
  </w:num>
  <w:num w:numId="7">
    <w:abstractNumId w:val="33"/>
  </w:num>
  <w:num w:numId="8">
    <w:abstractNumId w:val="38"/>
  </w:num>
  <w:num w:numId="9">
    <w:abstractNumId w:val="7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1"/>
  </w:num>
  <w:num w:numId="16">
    <w:abstractNumId w:val="5"/>
  </w:num>
  <w:num w:numId="17">
    <w:abstractNumId w:val="0"/>
  </w:num>
  <w:num w:numId="18">
    <w:abstractNumId w:val="41"/>
  </w:num>
  <w:num w:numId="19">
    <w:abstractNumId w:val="17"/>
  </w:num>
  <w:num w:numId="20">
    <w:abstractNumId w:val="14"/>
  </w:num>
  <w:num w:numId="21">
    <w:abstractNumId w:val="6"/>
  </w:num>
  <w:num w:numId="22">
    <w:abstractNumId w:val="35"/>
  </w:num>
  <w:num w:numId="23">
    <w:abstractNumId w:val="39"/>
  </w:num>
  <w:num w:numId="24">
    <w:abstractNumId w:val="16"/>
  </w:num>
  <w:num w:numId="25">
    <w:abstractNumId w:val="20"/>
  </w:num>
  <w:num w:numId="26">
    <w:abstractNumId w:val="21"/>
  </w:num>
  <w:num w:numId="27">
    <w:abstractNumId w:val="30"/>
  </w:num>
  <w:num w:numId="28">
    <w:abstractNumId w:val="31"/>
  </w:num>
  <w:num w:numId="29">
    <w:abstractNumId w:val="42"/>
  </w:num>
  <w:num w:numId="30">
    <w:abstractNumId w:val="32"/>
  </w:num>
  <w:num w:numId="31">
    <w:abstractNumId w:val="40"/>
  </w:num>
  <w:num w:numId="32">
    <w:abstractNumId w:val="23"/>
  </w:num>
  <w:num w:numId="33">
    <w:abstractNumId w:val="9"/>
  </w:num>
  <w:num w:numId="34">
    <w:abstractNumId w:val="34"/>
  </w:num>
  <w:num w:numId="35">
    <w:abstractNumId w:val="36"/>
  </w:num>
  <w:num w:numId="36">
    <w:abstractNumId w:val="41"/>
  </w:num>
  <w:num w:numId="37">
    <w:abstractNumId w:val="3"/>
  </w:num>
  <w:num w:numId="38">
    <w:abstractNumId w:val="37"/>
  </w:num>
  <w:num w:numId="39">
    <w:abstractNumId w:val="27"/>
  </w:num>
  <w:num w:numId="40">
    <w:abstractNumId w:val="10"/>
  </w:num>
  <w:num w:numId="41">
    <w:abstractNumId w:val="43"/>
  </w:num>
  <w:num w:numId="42">
    <w:abstractNumId w:val="15"/>
  </w:num>
  <w:num w:numId="43">
    <w:abstractNumId w:val="11"/>
  </w:num>
  <w:num w:numId="44">
    <w:abstractNumId w:val="22"/>
  </w:num>
  <w:num w:numId="4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3"/>
    <w:rsid w:val="000000EB"/>
    <w:rsid w:val="00002D09"/>
    <w:rsid w:val="00005478"/>
    <w:rsid w:val="00006EB7"/>
    <w:rsid w:val="00010CDA"/>
    <w:rsid w:val="00010F96"/>
    <w:rsid w:val="0001234D"/>
    <w:rsid w:val="00014108"/>
    <w:rsid w:val="00014B1B"/>
    <w:rsid w:val="00016405"/>
    <w:rsid w:val="0001665E"/>
    <w:rsid w:val="00023279"/>
    <w:rsid w:val="00023B53"/>
    <w:rsid w:val="00024DB4"/>
    <w:rsid w:val="00026922"/>
    <w:rsid w:val="00027377"/>
    <w:rsid w:val="000328D2"/>
    <w:rsid w:val="00034073"/>
    <w:rsid w:val="000346F9"/>
    <w:rsid w:val="00034F71"/>
    <w:rsid w:val="00035DAA"/>
    <w:rsid w:val="00035DBA"/>
    <w:rsid w:val="000369D6"/>
    <w:rsid w:val="000440BF"/>
    <w:rsid w:val="0004595A"/>
    <w:rsid w:val="000500B2"/>
    <w:rsid w:val="000502BC"/>
    <w:rsid w:val="000504EF"/>
    <w:rsid w:val="00053578"/>
    <w:rsid w:val="00056EE9"/>
    <w:rsid w:val="00057478"/>
    <w:rsid w:val="00060C4C"/>
    <w:rsid w:val="000661B2"/>
    <w:rsid w:val="0006719E"/>
    <w:rsid w:val="0006792F"/>
    <w:rsid w:val="00067C1D"/>
    <w:rsid w:val="00067E16"/>
    <w:rsid w:val="000701AD"/>
    <w:rsid w:val="000726C6"/>
    <w:rsid w:val="00073B40"/>
    <w:rsid w:val="00074F34"/>
    <w:rsid w:val="000762FD"/>
    <w:rsid w:val="00076EC4"/>
    <w:rsid w:val="00077160"/>
    <w:rsid w:val="00081885"/>
    <w:rsid w:val="00081987"/>
    <w:rsid w:val="000826CF"/>
    <w:rsid w:val="000836FA"/>
    <w:rsid w:val="00083A69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D06"/>
    <w:rsid w:val="000A49DF"/>
    <w:rsid w:val="000A51B8"/>
    <w:rsid w:val="000A78CB"/>
    <w:rsid w:val="000B040F"/>
    <w:rsid w:val="000B146B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47CB"/>
    <w:rsid w:val="000C7AE9"/>
    <w:rsid w:val="000D1F1D"/>
    <w:rsid w:val="000D22CA"/>
    <w:rsid w:val="000D2643"/>
    <w:rsid w:val="000D2D91"/>
    <w:rsid w:val="000D795E"/>
    <w:rsid w:val="000E250B"/>
    <w:rsid w:val="000E2B1C"/>
    <w:rsid w:val="000E511A"/>
    <w:rsid w:val="000E5736"/>
    <w:rsid w:val="000E5CDF"/>
    <w:rsid w:val="000F100F"/>
    <w:rsid w:val="000F2E55"/>
    <w:rsid w:val="000F4D5D"/>
    <w:rsid w:val="000F61B6"/>
    <w:rsid w:val="000F74BA"/>
    <w:rsid w:val="000F7E02"/>
    <w:rsid w:val="0010018E"/>
    <w:rsid w:val="0010283B"/>
    <w:rsid w:val="00106D26"/>
    <w:rsid w:val="00110817"/>
    <w:rsid w:val="00110C58"/>
    <w:rsid w:val="0011361B"/>
    <w:rsid w:val="001153B4"/>
    <w:rsid w:val="00115B02"/>
    <w:rsid w:val="00120A88"/>
    <w:rsid w:val="00120BA1"/>
    <w:rsid w:val="0012342A"/>
    <w:rsid w:val="0012791D"/>
    <w:rsid w:val="00130524"/>
    <w:rsid w:val="00132392"/>
    <w:rsid w:val="00132B48"/>
    <w:rsid w:val="00133E09"/>
    <w:rsid w:val="00135798"/>
    <w:rsid w:val="001367A5"/>
    <w:rsid w:val="00137FE0"/>
    <w:rsid w:val="00140D80"/>
    <w:rsid w:val="001428A0"/>
    <w:rsid w:val="00143504"/>
    <w:rsid w:val="00143E97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606C1"/>
    <w:rsid w:val="00161574"/>
    <w:rsid w:val="00161EFC"/>
    <w:rsid w:val="00165FA8"/>
    <w:rsid w:val="00167FBB"/>
    <w:rsid w:val="00171413"/>
    <w:rsid w:val="00171D7C"/>
    <w:rsid w:val="00172938"/>
    <w:rsid w:val="0017383F"/>
    <w:rsid w:val="00180012"/>
    <w:rsid w:val="00180982"/>
    <w:rsid w:val="00181966"/>
    <w:rsid w:val="00181ABD"/>
    <w:rsid w:val="00182E4A"/>
    <w:rsid w:val="00185755"/>
    <w:rsid w:val="00187C6B"/>
    <w:rsid w:val="00190F8C"/>
    <w:rsid w:val="00191E64"/>
    <w:rsid w:val="001920B8"/>
    <w:rsid w:val="0019239A"/>
    <w:rsid w:val="001931AC"/>
    <w:rsid w:val="00194236"/>
    <w:rsid w:val="001966D7"/>
    <w:rsid w:val="001968B0"/>
    <w:rsid w:val="001A09FA"/>
    <w:rsid w:val="001A2454"/>
    <w:rsid w:val="001A2EFC"/>
    <w:rsid w:val="001A3D6D"/>
    <w:rsid w:val="001A408C"/>
    <w:rsid w:val="001A4B38"/>
    <w:rsid w:val="001A6B10"/>
    <w:rsid w:val="001B1157"/>
    <w:rsid w:val="001B128E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3E7B"/>
    <w:rsid w:val="001F459A"/>
    <w:rsid w:val="001F5296"/>
    <w:rsid w:val="0020140E"/>
    <w:rsid w:val="00201826"/>
    <w:rsid w:val="00205E50"/>
    <w:rsid w:val="0020644C"/>
    <w:rsid w:val="0020740A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5872"/>
    <w:rsid w:val="00235DC0"/>
    <w:rsid w:val="00236559"/>
    <w:rsid w:val="0024166C"/>
    <w:rsid w:val="00241A60"/>
    <w:rsid w:val="002449FA"/>
    <w:rsid w:val="0024630B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5AE4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B04E3"/>
    <w:rsid w:val="002B0520"/>
    <w:rsid w:val="002B0DA2"/>
    <w:rsid w:val="002B3C16"/>
    <w:rsid w:val="002B4927"/>
    <w:rsid w:val="002B49B5"/>
    <w:rsid w:val="002B4FAD"/>
    <w:rsid w:val="002B5737"/>
    <w:rsid w:val="002B5F67"/>
    <w:rsid w:val="002B6B13"/>
    <w:rsid w:val="002C1344"/>
    <w:rsid w:val="002C349C"/>
    <w:rsid w:val="002C4F03"/>
    <w:rsid w:val="002C5635"/>
    <w:rsid w:val="002D0513"/>
    <w:rsid w:val="002D2480"/>
    <w:rsid w:val="002D3148"/>
    <w:rsid w:val="002D6851"/>
    <w:rsid w:val="002D784C"/>
    <w:rsid w:val="002E16FC"/>
    <w:rsid w:val="002E2198"/>
    <w:rsid w:val="002E577C"/>
    <w:rsid w:val="002E6107"/>
    <w:rsid w:val="002E6A48"/>
    <w:rsid w:val="002E6E34"/>
    <w:rsid w:val="002E72EE"/>
    <w:rsid w:val="002F0A3D"/>
    <w:rsid w:val="002F2A13"/>
    <w:rsid w:val="002F2A17"/>
    <w:rsid w:val="002F484C"/>
    <w:rsid w:val="002F48B8"/>
    <w:rsid w:val="002F7979"/>
    <w:rsid w:val="00300114"/>
    <w:rsid w:val="00301681"/>
    <w:rsid w:val="00302A17"/>
    <w:rsid w:val="00304AB9"/>
    <w:rsid w:val="003071AC"/>
    <w:rsid w:val="00307756"/>
    <w:rsid w:val="0031187B"/>
    <w:rsid w:val="00312156"/>
    <w:rsid w:val="00312CEF"/>
    <w:rsid w:val="003160DB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5422"/>
    <w:rsid w:val="00335876"/>
    <w:rsid w:val="00335FCC"/>
    <w:rsid w:val="00336B98"/>
    <w:rsid w:val="003402F3"/>
    <w:rsid w:val="00340D55"/>
    <w:rsid w:val="00341F6A"/>
    <w:rsid w:val="003448C2"/>
    <w:rsid w:val="00344A16"/>
    <w:rsid w:val="003460E9"/>
    <w:rsid w:val="00346852"/>
    <w:rsid w:val="00347013"/>
    <w:rsid w:val="00352002"/>
    <w:rsid w:val="00352572"/>
    <w:rsid w:val="00353ED1"/>
    <w:rsid w:val="00355C21"/>
    <w:rsid w:val="00357EA8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3F59"/>
    <w:rsid w:val="0037489B"/>
    <w:rsid w:val="00374E47"/>
    <w:rsid w:val="003765A0"/>
    <w:rsid w:val="0037747C"/>
    <w:rsid w:val="0037789C"/>
    <w:rsid w:val="00377D70"/>
    <w:rsid w:val="00381122"/>
    <w:rsid w:val="00381A67"/>
    <w:rsid w:val="00381E4A"/>
    <w:rsid w:val="00382F48"/>
    <w:rsid w:val="00390B45"/>
    <w:rsid w:val="0039170A"/>
    <w:rsid w:val="003939D2"/>
    <w:rsid w:val="003948AB"/>
    <w:rsid w:val="00394EC5"/>
    <w:rsid w:val="00397E8F"/>
    <w:rsid w:val="003A18D1"/>
    <w:rsid w:val="003A1C1B"/>
    <w:rsid w:val="003A5FF3"/>
    <w:rsid w:val="003A726A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1AD7"/>
    <w:rsid w:val="003C25A9"/>
    <w:rsid w:val="003C2A0B"/>
    <w:rsid w:val="003C36AA"/>
    <w:rsid w:val="003C37B1"/>
    <w:rsid w:val="003C3E2F"/>
    <w:rsid w:val="003C5A78"/>
    <w:rsid w:val="003C5FE0"/>
    <w:rsid w:val="003D0781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4CE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75F3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785"/>
    <w:rsid w:val="00423244"/>
    <w:rsid w:val="00423BC2"/>
    <w:rsid w:val="00423EE0"/>
    <w:rsid w:val="0042410B"/>
    <w:rsid w:val="004268E2"/>
    <w:rsid w:val="004270DF"/>
    <w:rsid w:val="00427F15"/>
    <w:rsid w:val="00430582"/>
    <w:rsid w:val="004311C4"/>
    <w:rsid w:val="00431CCA"/>
    <w:rsid w:val="004340F6"/>
    <w:rsid w:val="004348C8"/>
    <w:rsid w:val="00441AE6"/>
    <w:rsid w:val="004423E3"/>
    <w:rsid w:val="00445218"/>
    <w:rsid w:val="004452EB"/>
    <w:rsid w:val="0044610D"/>
    <w:rsid w:val="00446D1B"/>
    <w:rsid w:val="00451255"/>
    <w:rsid w:val="0045165C"/>
    <w:rsid w:val="00451986"/>
    <w:rsid w:val="004519FC"/>
    <w:rsid w:val="00452544"/>
    <w:rsid w:val="00454EBE"/>
    <w:rsid w:val="00455F7F"/>
    <w:rsid w:val="0045602D"/>
    <w:rsid w:val="004564DE"/>
    <w:rsid w:val="0045768D"/>
    <w:rsid w:val="00460545"/>
    <w:rsid w:val="004621C0"/>
    <w:rsid w:val="00462BB2"/>
    <w:rsid w:val="00462D7E"/>
    <w:rsid w:val="00467B5F"/>
    <w:rsid w:val="00470505"/>
    <w:rsid w:val="00472764"/>
    <w:rsid w:val="00474014"/>
    <w:rsid w:val="00475AEE"/>
    <w:rsid w:val="004824CD"/>
    <w:rsid w:val="00483D70"/>
    <w:rsid w:val="004852E1"/>
    <w:rsid w:val="00486161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B26D4"/>
    <w:rsid w:val="004B378F"/>
    <w:rsid w:val="004B42BF"/>
    <w:rsid w:val="004B4C9C"/>
    <w:rsid w:val="004B5743"/>
    <w:rsid w:val="004B72DB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41EE"/>
    <w:rsid w:val="004D6443"/>
    <w:rsid w:val="004D6AAE"/>
    <w:rsid w:val="004D7AB2"/>
    <w:rsid w:val="004D7F06"/>
    <w:rsid w:val="004E081E"/>
    <w:rsid w:val="004E0A50"/>
    <w:rsid w:val="004E1008"/>
    <w:rsid w:val="004E29D8"/>
    <w:rsid w:val="004E5413"/>
    <w:rsid w:val="004E6D52"/>
    <w:rsid w:val="004F136D"/>
    <w:rsid w:val="004F2C07"/>
    <w:rsid w:val="004F6711"/>
    <w:rsid w:val="004F77DF"/>
    <w:rsid w:val="004F7E1B"/>
    <w:rsid w:val="0050058A"/>
    <w:rsid w:val="0050199A"/>
    <w:rsid w:val="00501B0E"/>
    <w:rsid w:val="00503AF0"/>
    <w:rsid w:val="00506539"/>
    <w:rsid w:val="00510802"/>
    <w:rsid w:val="00510E87"/>
    <w:rsid w:val="005124CE"/>
    <w:rsid w:val="0051310A"/>
    <w:rsid w:val="0051346B"/>
    <w:rsid w:val="00514811"/>
    <w:rsid w:val="00515D0F"/>
    <w:rsid w:val="00517087"/>
    <w:rsid w:val="005172A1"/>
    <w:rsid w:val="00522516"/>
    <w:rsid w:val="00531223"/>
    <w:rsid w:val="005339C5"/>
    <w:rsid w:val="005376F7"/>
    <w:rsid w:val="005402D1"/>
    <w:rsid w:val="00540BB1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4155"/>
    <w:rsid w:val="00554AC7"/>
    <w:rsid w:val="00555558"/>
    <w:rsid w:val="0055621D"/>
    <w:rsid w:val="00557044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6BE7"/>
    <w:rsid w:val="00587B54"/>
    <w:rsid w:val="00590C67"/>
    <w:rsid w:val="00591A6A"/>
    <w:rsid w:val="00591B1F"/>
    <w:rsid w:val="00593782"/>
    <w:rsid w:val="00597C8A"/>
    <w:rsid w:val="005A0F7D"/>
    <w:rsid w:val="005A217B"/>
    <w:rsid w:val="005A3543"/>
    <w:rsid w:val="005A6FBA"/>
    <w:rsid w:val="005B01F6"/>
    <w:rsid w:val="005B040D"/>
    <w:rsid w:val="005B1B59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AF6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358F"/>
    <w:rsid w:val="006141E2"/>
    <w:rsid w:val="006144A4"/>
    <w:rsid w:val="00614DCE"/>
    <w:rsid w:val="00614EB7"/>
    <w:rsid w:val="00615774"/>
    <w:rsid w:val="00615E77"/>
    <w:rsid w:val="00623AAB"/>
    <w:rsid w:val="00624F08"/>
    <w:rsid w:val="006250D1"/>
    <w:rsid w:val="00626CF7"/>
    <w:rsid w:val="0063020A"/>
    <w:rsid w:val="006305E6"/>
    <w:rsid w:val="0063238A"/>
    <w:rsid w:val="00633397"/>
    <w:rsid w:val="00634810"/>
    <w:rsid w:val="00640200"/>
    <w:rsid w:val="006402BC"/>
    <w:rsid w:val="00640D70"/>
    <w:rsid w:val="00641DCE"/>
    <w:rsid w:val="00643A5A"/>
    <w:rsid w:val="006440FB"/>
    <w:rsid w:val="00644827"/>
    <w:rsid w:val="00645C4B"/>
    <w:rsid w:val="00646947"/>
    <w:rsid w:val="00646A01"/>
    <w:rsid w:val="00647027"/>
    <w:rsid w:val="00647D77"/>
    <w:rsid w:val="00652724"/>
    <w:rsid w:val="00654BB5"/>
    <w:rsid w:val="006558D9"/>
    <w:rsid w:val="006608F0"/>
    <w:rsid w:val="00661EF6"/>
    <w:rsid w:val="00662FC9"/>
    <w:rsid w:val="0066383F"/>
    <w:rsid w:val="00663BBE"/>
    <w:rsid w:val="00665932"/>
    <w:rsid w:val="00666149"/>
    <w:rsid w:val="006700CD"/>
    <w:rsid w:val="00671A11"/>
    <w:rsid w:val="006747DF"/>
    <w:rsid w:val="00674E8C"/>
    <w:rsid w:val="00675B4E"/>
    <w:rsid w:val="00677396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66E8"/>
    <w:rsid w:val="006871EA"/>
    <w:rsid w:val="006875BD"/>
    <w:rsid w:val="006879D5"/>
    <w:rsid w:val="00687AA8"/>
    <w:rsid w:val="00687BEC"/>
    <w:rsid w:val="00687F51"/>
    <w:rsid w:val="00691F5B"/>
    <w:rsid w:val="006927C2"/>
    <w:rsid w:val="00693D30"/>
    <w:rsid w:val="006974F0"/>
    <w:rsid w:val="006978AE"/>
    <w:rsid w:val="006A0981"/>
    <w:rsid w:val="006A298A"/>
    <w:rsid w:val="006A2F94"/>
    <w:rsid w:val="006A36D4"/>
    <w:rsid w:val="006A402E"/>
    <w:rsid w:val="006A4084"/>
    <w:rsid w:val="006A53C9"/>
    <w:rsid w:val="006A6B60"/>
    <w:rsid w:val="006B02CD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9C9"/>
    <w:rsid w:val="006E5E12"/>
    <w:rsid w:val="006F2FD9"/>
    <w:rsid w:val="006F68F3"/>
    <w:rsid w:val="006F7259"/>
    <w:rsid w:val="00702041"/>
    <w:rsid w:val="00704397"/>
    <w:rsid w:val="0070672F"/>
    <w:rsid w:val="00710160"/>
    <w:rsid w:val="007102E2"/>
    <w:rsid w:val="00712D65"/>
    <w:rsid w:val="00715243"/>
    <w:rsid w:val="007170C4"/>
    <w:rsid w:val="007222C0"/>
    <w:rsid w:val="00725484"/>
    <w:rsid w:val="00731F0A"/>
    <w:rsid w:val="00731F4C"/>
    <w:rsid w:val="00737CFB"/>
    <w:rsid w:val="007402FA"/>
    <w:rsid w:val="00741B58"/>
    <w:rsid w:val="007438E8"/>
    <w:rsid w:val="00744A1D"/>
    <w:rsid w:val="0074552D"/>
    <w:rsid w:val="00750F17"/>
    <w:rsid w:val="007540A8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68DE"/>
    <w:rsid w:val="007A7E51"/>
    <w:rsid w:val="007B22BF"/>
    <w:rsid w:val="007B2BDE"/>
    <w:rsid w:val="007B2BE6"/>
    <w:rsid w:val="007B583E"/>
    <w:rsid w:val="007C0695"/>
    <w:rsid w:val="007D1351"/>
    <w:rsid w:val="007D2335"/>
    <w:rsid w:val="007D2D2A"/>
    <w:rsid w:val="007D30B1"/>
    <w:rsid w:val="007D39F8"/>
    <w:rsid w:val="007D4563"/>
    <w:rsid w:val="007D464A"/>
    <w:rsid w:val="007E1683"/>
    <w:rsid w:val="007E25A3"/>
    <w:rsid w:val="007E270F"/>
    <w:rsid w:val="007E3256"/>
    <w:rsid w:val="007E32D6"/>
    <w:rsid w:val="007E3BC9"/>
    <w:rsid w:val="007E3F77"/>
    <w:rsid w:val="007E5857"/>
    <w:rsid w:val="007F0AB4"/>
    <w:rsid w:val="007F0B57"/>
    <w:rsid w:val="007F17FC"/>
    <w:rsid w:val="007F1D8D"/>
    <w:rsid w:val="007F1DC0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31A9"/>
    <w:rsid w:val="00835B38"/>
    <w:rsid w:val="00836491"/>
    <w:rsid w:val="00837572"/>
    <w:rsid w:val="008407C6"/>
    <w:rsid w:val="00841003"/>
    <w:rsid w:val="00842B3A"/>
    <w:rsid w:val="008453B3"/>
    <w:rsid w:val="00846880"/>
    <w:rsid w:val="00856187"/>
    <w:rsid w:val="00857974"/>
    <w:rsid w:val="0086049B"/>
    <w:rsid w:val="00861644"/>
    <w:rsid w:val="0086164A"/>
    <w:rsid w:val="00862990"/>
    <w:rsid w:val="00862E3F"/>
    <w:rsid w:val="008645AB"/>
    <w:rsid w:val="00866474"/>
    <w:rsid w:val="008668F0"/>
    <w:rsid w:val="00866911"/>
    <w:rsid w:val="00870AC9"/>
    <w:rsid w:val="00871F9D"/>
    <w:rsid w:val="00873D3A"/>
    <w:rsid w:val="00875416"/>
    <w:rsid w:val="008842CB"/>
    <w:rsid w:val="0088484D"/>
    <w:rsid w:val="0088733A"/>
    <w:rsid w:val="008879BC"/>
    <w:rsid w:val="00890B60"/>
    <w:rsid w:val="0089360C"/>
    <w:rsid w:val="00893A94"/>
    <w:rsid w:val="0089630D"/>
    <w:rsid w:val="008A25F0"/>
    <w:rsid w:val="008A2E9E"/>
    <w:rsid w:val="008A41BA"/>
    <w:rsid w:val="008A61B2"/>
    <w:rsid w:val="008A75FA"/>
    <w:rsid w:val="008A7BFD"/>
    <w:rsid w:val="008B1762"/>
    <w:rsid w:val="008B287C"/>
    <w:rsid w:val="008B36E5"/>
    <w:rsid w:val="008B7048"/>
    <w:rsid w:val="008C0010"/>
    <w:rsid w:val="008C3AA4"/>
    <w:rsid w:val="008C453A"/>
    <w:rsid w:val="008C4B41"/>
    <w:rsid w:val="008C60E6"/>
    <w:rsid w:val="008D0072"/>
    <w:rsid w:val="008D17A8"/>
    <w:rsid w:val="008D2419"/>
    <w:rsid w:val="008D347B"/>
    <w:rsid w:val="008D3716"/>
    <w:rsid w:val="008D5692"/>
    <w:rsid w:val="008D5774"/>
    <w:rsid w:val="008D60EC"/>
    <w:rsid w:val="008E1B66"/>
    <w:rsid w:val="008E28DA"/>
    <w:rsid w:val="008E6AAD"/>
    <w:rsid w:val="008E72B4"/>
    <w:rsid w:val="008E7F2E"/>
    <w:rsid w:val="008F4672"/>
    <w:rsid w:val="008F5359"/>
    <w:rsid w:val="008F602E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2631"/>
    <w:rsid w:val="00922BC5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4740"/>
    <w:rsid w:val="00936106"/>
    <w:rsid w:val="00937AD8"/>
    <w:rsid w:val="00942F87"/>
    <w:rsid w:val="009432BE"/>
    <w:rsid w:val="0094584B"/>
    <w:rsid w:val="009478AD"/>
    <w:rsid w:val="00950169"/>
    <w:rsid w:val="009506A4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1423"/>
    <w:rsid w:val="009727BB"/>
    <w:rsid w:val="00980781"/>
    <w:rsid w:val="00981811"/>
    <w:rsid w:val="009820DA"/>
    <w:rsid w:val="009829FA"/>
    <w:rsid w:val="00985DB2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B02F9"/>
    <w:rsid w:val="009B0BF9"/>
    <w:rsid w:val="009B0DB9"/>
    <w:rsid w:val="009B1FDF"/>
    <w:rsid w:val="009B2ABE"/>
    <w:rsid w:val="009B3AEB"/>
    <w:rsid w:val="009B3B7A"/>
    <w:rsid w:val="009B63E1"/>
    <w:rsid w:val="009B65DC"/>
    <w:rsid w:val="009C244C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A00EE6"/>
    <w:rsid w:val="00A01683"/>
    <w:rsid w:val="00A0214E"/>
    <w:rsid w:val="00A03E16"/>
    <w:rsid w:val="00A05211"/>
    <w:rsid w:val="00A059CA"/>
    <w:rsid w:val="00A1128A"/>
    <w:rsid w:val="00A11CA4"/>
    <w:rsid w:val="00A121C1"/>
    <w:rsid w:val="00A12D71"/>
    <w:rsid w:val="00A131F3"/>
    <w:rsid w:val="00A13A43"/>
    <w:rsid w:val="00A14692"/>
    <w:rsid w:val="00A14D7F"/>
    <w:rsid w:val="00A167D7"/>
    <w:rsid w:val="00A16D18"/>
    <w:rsid w:val="00A16E74"/>
    <w:rsid w:val="00A17C54"/>
    <w:rsid w:val="00A204A6"/>
    <w:rsid w:val="00A20D54"/>
    <w:rsid w:val="00A20EFD"/>
    <w:rsid w:val="00A2123D"/>
    <w:rsid w:val="00A21461"/>
    <w:rsid w:val="00A21697"/>
    <w:rsid w:val="00A2197F"/>
    <w:rsid w:val="00A26555"/>
    <w:rsid w:val="00A26A0D"/>
    <w:rsid w:val="00A275C9"/>
    <w:rsid w:val="00A30061"/>
    <w:rsid w:val="00A3180C"/>
    <w:rsid w:val="00A32163"/>
    <w:rsid w:val="00A335C7"/>
    <w:rsid w:val="00A33FF2"/>
    <w:rsid w:val="00A34E16"/>
    <w:rsid w:val="00A3567B"/>
    <w:rsid w:val="00A36A67"/>
    <w:rsid w:val="00A4022F"/>
    <w:rsid w:val="00A406D5"/>
    <w:rsid w:val="00A407BE"/>
    <w:rsid w:val="00A409BA"/>
    <w:rsid w:val="00A41FBF"/>
    <w:rsid w:val="00A422AB"/>
    <w:rsid w:val="00A4270A"/>
    <w:rsid w:val="00A46281"/>
    <w:rsid w:val="00A46B90"/>
    <w:rsid w:val="00A55476"/>
    <w:rsid w:val="00A55F39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3BE8"/>
    <w:rsid w:val="00A75214"/>
    <w:rsid w:val="00A75933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725"/>
    <w:rsid w:val="00AB5ED0"/>
    <w:rsid w:val="00AC1208"/>
    <w:rsid w:val="00AC1ACE"/>
    <w:rsid w:val="00AC289D"/>
    <w:rsid w:val="00AC5D21"/>
    <w:rsid w:val="00AC5E6F"/>
    <w:rsid w:val="00AC6090"/>
    <w:rsid w:val="00AC716E"/>
    <w:rsid w:val="00AD0D8D"/>
    <w:rsid w:val="00AD170F"/>
    <w:rsid w:val="00AD1EE2"/>
    <w:rsid w:val="00AD3AB1"/>
    <w:rsid w:val="00AD41B4"/>
    <w:rsid w:val="00AE1B0D"/>
    <w:rsid w:val="00AE23AC"/>
    <w:rsid w:val="00AE27DB"/>
    <w:rsid w:val="00AE27E1"/>
    <w:rsid w:val="00AE3CAB"/>
    <w:rsid w:val="00AE3CE0"/>
    <w:rsid w:val="00AE475E"/>
    <w:rsid w:val="00AE4992"/>
    <w:rsid w:val="00AE6189"/>
    <w:rsid w:val="00AE7317"/>
    <w:rsid w:val="00AE733F"/>
    <w:rsid w:val="00AE765A"/>
    <w:rsid w:val="00AF1F7D"/>
    <w:rsid w:val="00AF3BC8"/>
    <w:rsid w:val="00AF584B"/>
    <w:rsid w:val="00AF6158"/>
    <w:rsid w:val="00AF688E"/>
    <w:rsid w:val="00B00270"/>
    <w:rsid w:val="00B00579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0373"/>
    <w:rsid w:val="00B2362C"/>
    <w:rsid w:val="00B24636"/>
    <w:rsid w:val="00B306E7"/>
    <w:rsid w:val="00B3115C"/>
    <w:rsid w:val="00B314B0"/>
    <w:rsid w:val="00B34F39"/>
    <w:rsid w:val="00B3593E"/>
    <w:rsid w:val="00B35C74"/>
    <w:rsid w:val="00B36A6E"/>
    <w:rsid w:val="00B44239"/>
    <w:rsid w:val="00B4580D"/>
    <w:rsid w:val="00B51B99"/>
    <w:rsid w:val="00B53716"/>
    <w:rsid w:val="00B54205"/>
    <w:rsid w:val="00B558CA"/>
    <w:rsid w:val="00B56CC6"/>
    <w:rsid w:val="00B61D17"/>
    <w:rsid w:val="00B64B1A"/>
    <w:rsid w:val="00B6559F"/>
    <w:rsid w:val="00B65E54"/>
    <w:rsid w:val="00B66096"/>
    <w:rsid w:val="00B7237D"/>
    <w:rsid w:val="00B73B3C"/>
    <w:rsid w:val="00B76496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95783"/>
    <w:rsid w:val="00BA66CD"/>
    <w:rsid w:val="00BA7DB0"/>
    <w:rsid w:val="00BB0B26"/>
    <w:rsid w:val="00BB2D7A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C7584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53FF"/>
    <w:rsid w:val="00BF5F94"/>
    <w:rsid w:val="00BF682B"/>
    <w:rsid w:val="00BF7E5C"/>
    <w:rsid w:val="00C00CED"/>
    <w:rsid w:val="00C01810"/>
    <w:rsid w:val="00C034B5"/>
    <w:rsid w:val="00C06943"/>
    <w:rsid w:val="00C07F73"/>
    <w:rsid w:val="00C10348"/>
    <w:rsid w:val="00C11142"/>
    <w:rsid w:val="00C14626"/>
    <w:rsid w:val="00C17AC9"/>
    <w:rsid w:val="00C21283"/>
    <w:rsid w:val="00C22CC4"/>
    <w:rsid w:val="00C23D9E"/>
    <w:rsid w:val="00C306CD"/>
    <w:rsid w:val="00C30BE2"/>
    <w:rsid w:val="00C31B0A"/>
    <w:rsid w:val="00C32F86"/>
    <w:rsid w:val="00C35AD7"/>
    <w:rsid w:val="00C36C69"/>
    <w:rsid w:val="00C3723A"/>
    <w:rsid w:val="00C4008A"/>
    <w:rsid w:val="00C41133"/>
    <w:rsid w:val="00C42F1B"/>
    <w:rsid w:val="00C436B5"/>
    <w:rsid w:val="00C4422D"/>
    <w:rsid w:val="00C450AD"/>
    <w:rsid w:val="00C4677D"/>
    <w:rsid w:val="00C46B3B"/>
    <w:rsid w:val="00C47177"/>
    <w:rsid w:val="00C47EDB"/>
    <w:rsid w:val="00C50F4F"/>
    <w:rsid w:val="00C51BE1"/>
    <w:rsid w:val="00C5505D"/>
    <w:rsid w:val="00C567AE"/>
    <w:rsid w:val="00C631B5"/>
    <w:rsid w:val="00C64682"/>
    <w:rsid w:val="00C6516C"/>
    <w:rsid w:val="00C66BCF"/>
    <w:rsid w:val="00C72759"/>
    <w:rsid w:val="00C72937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5DD0"/>
    <w:rsid w:val="00C960D1"/>
    <w:rsid w:val="00C96693"/>
    <w:rsid w:val="00C976D8"/>
    <w:rsid w:val="00C97EB4"/>
    <w:rsid w:val="00CA05F0"/>
    <w:rsid w:val="00CA07BC"/>
    <w:rsid w:val="00CA09FC"/>
    <w:rsid w:val="00CA0C2D"/>
    <w:rsid w:val="00CA3B1D"/>
    <w:rsid w:val="00CB12A5"/>
    <w:rsid w:val="00CB3FDF"/>
    <w:rsid w:val="00CB4822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81F"/>
    <w:rsid w:val="00D11599"/>
    <w:rsid w:val="00D11EBE"/>
    <w:rsid w:val="00D13281"/>
    <w:rsid w:val="00D16195"/>
    <w:rsid w:val="00D21454"/>
    <w:rsid w:val="00D237C3"/>
    <w:rsid w:val="00D2417E"/>
    <w:rsid w:val="00D2505A"/>
    <w:rsid w:val="00D31E64"/>
    <w:rsid w:val="00D31F70"/>
    <w:rsid w:val="00D3376B"/>
    <w:rsid w:val="00D34C37"/>
    <w:rsid w:val="00D360F0"/>
    <w:rsid w:val="00D36DEA"/>
    <w:rsid w:val="00D40CAB"/>
    <w:rsid w:val="00D4447E"/>
    <w:rsid w:val="00D444E2"/>
    <w:rsid w:val="00D445B9"/>
    <w:rsid w:val="00D44B35"/>
    <w:rsid w:val="00D450C3"/>
    <w:rsid w:val="00D45A80"/>
    <w:rsid w:val="00D47D85"/>
    <w:rsid w:val="00D5144A"/>
    <w:rsid w:val="00D5575B"/>
    <w:rsid w:val="00D57D0D"/>
    <w:rsid w:val="00D62192"/>
    <w:rsid w:val="00D63DBD"/>
    <w:rsid w:val="00D63F6A"/>
    <w:rsid w:val="00D649F7"/>
    <w:rsid w:val="00D64D9B"/>
    <w:rsid w:val="00D6660D"/>
    <w:rsid w:val="00D71B2C"/>
    <w:rsid w:val="00D74368"/>
    <w:rsid w:val="00D764E0"/>
    <w:rsid w:val="00D76691"/>
    <w:rsid w:val="00D779A2"/>
    <w:rsid w:val="00D80040"/>
    <w:rsid w:val="00D822DA"/>
    <w:rsid w:val="00D83B35"/>
    <w:rsid w:val="00D85B05"/>
    <w:rsid w:val="00D8663C"/>
    <w:rsid w:val="00D87574"/>
    <w:rsid w:val="00D90713"/>
    <w:rsid w:val="00D90D60"/>
    <w:rsid w:val="00D91F07"/>
    <w:rsid w:val="00D9447B"/>
    <w:rsid w:val="00D969DA"/>
    <w:rsid w:val="00D97A60"/>
    <w:rsid w:val="00DA441D"/>
    <w:rsid w:val="00DA7006"/>
    <w:rsid w:val="00DA7333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1CC2"/>
    <w:rsid w:val="00DE31BB"/>
    <w:rsid w:val="00DE4291"/>
    <w:rsid w:val="00DE5263"/>
    <w:rsid w:val="00DE6C8F"/>
    <w:rsid w:val="00DF021A"/>
    <w:rsid w:val="00DF0695"/>
    <w:rsid w:val="00DF21D0"/>
    <w:rsid w:val="00DF29D2"/>
    <w:rsid w:val="00DF2E06"/>
    <w:rsid w:val="00DF4424"/>
    <w:rsid w:val="00DF4486"/>
    <w:rsid w:val="00DF4AE4"/>
    <w:rsid w:val="00DF4BEE"/>
    <w:rsid w:val="00DF4C55"/>
    <w:rsid w:val="00E000ED"/>
    <w:rsid w:val="00E00EF6"/>
    <w:rsid w:val="00E054F6"/>
    <w:rsid w:val="00E0749B"/>
    <w:rsid w:val="00E12528"/>
    <w:rsid w:val="00E12D0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47407"/>
    <w:rsid w:val="00E5060D"/>
    <w:rsid w:val="00E51698"/>
    <w:rsid w:val="00E53E0F"/>
    <w:rsid w:val="00E576C1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607C"/>
    <w:rsid w:val="00E862BC"/>
    <w:rsid w:val="00E87B52"/>
    <w:rsid w:val="00E9081E"/>
    <w:rsid w:val="00E90DA7"/>
    <w:rsid w:val="00E91EE1"/>
    <w:rsid w:val="00E924D0"/>
    <w:rsid w:val="00E93E3E"/>
    <w:rsid w:val="00E956CE"/>
    <w:rsid w:val="00E96D69"/>
    <w:rsid w:val="00EA0D72"/>
    <w:rsid w:val="00EA4712"/>
    <w:rsid w:val="00EA567A"/>
    <w:rsid w:val="00EA5C2E"/>
    <w:rsid w:val="00EA695B"/>
    <w:rsid w:val="00EA6E60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9EE"/>
    <w:rsid w:val="00EE2FB9"/>
    <w:rsid w:val="00EE3FA6"/>
    <w:rsid w:val="00EE4996"/>
    <w:rsid w:val="00EE77FB"/>
    <w:rsid w:val="00EF449B"/>
    <w:rsid w:val="00EF565F"/>
    <w:rsid w:val="00EF64C6"/>
    <w:rsid w:val="00F010F5"/>
    <w:rsid w:val="00F017F6"/>
    <w:rsid w:val="00F02B74"/>
    <w:rsid w:val="00F033D4"/>
    <w:rsid w:val="00F0622B"/>
    <w:rsid w:val="00F0651C"/>
    <w:rsid w:val="00F06531"/>
    <w:rsid w:val="00F06B62"/>
    <w:rsid w:val="00F0702D"/>
    <w:rsid w:val="00F111C6"/>
    <w:rsid w:val="00F1128F"/>
    <w:rsid w:val="00F11367"/>
    <w:rsid w:val="00F11C5D"/>
    <w:rsid w:val="00F121F6"/>
    <w:rsid w:val="00F12F8D"/>
    <w:rsid w:val="00F14CE9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975"/>
    <w:rsid w:val="00F40152"/>
    <w:rsid w:val="00F406E1"/>
    <w:rsid w:val="00F41156"/>
    <w:rsid w:val="00F41EEB"/>
    <w:rsid w:val="00F44122"/>
    <w:rsid w:val="00F4675F"/>
    <w:rsid w:val="00F46BCA"/>
    <w:rsid w:val="00F471FB"/>
    <w:rsid w:val="00F47301"/>
    <w:rsid w:val="00F50B83"/>
    <w:rsid w:val="00F51846"/>
    <w:rsid w:val="00F52AF2"/>
    <w:rsid w:val="00F52D31"/>
    <w:rsid w:val="00F549C4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3DD2"/>
    <w:rsid w:val="00F64B7B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80B37"/>
    <w:rsid w:val="00F85048"/>
    <w:rsid w:val="00F8554A"/>
    <w:rsid w:val="00F858EC"/>
    <w:rsid w:val="00F86DF8"/>
    <w:rsid w:val="00F87F88"/>
    <w:rsid w:val="00F90403"/>
    <w:rsid w:val="00F92245"/>
    <w:rsid w:val="00F933D9"/>
    <w:rsid w:val="00F9453F"/>
    <w:rsid w:val="00F9465C"/>
    <w:rsid w:val="00F949AE"/>
    <w:rsid w:val="00FA0D07"/>
    <w:rsid w:val="00FA2F61"/>
    <w:rsid w:val="00FA5BD0"/>
    <w:rsid w:val="00FA6B0E"/>
    <w:rsid w:val="00FA720F"/>
    <w:rsid w:val="00FB19C3"/>
    <w:rsid w:val="00FB1DD1"/>
    <w:rsid w:val="00FB1EC3"/>
    <w:rsid w:val="00FB43D5"/>
    <w:rsid w:val="00FB4DB8"/>
    <w:rsid w:val="00FB52A7"/>
    <w:rsid w:val="00FB5F98"/>
    <w:rsid w:val="00FB63C4"/>
    <w:rsid w:val="00FB67C9"/>
    <w:rsid w:val="00FC1643"/>
    <w:rsid w:val="00FC31F0"/>
    <w:rsid w:val="00FC416A"/>
    <w:rsid w:val="00FC5D6B"/>
    <w:rsid w:val="00FC66BC"/>
    <w:rsid w:val="00FD0ACC"/>
    <w:rsid w:val="00FD217E"/>
    <w:rsid w:val="00FD43FF"/>
    <w:rsid w:val="00FD4D91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1C096E11-7D31-4B90-B60E-258548A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  <w:style w:type="table" w:styleId="Mkatabulky">
    <w:name w:val="Table Grid"/>
    <w:basedOn w:val="Normlntabulka"/>
    <w:uiPriority w:val="39"/>
    <w:rsid w:val="00866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6AED-4E70-48B1-9699-CA3A89C2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22</Pages>
  <Words>4880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Blahová Alice Bc. (MPSV)</cp:lastModifiedBy>
  <cp:revision>30</cp:revision>
  <cp:lastPrinted>2020-01-24T11:20:00Z</cp:lastPrinted>
  <dcterms:created xsi:type="dcterms:W3CDTF">2020-01-08T08:46:00Z</dcterms:created>
  <dcterms:modified xsi:type="dcterms:W3CDTF">2020-01-24T12:04:00Z</dcterms:modified>
</cp:coreProperties>
</file>