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8B" w:rsidRPr="00AE7317" w:rsidRDefault="00F9388B" w:rsidP="00F9388B">
      <w:pPr>
        <w:spacing w:line="360" w:lineRule="auto"/>
        <w:jc w:val="center"/>
        <w:rPr>
          <w:rFonts w:asciiTheme="minorHAnsi" w:hAnsiTheme="minorHAnsi" w:cstheme="minorHAnsi"/>
          <w:b/>
          <w:i/>
          <w:sz w:val="48"/>
          <w:szCs w:val="26"/>
        </w:rPr>
      </w:pPr>
    </w:p>
    <w:p w:rsidR="00F9388B" w:rsidRPr="00AE7317" w:rsidRDefault="00F9388B" w:rsidP="00F9388B">
      <w:pPr>
        <w:spacing w:line="360" w:lineRule="auto"/>
        <w:jc w:val="center"/>
        <w:rPr>
          <w:rFonts w:asciiTheme="minorHAnsi" w:hAnsiTheme="minorHAnsi" w:cstheme="minorHAnsi"/>
          <w:b/>
          <w:i/>
          <w:sz w:val="48"/>
          <w:szCs w:val="26"/>
        </w:rPr>
      </w:pPr>
    </w:p>
    <w:p w:rsidR="00F9388B" w:rsidRPr="00AE7317" w:rsidRDefault="00F9388B" w:rsidP="00F9388B">
      <w:pPr>
        <w:spacing w:line="360" w:lineRule="auto"/>
        <w:jc w:val="center"/>
        <w:rPr>
          <w:rFonts w:asciiTheme="minorHAnsi" w:hAnsiTheme="minorHAnsi" w:cstheme="minorHAnsi"/>
          <w:b/>
          <w:i/>
          <w:sz w:val="48"/>
          <w:szCs w:val="26"/>
        </w:rPr>
      </w:pPr>
    </w:p>
    <w:p w:rsidR="00F9388B" w:rsidRPr="00AE7317" w:rsidRDefault="00F9388B" w:rsidP="00F9388B">
      <w:pPr>
        <w:spacing w:line="360" w:lineRule="auto"/>
        <w:jc w:val="center"/>
        <w:rPr>
          <w:rFonts w:asciiTheme="minorHAnsi" w:hAnsiTheme="minorHAnsi" w:cstheme="minorHAnsi"/>
          <w:b/>
          <w:i/>
          <w:sz w:val="48"/>
          <w:szCs w:val="26"/>
        </w:rPr>
      </w:pPr>
    </w:p>
    <w:p w:rsidR="00F9388B" w:rsidRPr="00AE7317" w:rsidRDefault="00F9388B" w:rsidP="00F9388B">
      <w:pPr>
        <w:spacing w:line="360" w:lineRule="auto"/>
        <w:jc w:val="center"/>
        <w:rPr>
          <w:rFonts w:asciiTheme="minorHAnsi" w:hAnsiTheme="minorHAnsi" w:cstheme="minorHAnsi"/>
          <w:b/>
          <w:i/>
          <w:sz w:val="48"/>
          <w:szCs w:val="26"/>
        </w:rPr>
      </w:pPr>
    </w:p>
    <w:p w:rsidR="00F9388B" w:rsidRPr="00AE7317" w:rsidRDefault="00F9388B" w:rsidP="00F9388B">
      <w:pPr>
        <w:spacing w:line="360" w:lineRule="auto"/>
        <w:jc w:val="center"/>
        <w:rPr>
          <w:rFonts w:asciiTheme="minorHAnsi" w:hAnsiTheme="minorHAnsi" w:cstheme="minorHAnsi"/>
          <w:b/>
          <w:i/>
          <w:sz w:val="48"/>
          <w:szCs w:val="26"/>
        </w:rPr>
      </w:pPr>
      <w:r w:rsidRPr="00AE7317">
        <w:rPr>
          <w:rFonts w:asciiTheme="minorHAnsi" w:hAnsiTheme="minorHAnsi" w:cstheme="minorHAnsi"/>
          <w:b/>
          <w:i/>
          <w:sz w:val="48"/>
          <w:szCs w:val="26"/>
        </w:rPr>
        <w:t>Zpráva o základních tendencích</w:t>
      </w:r>
    </w:p>
    <w:p w:rsidR="00F9388B" w:rsidRPr="00AE7317" w:rsidRDefault="00F9388B" w:rsidP="00F9388B">
      <w:pPr>
        <w:spacing w:line="360" w:lineRule="auto"/>
        <w:jc w:val="center"/>
        <w:rPr>
          <w:rFonts w:asciiTheme="minorHAnsi" w:hAnsiTheme="minorHAnsi" w:cstheme="minorHAnsi"/>
          <w:b/>
          <w:i/>
          <w:sz w:val="48"/>
          <w:szCs w:val="26"/>
        </w:rPr>
      </w:pPr>
      <w:r w:rsidRPr="00AE7317">
        <w:rPr>
          <w:rFonts w:asciiTheme="minorHAnsi" w:hAnsiTheme="minorHAnsi" w:cstheme="minorHAnsi"/>
          <w:b/>
          <w:i/>
          <w:sz w:val="48"/>
          <w:szCs w:val="26"/>
        </w:rPr>
        <w:t>příjmové a výdajové situace domácností ČR</w:t>
      </w:r>
    </w:p>
    <w:p w:rsidR="00F9388B" w:rsidRPr="00AE7317" w:rsidRDefault="00F9388B" w:rsidP="00F9388B">
      <w:pPr>
        <w:spacing w:line="360" w:lineRule="auto"/>
        <w:jc w:val="center"/>
        <w:rPr>
          <w:rFonts w:asciiTheme="minorHAnsi" w:hAnsiTheme="minorHAnsi" w:cstheme="minorHAnsi"/>
          <w:b/>
          <w:i/>
          <w:sz w:val="48"/>
          <w:szCs w:val="26"/>
        </w:rPr>
      </w:pPr>
      <w:r w:rsidRPr="00AE7317">
        <w:rPr>
          <w:rFonts w:asciiTheme="minorHAnsi" w:hAnsiTheme="minorHAnsi" w:cstheme="minorHAnsi"/>
          <w:b/>
          <w:i/>
          <w:sz w:val="48"/>
          <w:szCs w:val="26"/>
        </w:rPr>
        <w:t>v 1. čtvrtletí 20</w:t>
      </w:r>
      <w:r w:rsidR="002E5616">
        <w:rPr>
          <w:rFonts w:asciiTheme="minorHAnsi" w:hAnsiTheme="minorHAnsi" w:cstheme="minorHAnsi"/>
          <w:b/>
          <w:i/>
          <w:sz w:val="48"/>
          <w:szCs w:val="26"/>
        </w:rPr>
        <w:t>20</w:t>
      </w:r>
    </w:p>
    <w:p w:rsidR="00F9388B" w:rsidRPr="00AE7317" w:rsidRDefault="00F9388B" w:rsidP="00F9388B">
      <w:pPr>
        <w:rPr>
          <w:rFonts w:asciiTheme="minorHAnsi" w:hAnsiTheme="minorHAnsi" w:cstheme="minorHAnsi"/>
          <w:b/>
          <w:i/>
          <w:sz w:val="36"/>
          <w:szCs w:val="26"/>
        </w:rPr>
      </w:pPr>
    </w:p>
    <w:p w:rsidR="00F9388B" w:rsidRPr="00AE7317" w:rsidRDefault="00F9388B" w:rsidP="00F9388B">
      <w:pPr>
        <w:rPr>
          <w:rFonts w:asciiTheme="minorHAnsi" w:hAnsiTheme="minorHAnsi" w:cstheme="minorHAnsi"/>
          <w:b/>
          <w:i/>
          <w:sz w:val="36"/>
          <w:szCs w:val="26"/>
        </w:rPr>
      </w:pPr>
    </w:p>
    <w:p w:rsidR="00F9388B" w:rsidRPr="00AE7317" w:rsidRDefault="00F9388B" w:rsidP="00F9388B">
      <w:pPr>
        <w:rPr>
          <w:rFonts w:asciiTheme="minorHAnsi" w:hAnsiTheme="minorHAnsi" w:cstheme="minorHAnsi"/>
          <w:b/>
          <w:i/>
          <w:sz w:val="36"/>
          <w:szCs w:val="26"/>
        </w:rPr>
      </w:pPr>
    </w:p>
    <w:p w:rsidR="00F9388B" w:rsidRPr="00AE7317" w:rsidRDefault="00F9388B" w:rsidP="00F9388B">
      <w:pPr>
        <w:rPr>
          <w:rFonts w:asciiTheme="minorHAnsi" w:hAnsiTheme="minorHAnsi" w:cstheme="minorHAnsi"/>
          <w:b/>
          <w:i/>
          <w:sz w:val="36"/>
          <w:szCs w:val="26"/>
        </w:rPr>
      </w:pPr>
    </w:p>
    <w:p w:rsidR="00F9388B" w:rsidRPr="00AE7317" w:rsidRDefault="00F9388B" w:rsidP="00F9388B">
      <w:pPr>
        <w:rPr>
          <w:rFonts w:asciiTheme="minorHAnsi" w:hAnsiTheme="minorHAnsi" w:cstheme="minorHAnsi"/>
          <w:sz w:val="26"/>
          <w:szCs w:val="26"/>
        </w:rPr>
      </w:pPr>
    </w:p>
    <w:p w:rsidR="00F9388B" w:rsidRPr="00AE7317" w:rsidRDefault="00F9388B" w:rsidP="00F9388B">
      <w:pPr>
        <w:rPr>
          <w:rFonts w:asciiTheme="minorHAnsi" w:hAnsiTheme="minorHAnsi" w:cstheme="minorHAnsi"/>
          <w:sz w:val="26"/>
          <w:szCs w:val="26"/>
        </w:rPr>
      </w:pPr>
    </w:p>
    <w:p w:rsidR="00F9388B" w:rsidRPr="00AE7317" w:rsidRDefault="00F9388B" w:rsidP="00F9388B">
      <w:pPr>
        <w:rPr>
          <w:rFonts w:asciiTheme="minorHAnsi" w:hAnsiTheme="minorHAnsi" w:cstheme="minorHAnsi"/>
          <w:sz w:val="26"/>
          <w:szCs w:val="26"/>
        </w:rPr>
      </w:pPr>
    </w:p>
    <w:p w:rsidR="00F9388B" w:rsidRPr="00AE7317" w:rsidRDefault="00F9388B" w:rsidP="00F9388B">
      <w:pPr>
        <w:rPr>
          <w:rFonts w:asciiTheme="minorHAnsi" w:hAnsiTheme="minorHAnsi" w:cstheme="minorHAnsi"/>
          <w:sz w:val="26"/>
          <w:szCs w:val="26"/>
        </w:rPr>
      </w:pPr>
    </w:p>
    <w:p w:rsidR="00F9388B" w:rsidRPr="00AE7317" w:rsidRDefault="00F9388B" w:rsidP="00F9388B">
      <w:pPr>
        <w:rPr>
          <w:rFonts w:asciiTheme="minorHAnsi" w:hAnsiTheme="minorHAnsi" w:cstheme="minorHAnsi"/>
          <w:sz w:val="26"/>
          <w:szCs w:val="26"/>
        </w:rPr>
      </w:pPr>
    </w:p>
    <w:p w:rsidR="00F9388B" w:rsidRPr="00AE7317" w:rsidRDefault="00F9388B" w:rsidP="00F9388B">
      <w:pPr>
        <w:rPr>
          <w:rFonts w:asciiTheme="minorHAnsi" w:hAnsiTheme="minorHAnsi" w:cstheme="minorHAnsi"/>
          <w:sz w:val="26"/>
          <w:szCs w:val="26"/>
        </w:rPr>
      </w:pPr>
    </w:p>
    <w:p w:rsidR="00F9388B" w:rsidRPr="00AE7317" w:rsidRDefault="00F9388B" w:rsidP="00F9388B">
      <w:pPr>
        <w:rPr>
          <w:rFonts w:asciiTheme="minorHAnsi" w:hAnsiTheme="minorHAnsi" w:cstheme="minorHAnsi"/>
          <w:sz w:val="26"/>
          <w:szCs w:val="26"/>
        </w:rPr>
      </w:pPr>
    </w:p>
    <w:p w:rsidR="00F9388B" w:rsidRPr="00AE7317" w:rsidRDefault="00F9388B" w:rsidP="00F9388B">
      <w:pPr>
        <w:rPr>
          <w:rFonts w:asciiTheme="minorHAnsi" w:hAnsiTheme="minorHAnsi" w:cstheme="minorHAnsi"/>
          <w:sz w:val="26"/>
          <w:szCs w:val="26"/>
        </w:rPr>
      </w:pPr>
    </w:p>
    <w:p w:rsidR="00F9388B" w:rsidRPr="00AE7317" w:rsidRDefault="00F9388B" w:rsidP="00F9388B">
      <w:pPr>
        <w:ind w:firstLine="5529"/>
        <w:rPr>
          <w:rFonts w:asciiTheme="minorHAnsi" w:hAnsiTheme="minorHAnsi" w:cstheme="minorHAnsi"/>
          <w:b/>
          <w:sz w:val="26"/>
          <w:szCs w:val="26"/>
        </w:rPr>
      </w:pPr>
      <w:r w:rsidRPr="00AE7317">
        <w:rPr>
          <w:rFonts w:asciiTheme="minorHAnsi" w:hAnsiTheme="minorHAnsi" w:cstheme="minorHAnsi"/>
          <w:b/>
          <w:sz w:val="26"/>
          <w:szCs w:val="26"/>
        </w:rPr>
        <w:t>Obsah:</w:t>
      </w:r>
    </w:p>
    <w:p w:rsidR="00F9388B" w:rsidRPr="00AE7317" w:rsidRDefault="00F9388B" w:rsidP="00F9388B">
      <w:pPr>
        <w:pStyle w:val="Odstavecseseznamem"/>
        <w:numPr>
          <w:ilvl w:val="0"/>
          <w:numId w:val="45"/>
        </w:numPr>
        <w:spacing w:after="160" w:line="259" w:lineRule="auto"/>
        <w:ind w:firstLine="5529"/>
        <w:contextualSpacing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 xml:space="preserve">Textová </w:t>
      </w:r>
      <w:r>
        <w:rPr>
          <w:rFonts w:asciiTheme="minorHAnsi" w:hAnsiTheme="minorHAnsi" w:cstheme="minorHAnsi"/>
          <w:sz w:val="26"/>
          <w:szCs w:val="26"/>
        </w:rPr>
        <w:t>část</w:t>
      </w:r>
    </w:p>
    <w:p w:rsidR="00F9388B" w:rsidRPr="00AE7317" w:rsidRDefault="00F9388B" w:rsidP="00F9388B">
      <w:pPr>
        <w:pStyle w:val="Odstavecseseznamem"/>
        <w:numPr>
          <w:ilvl w:val="0"/>
          <w:numId w:val="45"/>
        </w:numPr>
        <w:spacing w:after="160" w:line="259" w:lineRule="auto"/>
        <w:ind w:firstLine="5529"/>
        <w:contextualSpacing/>
        <w:rPr>
          <w:rFonts w:asciiTheme="minorHAnsi" w:hAnsiTheme="minorHAnsi" w:cstheme="minorHAnsi"/>
          <w:sz w:val="26"/>
          <w:szCs w:val="26"/>
        </w:rPr>
      </w:pPr>
      <w:r w:rsidRPr="00AE7317">
        <w:rPr>
          <w:rFonts w:asciiTheme="minorHAnsi" w:hAnsiTheme="minorHAnsi" w:cstheme="minorHAnsi"/>
          <w:sz w:val="26"/>
          <w:szCs w:val="26"/>
        </w:rPr>
        <w:t>Tabulková příloha</w:t>
      </w:r>
    </w:p>
    <w:p w:rsidR="00F9388B" w:rsidRPr="00AE7317" w:rsidRDefault="00F9388B" w:rsidP="00F9388B">
      <w:pPr>
        <w:rPr>
          <w:rFonts w:asciiTheme="minorHAnsi" w:hAnsiTheme="minorHAnsi" w:cstheme="minorHAnsi"/>
          <w:sz w:val="26"/>
          <w:szCs w:val="26"/>
        </w:rPr>
      </w:pPr>
    </w:p>
    <w:p w:rsidR="00F9388B" w:rsidRPr="00AE7317" w:rsidRDefault="00F9388B" w:rsidP="00F9388B">
      <w:pPr>
        <w:rPr>
          <w:rFonts w:asciiTheme="minorHAnsi" w:hAnsiTheme="minorHAnsi" w:cstheme="minorHAnsi"/>
          <w:sz w:val="26"/>
          <w:szCs w:val="26"/>
        </w:rPr>
      </w:pPr>
    </w:p>
    <w:p w:rsidR="00F9388B" w:rsidRPr="00AE7317" w:rsidRDefault="00F9388B" w:rsidP="00F9388B">
      <w:pPr>
        <w:rPr>
          <w:sz w:val="26"/>
          <w:szCs w:val="26"/>
        </w:rPr>
      </w:pPr>
    </w:p>
    <w:p w:rsidR="00A55F39" w:rsidRPr="00AE7317" w:rsidRDefault="00A55F39" w:rsidP="006866E8">
      <w:pPr>
        <w:jc w:val="center"/>
      </w:pPr>
      <w:r w:rsidRPr="00AE7317">
        <w:br w:type="page"/>
      </w:r>
    </w:p>
    <w:p w:rsidR="004621C0" w:rsidRPr="00AE7317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E7317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076EC4" w:rsidRPr="00AE7317" w:rsidRDefault="00076EC4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076EC4" w:rsidRPr="00AE7317" w:rsidRDefault="00076EC4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076EC4" w:rsidRPr="00AE7317" w:rsidRDefault="00076EC4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076EC4" w:rsidRPr="00AE7317" w:rsidRDefault="00076EC4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E7317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E7317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E7317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E7317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  <w:r w:rsidRPr="00AE7317">
        <w:rPr>
          <w:rFonts w:asciiTheme="minorHAnsi" w:hAnsiTheme="minorHAnsi"/>
          <w:b/>
          <w:sz w:val="44"/>
          <w:szCs w:val="36"/>
        </w:rPr>
        <w:t>I.</w:t>
      </w:r>
    </w:p>
    <w:p w:rsidR="004621C0" w:rsidRPr="00AE7317" w:rsidRDefault="004621C0" w:rsidP="004621C0">
      <w:pPr>
        <w:spacing w:line="360" w:lineRule="auto"/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E7317" w:rsidRDefault="004621C0" w:rsidP="004621C0">
      <w:pPr>
        <w:spacing w:line="360" w:lineRule="auto"/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AE7317" w:rsidRDefault="00076EC4" w:rsidP="004621C0">
      <w:pPr>
        <w:jc w:val="center"/>
        <w:rPr>
          <w:rFonts w:asciiTheme="minorHAnsi" w:hAnsiTheme="minorHAnsi"/>
          <w:b/>
          <w:sz w:val="44"/>
          <w:szCs w:val="36"/>
        </w:rPr>
      </w:pPr>
      <w:r w:rsidRPr="00AE7317">
        <w:rPr>
          <w:rFonts w:asciiTheme="minorHAnsi" w:hAnsiTheme="minorHAnsi"/>
          <w:b/>
          <w:sz w:val="44"/>
          <w:szCs w:val="36"/>
        </w:rPr>
        <w:t xml:space="preserve">Textová </w:t>
      </w:r>
      <w:r w:rsidR="00C11142">
        <w:rPr>
          <w:rFonts w:asciiTheme="minorHAnsi" w:hAnsiTheme="minorHAnsi"/>
          <w:b/>
          <w:sz w:val="44"/>
          <w:szCs w:val="36"/>
        </w:rPr>
        <w:t>část</w:t>
      </w:r>
    </w:p>
    <w:p w:rsidR="004268E2" w:rsidRPr="00AE7317" w:rsidRDefault="004268E2" w:rsidP="004268E2">
      <w:pPr>
        <w:rPr>
          <w:sz w:val="28"/>
        </w:rPr>
      </w:pPr>
    </w:p>
    <w:p w:rsidR="002E5616" w:rsidRPr="00C30F6B" w:rsidRDefault="00586BE7" w:rsidP="002E5616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28"/>
        </w:rPr>
      </w:pPr>
      <w:r w:rsidRPr="00AE7317">
        <w:br w:type="page"/>
      </w:r>
    </w:p>
    <w:p w:rsidR="002E5616" w:rsidRPr="00C30F6B" w:rsidRDefault="002E5616" w:rsidP="002E5616">
      <w:pPr>
        <w:rPr>
          <w:rFonts w:asciiTheme="minorHAnsi" w:hAnsiTheme="minorHAnsi"/>
        </w:rPr>
      </w:pPr>
    </w:p>
    <w:p w:rsidR="002E5616" w:rsidRPr="00C30F6B" w:rsidRDefault="002E5616" w:rsidP="002E5616">
      <w:pPr>
        <w:rPr>
          <w:rFonts w:asciiTheme="minorHAnsi" w:hAnsiTheme="minorHAnsi"/>
        </w:rPr>
      </w:pPr>
    </w:p>
    <w:p w:rsidR="002E5616" w:rsidRPr="00C30F6B" w:rsidRDefault="002E5616" w:rsidP="002E5616">
      <w:pPr>
        <w:rPr>
          <w:rFonts w:asciiTheme="minorHAnsi" w:hAnsiTheme="minorHAnsi"/>
        </w:rPr>
      </w:pPr>
    </w:p>
    <w:p w:rsidR="002E5616" w:rsidRPr="00C30F6B" w:rsidRDefault="002E5616" w:rsidP="002E5616">
      <w:pPr>
        <w:rPr>
          <w:rFonts w:asciiTheme="minorHAnsi" w:hAnsiTheme="minorHAnsi"/>
        </w:rPr>
      </w:pPr>
    </w:p>
    <w:p w:rsidR="002E5616" w:rsidRPr="00C30F6B" w:rsidRDefault="002E5616" w:rsidP="002E5616">
      <w:pPr>
        <w:rPr>
          <w:rFonts w:asciiTheme="minorHAnsi" w:hAnsiTheme="minorHAnsi"/>
        </w:rPr>
      </w:pPr>
    </w:p>
    <w:p w:rsidR="002E5616" w:rsidRPr="00C30F6B" w:rsidRDefault="002E5616" w:rsidP="002E5616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28"/>
        </w:rPr>
      </w:pPr>
    </w:p>
    <w:p w:rsidR="002E5616" w:rsidRPr="00C30F6B" w:rsidRDefault="002E5616" w:rsidP="002E5616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44"/>
        </w:rPr>
      </w:pPr>
      <w:r w:rsidRPr="00C30F6B">
        <w:rPr>
          <w:rFonts w:asciiTheme="minorHAnsi" w:hAnsiTheme="minorHAnsi"/>
          <w:sz w:val="44"/>
        </w:rPr>
        <w:t>Obsah</w:t>
      </w:r>
    </w:p>
    <w:p w:rsidR="002E5616" w:rsidRPr="00C30F6B" w:rsidRDefault="002E5616" w:rsidP="002E5616">
      <w:pPr>
        <w:tabs>
          <w:tab w:val="center" w:pos="8222"/>
        </w:tabs>
        <w:spacing w:line="360" w:lineRule="auto"/>
        <w:jc w:val="both"/>
        <w:rPr>
          <w:rFonts w:asciiTheme="minorHAnsi" w:hAnsiTheme="minorHAnsi"/>
        </w:rPr>
      </w:pPr>
    </w:p>
    <w:p w:rsidR="002E5616" w:rsidRPr="00C30F6B" w:rsidRDefault="002E5616" w:rsidP="002E5616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E5616" w:rsidRPr="00C30F6B" w:rsidRDefault="002E5616" w:rsidP="002E5616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E5616" w:rsidRPr="00C30F6B" w:rsidRDefault="002E5616" w:rsidP="002E5616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E5616" w:rsidRPr="00C30F6B" w:rsidRDefault="002E5616" w:rsidP="002E5616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30F6B">
        <w:rPr>
          <w:rFonts w:asciiTheme="minorHAnsi" w:hAnsiTheme="minorHAnsi"/>
          <w:sz w:val="26"/>
          <w:szCs w:val="26"/>
        </w:rPr>
        <w:tab/>
        <w:t>strana</w:t>
      </w:r>
    </w:p>
    <w:p w:rsidR="002E5616" w:rsidRPr="00C30F6B" w:rsidRDefault="002E5616" w:rsidP="002E5616">
      <w:pPr>
        <w:tabs>
          <w:tab w:val="decimal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E5616" w:rsidRPr="00C30F6B" w:rsidRDefault="002E5616" w:rsidP="002E5616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30F6B">
        <w:rPr>
          <w:rFonts w:asciiTheme="minorHAnsi" w:hAnsiTheme="minorHAnsi"/>
          <w:b/>
          <w:bCs/>
          <w:sz w:val="26"/>
          <w:szCs w:val="26"/>
        </w:rPr>
        <w:t>Hlavní poznatky z analýzy</w:t>
      </w:r>
      <w:r w:rsidRPr="00C30F6B">
        <w:rPr>
          <w:rFonts w:asciiTheme="minorHAnsi" w:hAnsiTheme="minorHAnsi"/>
          <w:sz w:val="26"/>
          <w:szCs w:val="26"/>
        </w:rPr>
        <w:tab/>
        <w:t xml:space="preserve">  1</w:t>
      </w:r>
    </w:p>
    <w:p w:rsidR="002E5616" w:rsidRPr="00C30F6B" w:rsidRDefault="002E5616" w:rsidP="002E5616">
      <w:pPr>
        <w:tabs>
          <w:tab w:val="decimal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E5616" w:rsidRPr="00C30F6B" w:rsidRDefault="002E5616" w:rsidP="002E5616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30F6B">
        <w:rPr>
          <w:rFonts w:asciiTheme="minorHAnsi" w:hAnsiTheme="minorHAnsi"/>
          <w:b/>
          <w:bCs/>
          <w:sz w:val="26"/>
          <w:szCs w:val="26"/>
        </w:rPr>
        <w:t>1</w:t>
      </w:r>
      <w:r w:rsidRPr="00C30F6B">
        <w:rPr>
          <w:rFonts w:asciiTheme="minorHAnsi" w:hAnsiTheme="minorHAnsi"/>
          <w:b/>
          <w:sz w:val="26"/>
          <w:szCs w:val="26"/>
        </w:rPr>
        <w:t>. Příjmy domácností</w:t>
      </w:r>
      <w:r w:rsidRPr="00C30F6B">
        <w:rPr>
          <w:rFonts w:asciiTheme="minorHAnsi" w:hAnsiTheme="minorHAnsi"/>
          <w:sz w:val="26"/>
          <w:szCs w:val="26"/>
        </w:rPr>
        <w:tab/>
        <w:t xml:space="preserve">  4</w:t>
      </w:r>
    </w:p>
    <w:p w:rsidR="002E5616" w:rsidRPr="00C30F6B" w:rsidRDefault="002E5616" w:rsidP="002E5616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30F6B">
        <w:rPr>
          <w:rFonts w:asciiTheme="minorHAnsi" w:hAnsiTheme="minorHAnsi"/>
          <w:i/>
          <w:sz w:val="26"/>
          <w:szCs w:val="26"/>
        </w:rPr>
        <w:tab/>
        <w:t>1. 1   Základní charakteristika</w:t>
      </w:r>
      <w:r w:rsidRPr="00C30F6B">
        <w:rPr>
          <w:rFonts w:asciiTheme="minorHAnsi" w:hAnsiTheme="minorHAnsi"/>
          <w:sz w:val="26"/>
          <w:szCs w:val="26"/>
        </w:rPr>
        <w:tab/>
        <w:t xml:space="preserve">  4</w:t>
      </w:r>
    </w:p>
    <w:p w:rsidR="002E5616" w:rsidRPr="00C30F6B" w:rsidRDefault="002E5616" w:rsidP="002E5616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30F6B">
        <w:rPr>
          <w:rFonts w:asciiTheme="minorHAnsi" w:hAnsiTheme="minorHAnsi"/>
          <w:i/>
          <w:sz w:val="26"/>
          <w:szCs w:val="26"/>
        </w:rPr>
        <w:tab/>
        <w:t>1. 2   Mzdy</w:t>
      </w:r>
      <w:r w:rsidRPr="00C30F6B">
        <w:rPr>
          <w:rFonts w:asciiTheme="minorHAnsi" w:hAnsiTheme="minorHAnsi"/>
          <w:sz w:val="26"/>
          <w:szCs w:val="26"/>
        </w:rPr>
        <w:t xml:space="preserve"> </w:t>
      </w:r>
      <w:r w:rsidRPr="00C30F6B">
        <w:rPr>
          <w:rFonts w:asciiTheme="minorHAnsi" w:hAnsiTheme="minorHAnsi"/>
          <w:sz w:val="26"/>
          <w:szCs w:val="26"/>
        </w:rPr>
        <w:tab/>
        <w:t xml:space="preserve">  5</w:t>
      </w:r>
    </w:p>
    <w:p w:rsidR="002E5616" w:rsidRPr="00C30F6B" w:rsidRDefault="002E5616" w:rsidP="002E5616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30F6B">
        <w:rPr>
          <w:rFonts w:asciiTheme="minorHAnsi" w:hAnsiTheme="minorHAnsi"/>
          <w:sz w:val="26"/>
          <w:szCs w:val="26"/>
        </w:rPr>
        <w:tab/>
      </w:r>
      <w:r w:rsidRPr="00C30F6B">
        <w:rPr>
          <w:rFonts w:asciiTheme="minorHAnsi" w:hAnsiTheme="minorHAnsi"/>
          <w:i/>
          <w:sz w:val="26"/>
          <w:szCs w:val="26"/>
        </w:rPr>
        <w:t>1. 3   Sociální příjmy</w:t>
      </w:r>
      <w:r w:rsidRPr="00C30F6B">
        <w:rPr>
          <w:rFonts w:asciiTheme="minorHAnsi" w:hAnsiTheme="minorHAnsi"/>
          <w:sz w:val="26"/>
          <w:szCs w:val="26"/>
        </w:rPr>
        <w:tab/>
        <w:t xml:space="preserve"> 11</w:t>
      </w:r>
    </w:p>
    <w:p w:rsidR="002E5616" w:rsidRPr="00C30F6B" w:rsidRDefault="002E5616" w:rsidP="002E5616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E5616" w:rsidRPr="00C30F6B" w:rsidRDefault="002E5616" w:rsidP="002E5616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30F6B">
        <w:rPr>
          <w:rFonts w:asciiTheme="minorHAnsi" w:hAnsiTheme="minorHAnsi"/>
          <w:b/>
          <w:sz w:val="26"/>
          <w:szCs w:val="26"/>
        </w:rPr>
        <w:t>2. Spotřebitelské ceny a životní náklady</w:t>
      </w:r>
      <w:r w:rsidRPr="00C30F6B">
        <w:rPr>
          <w:rFonts w:asciiTheme="minorHAnsi" w:hAnsiTheme="minorHAnsi"/>
          <w:sz w:val="26"/>
          <w:szCs w:val="26"/>
        </w:rPr>
        <w:tab/>
        <w:t xml:space="preserve"> 16</w:t>
      </w:r>
    </w:p>
    <w:p w:rsidR="002E5616" w:rsidRPr="00C30F6B" w:rsidRDefault="002E5616" w:rsidP="002E5616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E5616" w:rsidRPr="00C30F6B" w:rsidRDefault="002E5616" w:rsidP="002E5616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30F6B">
        <w:rPr>
          <w:rFonts w:asciiTheme="minorHAnsi" w:hAnsiTheme="minorHAnsi"/>
          <w:b/>
          <w:sz w:val="26"/>
          <w:szCs w:val="26"/>
        </w:rPr>
        <w:t>3. Peněžní výdaje a úspory domácností</w:t>
      </w:r>
      <w:r w:rsidRPr="00C30F6B">
        <w:rPr>
          <w:rFonts w:asciiTheme="minorHAnsi" w:hAnsiTheme="minorHAnsi"/>
          <w:sz w:val="26"/>
          <w:szCs w:val="26"/>
        </w:rPr>
        <w:tab/>
        <w:t xml:space="preserve"> 18</w:t>
      </w:r>
    </w:p>
    <w:p w:rsidR="002E5616" w:rsidRPr="00C30F6B" w:rsidRDefault="002E5616" w:rsidP="002E5616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:rsidR="002E5616" w:rsidRPr="00C30F6B" w:rsidRDefault="002E5616" w:rsidP="002E5616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sectPr w:rsidR="002E5616" w:rsidRPr="00C30F6B" w:rsidSect="00A11CA4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start="2"/>
          <w:cols w:space="708"/>
          <w:titlePg/>
        </w:sectPr>
      </w:pPr>
    </w:p>
    <w:p w:rsidR="002E5616" w:rsidRPr="00C30F6B" w:rsidRDefault="002E5616" w:rsidP="002E5616">
      <w:pPr>
        <w:jc w:val="both"/>
        <w:rPr>
          <w:rFonts w:asciiTheme="minorHAnsi" w:hAnsiTheme="minorHAnsi"/>
          <w:b/>
          <w:i/>
          <w:sz w:val="44"/>
          <w:szCs w:val="44"/>
        </w:rPr>
      </w:pPr>
      <w:r w:rsidRPr="00C30F6B">
        <w:rPr>
          <w:rFonts w:asciiTheme="minorHAnsi" w:hAnsiTheme="minorHAnsi"/>
          <w:b/>
          <w:i/>
          <w:sz w:val="44"/>
          <w:szCs w:val="44"/>
        </w:rPr>
        <w:lastRenderedPageBreak/>
        <w:t xml:space="preserve">Hlavní poznatky z analýzy </w:t>
      </w:r>
    </w:p>
    <w:p w:rsidR="002E5616" w:rsidRPr="00C30F6B" w:rsidRDefault="002E5616" w:rsidP="002E5616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2E5616" w:rsidRPr="00C30F6B" w:rsidRDefault="002E5616" w:rsidP="002E5616">
      <w:pPr>
        <w:spacing w:after="240" w:line="360" w:lineRule="auto"/>
        <w:jc w:val="both"/>
        <w:rPr>
          <w:rFonts w:ascii="Calibri" w:hAnsi="Calibri" w:cs="Arial"/>
          <w:sz w:val="26"/>
          <w:szCs w:val="26"/>
        </w:rPr>
      </w:pPr>
      <w:r w:rsidRPr="00C30F6B">
        <w:rPr>
          <w:rFonts w:asciiTheme="minorHAnsi" w:hAnsiTheme="minorHAnsi"/>
          <w:b/>
          <w:i/>
          <w:sz w:val="26"/>
          <w:szCs w:val="26"/>
        </w:rPr>
        <w:tab/>
      </w:r>
      <w:r w:rsidRPr="00C30F6B">
        <w:rPr>
          <w:rFonts w:ascii="Calibri" w:hAnsi="Calibri" w:cs="Arial"/>
          <w:b/>
          <w:bCs/>
          <w:sz w:val="26"/>
          <w:szCs w:val="26"/>
        </w:rPr>
        <w:t xml:space="preserve">Ekonomika </w:t>
      </w:r>
      <w:r w:rsidRPr="00C30F6B">
        <w:rPr>
          <w:rFonts w:ascii="Calibri" w:hAnsi="Calibri" w:cs="Arial"/>
          <w:sz w:val="26"/>
          <w:szCs w:val="26"/>
        </w:rPr>
        <w:t>České republiky</w:t>
      </w:r>
      <w:r w:rsidRPr="00C30F6B">
        <w:rPr>
          <w:rFonts w:ascii="Calibri" w:hAnsi="Calibri" w:cs="Arial"/>
          <w:b/>
          <w:bCs/>
          <w:sz w:val="26"/>
          <w:szCs w:val="26"/>
        </w:rPr>
        <w:t xml:space="preserve"> po více než šesti letech </w:t>
      </w:r>
      <w:r w:rsidRPr="00C30F6B">
        <w:rPr>
          <w:rFonts w:ascii="Calibri" w:hAnsi="Calibri" w:cs="Arial"/>
          <w:sz w:val="26"/>
          <w:szCs w:val="26"/>
        </w:rPr>
        <w:t xml:space="preserve">trvalého růstu </w:t>
      </w:r>
      <w:r w:rsidRPr="00C30F6B">
        <w:rPr>
          <w:rFonts w:ascii="Calibri" w:hAnsi="Calibri" w:cs="Arial"/>
          <w:b/>
          <w:bCs/>
          <w:sz w:val="26"/>
          <w:szCs w:val="26"/>
        </w:rPr>
        <w:t xml:space="preserve">zaznamenala </w:t>
      </w:r>
      <w:r w:rsidRPr="00C30F6B">
        <w:rPr>
          <w:rFonts w:ascii="Calibri" w:hAnsi="Calibri" w:cs="Arial"/>
          <w:sz w:val="26"/>
          <w:szCs w:val="26"/>
        </w:rPr>
        <w:t xml:space="preserve">v 1. čtvrtletí </w:t>
      </w:r>
      <w:r>
        <w:rPr>
          <w:rFonts w:ascii="Calibri" w:hAnsi="Calibri" w:cs="Arial"/>
          <w:sz w:val="26"/>
          <w:szCs w:val="26"/>
        </w:rPr>
        <w:t xml:space="preserve">2020 </w:t>
      </w:r>
      <w:r w:rsidRPr="00C30F6B">
        <w:rPr>
          <w:rFonts w:ascii="Calibri" w:hAnsi="Calibri" w:cs="Arial"/>
          <w:sz w:val="26"/>
          <w:szCs w:val="26"/>
        </w:rPr>
        <w:t xml:space="preserve">meziroční </w:t>
      </w:r>
      <w:r w:rsidRPr="00C30F6B">
        <w:rPr>
          <w:rFonts w:ascii="Calibri" w:hAnsi="Calibri" w:cs="Arial"/>
          <w:b/>
          <w:bCs/>
          <w:sz w:val="26"/>
          <w:szCs w:val="26"/>
        </w:rPr>
        <w:t>propad hrubého domácího produktu</w:t>
      </w:r>
      <w:r w:rsidRPr="00C30F6B">
        <w:rPr>
          <w:rFonts w:ascii="Calibri" w:hAnsi="Calibri" w:cs="Arial"/>
          <w:sz w:val="26"/>
          <w:szCs w:val="26"/>
        </w:rPr>
        <w:t xml:space="preserve"> ve stálých cenách. Příčinou bylo vypuknutí pandemie vlivem koronaviru SARS-CoV-2 a následná restriktivní opatření proti šíření koronavirové nákazy. </w:t>
      </w:r>
      <w:r w:rsidRPr="00C30F6B">
        <w:rPr>
          <w:rFonts w:ascii="Calibri" w:hAnsi="Calibri" w:cs="Arial"/>
          <w:b/>
          <w:bCs/>
          <w:sz w:val="26"/>
          <w:szCs w:val="26"/>
        </w:rPr>
        <w:t>Ve srovnání s průměrem Evropské unie</w:t>
      </w:r>
      <w:r w:rsidRPr="00C30F6B">
        <w:rPr>
          <w:rFonts w:ascii="Calibri" w:hAnsi="Calibri" w:cs="Arial"/>
          <w:sz w:val="26"/>
          <w:szCs w:val="26"/>
        </w:rPr>
        <w:t xml:space="preserve"> (-2,6 %) </w:t>
      </w:r>
      <w:r w:rsidRPr="00C30F6B">
        <w:rPr>
          <w:rFonts w:ascii="Calibri" w:hAnsi="Calibri" w:cs="Arial"/>
          <w:b/>
          <w:bCs/>
          <w:sz w:val="26"/>
          <w:szCs w:val="26"/>
        </w:rPr>
        <w:t>byl</w:t>
      </w:r>
      <w:r w:rsidRPr="00C30F6B">
        <w:rPr>
          <w:rFonts w:ascii="Calibri" w:hAnsi="Calibri" w:cs="Arial"/>
          <w:sz w:val="26"/>
          <w:szCs w:val="26"/>
        </w:rPr>
        <w:t xml:space="preserve"> meziroční ekonomický </w:t>
      </w:r>
      <w:r w:rsidRPr="00C30F6B">
        <w:rPr>
          <w:rFonts w:ascii="Calibri" w:hAnsi="Calibri" w:cs="Arial"/>
          <w:b/>
          <w:bCs/>
          <w:sz w:val="26"/>
          <w:szCs w:val="26"/>
        </w:rPr>
        <w:t>propad menší</w:t>
      </w:r>
      <w:r w:rsidRPr="00C30F6B">
        <w:rPr>
          <w:rFonts w:ascii="Calibri" w:hAnsi="Calibri" w:cs="Arial"/>
          <w:sz w:val="26"/>
          <w:szCs w:val="26"/>
        </w:rPr>
        <w:t>.</w:t>
      </w:r>
    </w:p>
    <w:p w:rsidR="002E5616" w:rsidRPr="00C30F6B" w:rsidRDefault="002E5616" w:rsidP="002E5616">
      <w:pPr>
        <w:spacing w:after="240" w:line="360" w:lineRule="auto"/>
        <w:jc w:val="both"/>
        <w:rPr>
          <w:rFonts w:ascii="Calibri" w:hAnsi="Calibri" w:cs="Arial"/>
          <w:sz w:val="26"/>
          <w:szCs w:val="26"/>
        </w:rPr>
      </w:pPr>
      <w:r w:rsidRPr="00C30F6B">
        <w:rPr>
          <w:rFonts w:ascii="Calibri" w:hAnsi="Calibri"/>
          <w:b/>
          <w:i/>
          <w:sz w:val="26"/>
          <w:szCs w:val="26"/>
        </w:rPr>
        <w:tab/>
      </w:r>
      <w:r w:rsidRPr="00C30F6B">
        <w:rPr>
          <w:rFonts w:ascii="Calibri" w:hAnsi="Calibri" w:cs="Arial"/>
          <w:b/>
          <w:bCs/>
          <w:sz w:val="26"/>
          <w:szCs w:val="26"/>
        </w:rPr>
        <w:t>Hrubý domácí produkt se meziročně snížil</w:t>
      </w:r>
      <w:r w:rsidRPr="00C30F6B">
        <w:rPr>
          <w:rFonts w:ascii="Calibri" w:hAnsi="Calibri" w:cs="Arial"/>
          <w:sz w:val="26"/>
          <w:szCs w:val="26"/>
        </w:rPr>
        <w:t xml:space="preserve"> ve stálých cenách </w:t>
      </w:r>
      <w:r w:rsidRPr="00C30F6B">
        <w:rPr>
          <w:rFonts w:ascii="Calibri" w:hAnsi="Calibri" w:cs="Arial"/>
          <w:b/>
          <w:bCs/>
          <w:sz w:val="26"/>
          <w:szCs w:val="26"/>
        </w:rPr>
        <w:t>o 2,0 % a ve srovnání se 4. čtvrtletím 2019 došlo k poklesu o 3,4 %.</w:t>
      </w:r>
      <w:r w:rsidRPr="00C30F6B">
        <w:rPr>
          <w:rFonts w:ascii="Calibri" w:hAnsi="Calibri" w:cs="Arial"/>
          <w:sz w:val="26"/>
          <w:szCs w:val="26"/>
        </w:rPr>
        <w:t xml:space="preserve"> Na hospodářském poklesu se největší měrou podílela</w:t>
      </w:r>
      <w:r w:rsidRPr="00C30F6B">
        <w:rPr>
          <w:rFonts w:ascii="Calibri" w:hAnsi="Calibri" w:cs="Arial"/>
          <w:b/>
          <w:bCs/>
          <w:sz w:val="26"/>
          <w:szCs w:val="26"/>
        </w:rPr>
        <w:t xml:space="preserve"> tvorba hrubého fixního kapitálu</w:t>
      </w:r>
      <w:r w:rsidRPr="00C30F6B">
        <w:rPr>
          <w:rFonts w:ascii="Calibri" w:hAnsi="Calibri" w:cs="Arial"/>
          <w:sz w:val="26"/>
          <w:szCs w:val="26"/>
        </w:rPr>
        <w:t xml:space="preserve"> (meziroční propad o 8,1 %) a </w:t>
      </w:r>
      <w:r w:rsidRPr="00C30F6B">
        <w:rPr>
          <w:rFonts w:ascii="Calibri" w:hAnsi="Calibri" w:cs="Arial"/>
          <w:b/>
          <w:bCs/>
          <w:sz w:val="26"/>
          <w:szCs w:val="26"/>
        </w:rPr>
        <w:t>bilance zahraničního obchodu</w:t>
      </w:r>
      <w:r w:rsidRPr="00C30F6B">
        <w:rPr>
          <w:rFonts w:ascii="Calibri" w:hAnsi="Calibri" w:cs="Arial"/>
          <w:sz w:val="26"/>
          <w:szCs w:val="26"/>
        </w:rPr>
        <w:t>. Ještě většímu propadu ekonomik</w:t>
      </w:r>
      <w:r>
        <w:rPr>
          <w:rFonts w:ascii="Calibri" w:hAnsi="Calibri" w:cs="Arial"/>
          <w:sz w:val="26"/>
          <w:szCs w:val="26"/>
        </w:rPr>
        <w:t>y</w:t>
      </w:r>
      <w:r w:rsidRPr="00C30F6B">
        <w:rPr>
          <w:rFonts w:ascii="Calibri" w:hAnsi="Calibri" w:cs="Arial"/>
          <w:sz w:val="26"/>
          <w:szCs w:val="26"/>
        </w:rPr>
        <w:t xml:space="preserve"> zabránil </w:t>
      </w:r>
      <w:r w:rsidRPr="00C30F6B">
        <w:rPr>
          <w:rFonts w:ascii="Calibri" w:hAnsi="Calibri" w:cs="Arial"/>
          <w:b/>
          <w:bCs/>
          <w:sz w:val="26"/>
          <w:szCs w:val="26"/>
        </w:rPr>
        <w:t>kladný</w:t>
      </w:r>
      <w:r>
        <w:rPr>
          <w:rFonts w:ascii="Calibri" w:hAnsi="Calibri" w:cs="Arial"/>
          <w:b/>
          <w:bCs/>
          <w:sz w:val="26"/>
          <w:szCs w:val="26"/>
        </w:rPr>
        <w:t> </w:t>
      </w:r>
      <w:r w:rsidRPr="00C30F6B">
        <w:rPr>
          <w:rFonts w:ascii="Calibri" w:hAnsi="Calibri" w:cs="Arial"/>
          <w:b/>
          <w:bCs/>
          <w:sz w:val="26"/>
          <w:szCs w:val="26"/>
        </w:rPr>
        <w:t>příspěvek konečné spotřeby</w:t>
      </w:r>
      <w:r w:rsidRPr="00C30F6B">
        <w:rPr>
          <w:rFonts w:ascii="Calibri" w:hAnsi="Calibri" w:cs="Arial"/>
          <w:sz w:val="26"/>
          <w:szCs w:val="26"/>
        </w:rPr>
        <w:t xml:space="preserve"> (zejména výdajů na konečnou spotřebu vlády). Na</w:t>
      </w:r>
      <w:r>
        <w:rPr>
          <w:rFonts w:ascii="Calibri" w:hAnsi="Calibri" w:cs="Arial"/>
          <w:sz w:val="26"/>
          <w:szCs w:val="26"/>
        </w:rPr>
        <w:t> </w:t>
      </w:r>
      <w:r w:rsidRPr="00C30F6B">
        <w:rPr>
          <w:rFonts w:ascii="Calibri" w:hAnsi="Calibri" w:cs="Arial"/>
          <w:sz w:val="26"/>
          <w:szCs w:val="26"/>
        </w:rPr>
        <w:t>nabídkové straně měly největší vliv na pokles hrubé přidané hodnoty odvětví služeb a zpracovatelský průmysl.</w:t>
      </w:r>
    </w:p>
    <w:p w:rsidR="002E5616" w:rsidRPr="00C30F6B" w:rsidRDefault="002E5616" w:rsidP="002E5616">
      <w:pPr>
        <w:spacing w:after="12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C30F6B">
        <w:rPr>
          <w:rFonts w:asciiTheme="minorHAnsi" w:hAnsiTheme="minorHAnsi"/>
          <w:b/>
          <w:i/>
          <w:sz w:val="26"/>
          <w:szCs w:val="26"/>
        </w:rPr>
        <w:tab/>
      </w:r>
      <w:r w:rsidRPr="00C30F6B">
        <w:rPr>
          <w:rFonts w:asciiTheme="minorHAnsi" w:hAnsiTheme="minorHAnsi" w:cs="Arial"/>
          <w:sz w:val="26"/>
          <w:szCs w:val="26"/>
        </w:rPr>
        <w:t>Z podrobnějšího rozboru příjmů a výdajů domácností vyplynuly tyto základní poznatky:</w:t>
      </w:r>
    </w:p>
    <w:p w:rsidR="002E5616" w:rsidRPr="00C30F6B" w:rsidRDefault="002E5616" w:rsidP="002E5616">
      <w:pPr>
        <w:pStyle w:val="Odstavecseseznamem"/>
        <w:numPr>
          <w:ilvl w:val="0"/>
          <w:numId w:val="37"/>
        </w:numPr>
        <w:spacing w:after="120" w:line="360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C30F6B">
        <w:rPr>
          <w:rFonts w:asciiTheme="minorHAnsi" w:hAnsiTheme="minorHAnsi" w:cs="Arial"/>
          <w:sz w:val="26"/>
          <w:szCs w:val="26"/>
        </w:rPr>
        <w:t xml:space="preserve">hrubý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disponibilní důchod</w:t>
      </w:r>
      <w:r w:rsidRPr="00C30F6B">
        <w:rPr>
          <w:rFonts w:asciiTheme="minorHAnsi" w:hAnsiTheme="minorHAnsi" w:cs="Arial"/>
          <w:sz w:val="26"/>
          <w:szCs w:val="26"/>
        </w:rPr>
        <w:t xml:space="preserve"> sektoru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domácností </w:t>
      </w:r>
      <w:r w:rsidRPr="00C30F6B">
        <w:rPr>
          <w:rFonts w:asciiTheme="minorHAnsi" w:hAnsiTheme="minorHAnsi" w:cs="Arial"/>
          <w:sz w:val="26"/>
          <w:szCs w:val="26"/>
        </w:rPr>
        <w:t>(na makroúrovni statistiky národních účtů)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vzrostl </w:t>
      </w:r>
      <w:r w:rsidRPr="00C30F6B">
        <w:rPr>
          <w:rFonts w:asciiTheme="minorHAnsi" w:hAnsiTheme="minorHAnsi" w:cs="Arial"/>
          <w:sz w:val="26"/>
          <w:szCs w:val="26"/>
        </w:rPr>
        <w:t xml:space="preserve">nominálně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o 6,6 % na 753,8 mld. Kč, </w:t>
      </w:r>
      <w:r w:rsidRPr="00C30F6B">
        <w:rPr>
          <w:rFonts w:asciiTheme="minorHAnsi" w:hAnsiTheme="minorHAnsi" w:cs="Arial"/>
          <w:sz w:val="26"/>
          <w:szCs w:val="26"/>
        </w:rPr>
        <w:t xml:space="preserve">což při zohlednění cenové inflace znamenalo jeho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reálné navýšení o 2,9 %, hlavní příčinou byl </w:t>
      </w:r>
      <w:r w:rsidRPr="00C30F6B">
        <w:rPr>
          <w:rFonts w:asciiTheme="minorHAnsi" w:hAnsiTheme="minorHAnsi" w:cs="Arial"/>
          <w:sz w:val="26"/>
          <w:szCs w:val="26"/>
        </w:rPr>
        <w:t>na straně příjmů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sz w:val="26"/>
          <w:szCs w:val="26"/>
        </w:rPr>
        <w:t xml:space="preserve">meziroční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nárůst</w:t>
      </w:r>
      <w:r w:rsidRPr="00C30F6B">
        <w:rPr>
          <w:rFonts w:asciiTheme="minorHAnsi" w:hAnsiTheme="minorHAnsi" w:cs="Arial"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náhrad zaměstnancům </w:t>
      </w:r>
      <w:r w:rsidRPr="00C30F6B">
        <w:rPr>
          <w:rFonts w:asciiTheme="minorHAnsi" w:hAnsiTheme="minorHAnsi" w:cs="Arial"/>
          <w:sz w:val="26"/>
          <w:szCs w:val="26"/>
        </w:rPr>
        <w:t>(mezd a platů) – viz část 1.2,</w:t>
      </w:r>
    </w:p>
    <w:p w:rsidR="002E5616" w:rsidRPr="00C30F6B" w:rsidRDefault="002E5616" w:rsidP="002E5616">
      <w:pPr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největším </w:t>
      </w:r>
      <w:r w:rsidRPr="00C30F6B">
        <w:rPr>
          <w:rFonts w:ascii="Calibri" w:eastAsia="Calibri" w:hAnsi="Calibri" w:cs="Calibri"/>
          <w:b/>
          <w:bCs/>
          <w:sz w:val="26"/>
          <w:szCs w:val="26"/>
        </w:rPr>
        <w:t xml:space="preserve">zdrojem peněžních příjmů </w:t>
      </w:r>
      <w:r w:rsidRPr="00C30F6B">
        <w:rPr>
          <w:rFonts w:ascii="Calibri" w:eastAsia="Calibri" w:hAnsi="Calibri" w:cs="Calibri"/>
          <w:bCs/>
          <w:sz w:val="26"/>
          <w:szCs w:val="26"/>
        </w:rPr>
        <w:t xml:space="preserve">domácností byly </w:t>
      </w:r>
      <w:r w:rsidRPr="00C30F6B">
        <w:rPr>
          <w:rFonts w:ascii="Calibri" w:eastAsia="Calibri" w:hAnsi="Calibri" w:cs="Calibri"/>
          <w:b/>
          <w:bCs/>
          <w:sz w:val="26"/>
          <w:szCs w:val="26"/>
        </w:rPr>
        <w:t>mzdy; průměrná nominální měsíční mzda v národním hospodářství</w:t>
      </w:r>
      <w:r w:rsidRPr="00C30F6B">
        <w:rPr>
          <w:rFonts w:ascii="Calibri" w:eastAsia="Calibri" w:hAnsi="Calibri" w:cs="Calibri"/>
          <w:bCs/>
          <w:sz w:val="26"/>
          <w:szCs w:val="26"/>
        </w:rPr>
        <w:t xml:space="preserve"> (na přepočtené počty zaměstnanců) dosáhla úrovně </w:t>
      </w:r>
      <w:r w:rsidRPr="00C30F6B">
        <w:rPr>
          <w:rFonts w:ascii="Calibri" w:eastAsia="Calibri" w:hAnsi="Calibri" w:cs="Calibri"/>
          <w:b/>
          <w:bCs/>
          <w:sz w:val="26"/>
          <w:szCs w:val="26"/>
        </w:rPr>
        <w:t>34 077 Kč.</w:t>
      </w:r>
      <w:r w:rsidRPr="00C30F6B">
        <w:rPr>
          <w:rFonts w:ascii="Calibri" w:eastAsia="Calibri" w:hAnsi="Calibri" w:cs="Calibri"/>
          <w:bCs/>
          <w:sz w:val="26"/>
          <w:szCs w:val="26"/>
        </w:rPr>
        <w:t xml:space="preserve"> Přestože </w:t>
      </w:r>
      <w:r w:rsidRPr="00C30F6B">
        <w:rPr>
          <w:rFonts w:ascii="Calibri" w:eastAsia="Calibri" w:hAnsi="Calibri" w:cs="Calibri"/>
          <w:b/>
          <w:bCs/>
          <w:sz w:val="26"/>
          <w:szCs w:val="26"/>
        </w:rPr>
        <w:t>dynamika růstu průměrné nominální mzdy v 1. čtvrtletí letošního roku</w:t>
      </w:r>
      <w:r w:rsidRPr="00C30F6B">
        <w:rPr>
          <w:rFonts w:ascii="Calibri" w:eastAsia="Calibri" w:hAnsi="Calibri" w:cs="Calibri"/>
          <w:b/>
          <w:sz w:val="26"/>
          <w:szCs w:val="26"/>
        </w:rPr>
        <w:t xml:space="preserve"> zpomalila</w:t>
      </w:r>
      <w:r w:rsidRPr="00C30F6B">
        <w:rPr>
          <w:rFonts w:ascii="Calibri" w:eastAsia="Calibri" w:hAnsi="Calibri" w:cs="Calibri"/>
          <w:bCs/>
          <w:sz w:val="26"/>
          <w:szCs w:val="26"/>
        </w:rPr>
        <w:t xml:space="preserve"> meziročně o 1,7 p. b. </w:t>
      </w:r>
      <w:r w:rsidRPr="00C30F6B">
        <w:rPr>
          <w:rFonts w:ascii="Calibri" w:eastAsia="Calibri" w:hAnsi="Calibri" w:cs="Calibri"/>
          <w:b/>
          <w:sz w:val="26"/>
          <w:szCs w:val="26"/>
        </w:rPr>
        <w:t xml:space="preserve">na 5,0 %, </w:t>
      </w:r>
      <w:r w:rsidRPr="00C30F6B">
        <w:rPr>
          <w:rFonts w:ascii="Calibri" w:eastAsia="Calibri" w:hAnsi="Calibri" w:cs="Calibri"/>
          <w:b/>
          <w:bCs/>
          <w:iCs/>
          <w:sz w:val="26"/>
          <w:szCs w:val="26"/>
        </w:rPr>
        <w:t>udržela se na</w:t>
      </w:r>
      <w:r w:rsidRPr="00C30F6B">
        <w:rPr>
          <w:rFonts w:ascii="Calibri" w:eastAsia="Calibri" w:hAnsi="Calibri" w:cs="Calibri"/>
          <w:bCs/>
          <w:iCs/>
          <w:sz w:val="26"/>
          <w:szCs w:val="26"/>
        </w:rPr>
        <w:t xml:space="preserve"> relativně </w:t>
      </w:r>
      <w:r w:rsidRPr="00C30F6B">
        <w:rPr>
          <w:rFonts w:ascii="Calibri" w:eastAsia="Calibri" w:hAnsi="Calibri" w:cs="Calibri"/>
          <w:b/>
          <w:bCs/>
          <w:iCs/>
          <w:sz w:val="26"/>
          <w:szCs w:val="26"/>
        </w:rPr>
        <w:t>vysoké úrovni</w:t>
      </w:r>
      <w:r w:rsidRPr="00C30F6B">
        <w:rPr>
          <w:rFonts w:ascii="Calibri" w:eastAsia="Calibri" w:hAnsi="Calibri" w:cs="Calibri"/>
          <w:b/>
          <w:bCs/>
          <w:sz w:val="26"/>
          <w:szCs w:val="26"/>
        </w:rPr>
        <w:t>.</w:t>
      </w:r>
      <w:r w:rsidRPr="00C30F6B">
        <w:rPr>
          <w:rFonts w:ascii="Calibri" w:eastAsia="Calibri" w:hAnsi="Calibri" w:cs="Calibri"/>
          <w:bCs/>
          <w:sz w:val="26"/>
          <w:szCs w:val="26"/>
        </w:rPr>
        <w:t xml:space="preserve"> Po zohlednění nárůstu cenové inflace však </w:t>
      </w:r>
      <w:r w:rsidRPr="00C30F6B">
        <w:rPr>
          <w:rFonts w:ascii="Calibri" w:eastAsia="Calibri" w:hAnsi="Calibri" w:cs="Calibri"/>
          <w:b/>
          <w:bCs/>
          <w:sz w:val="26"/>
          <w:szCs w:val="26"/>
        </w:rPr>
        <w:t>došlo k posílení její reálné úrovně</w:t>
      </w:r>
      <w:r w:rsidRPr="00C30F6B">
        <w:rPr>
          <w:rFonts w:ascii="Calibri" w:eastAsia="Calibri" w:hAnsi="Calibri" w:cs="Calibri"/>
          <w:sz w:val="26"/>
          <w:szCs w:val="26"/>
        </w:rPr>
        <w:t xml:space="preserve"> pouze </w:t>
      </w:r>
      <w:r w:rsidRPr="00C30F6B">
        <w:rPr>
          <w:rFonts w:ascii="Calibri" w:eastAsia="Calibri" w:hAnsi="Calibri" w:cs="Calibri"/>
          <w:b/>
          <w:bCs/>
          <w:sz w:val="26"/>
          <w:szCs w:val="26"/>
        </w:rPr>
        <w:t>o 1,4 %</w:t>
      </w:r>
      <w:r w:rsidRPr="00C30F6B">
        <w:rPr>
          <w:rFonts w:ascii="Calibri" w:eastAsia="Calibri" w:hAnsi="Calibri" w:cs="Calibri"/>
          <w:sz w:val="26"/>
          <w:szCs w:val="26"/>
        </w:rPr>
        <w:t xml:space="preserve"> a j</w:t>
      </w:r>
      <w:r w:rsidRPr="00C30F6B">
        <w:rPr>
          <w:rFonts w:ascii="Calibri" w:eastAsia="Calibri" w:hAnsi="Calibri" w:cs="Calibri"/>
          <w:iCs/>
          <w:sz w:val="26"/>
          <w:szCs w:val="26"/>
        </w:rPr>
        <w:t>ednalo se tak o </w:t>
      </w:r>
      <w:r w:rsidRPr="00C30F6B">
        <w:rPr>
          <w:rFonts w:ascii="Calibri" w:eastAsia="Calibri" w:hAnsi="Calibri" w:cs="Calibri"/>
          <w:b/>
          <w:bCs/>
          <w:iCs/>
          <w:sz w:val="26"/>
          <w:szCs w:val="26"/>
        </w:rPr>
        <w:t xml:space="preserve">nejnižší nárůst reálné úrovně průměrné mzdy od roku 2013 </w:t>
      </w:r>
      <w:r w:rsidRPr="00C30F6B">
        <w:rPr>
          <w:rFonts w:ascii="Calibri" w:eastAsia="Calibri" w:hAnsi="Calibri" w:cs="Calibri"/>
          <w:iCs/>
          <w:sz w:val="26"/>
          <w:szCs w:val="26"/>
        </w:rPr>
        <w:t>– více v části 1.2,</w:t>
      </w:r>
    </w:p>
    <w:p w:rsidR="002E5616" w:rsidRPr="00C30F6B" w:rsidRDefault="002E5616" w:rsidP="002E5616">
      <w:pPr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C30F6B">
        <w:rPr>
          <w:rFonts w:asciiTheme="minorHAnsi" w:hAnsiTheme="minorHAnsi"/>
          <w:b/>
          <w:bCs/>
          <w:sz w:val="26"/>
          <w:szCs w:val="26"/>
        </w:rPr>
        <w:lastRenderedPageBreak/>
        <w:t xml:space="preserve">příjmy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domácnostní sociálního charakteru</w:t>
      </w:r>
      <w:r w:rsidRPr="00C30F6B">
        <w:rPr>
          <w:rFonts w:asciiTheme="minorHAnsi" w:hAnsiTheme="minorHAnsi" w:cstheme="minorHAnsi"/>
          <w:sz w:val="26"/>
          <w:szCs w:val="26"/>
        </w:rPr>
        <w:t xml:space="preserve"> – druhé nejvýznamnější složky úhrnných příjmů domácností –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byly</w:t>
      </w:r>
      <w:r w:rsidRPr="00C30F6B">
        <w:rPr>
          <w:rFonts w:asciiTheme="minorHAnsi" w:hAnsiTheme="minorHAnsi" w:cstheme="minorHAnsi"/>
          <w:sz w:val="26"/>
          <w:szCs w:val="26"/>
        </w:rPr>
        <w:t xml:space="preserve"> o 12,4 mld. Kč (8,7 %)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vyšší než v 1. čtvrtletí 2019</w:t>
      </w:r>
      <w:r w:rsidRPr="00C30F6B">
        <w:rPr>
          <w:rFonts w:asciiTheme="minorHAnsi" w:hAnsiTheme="minorHAnsi" w:cstheme="minorHAnsi"/>
          <w:sz w:val="26"/>
          <w:szCs w:val="26"/>
        </w:rPr>
        <w:t xml:space="preserve">; nižší byl objem příjmů občanů z </w:t>
      </w:r>
      <w:r w:rsidRPr="00B519C8">
        <w:rPr>
          <w:rFonts w:asciiTheme="minorHAnsi" w:hAnsiTheme="minorHAnsi" w:cstheme="minorHAnsi"/>
          <w:sz w:val="26"/>
          <w:szCs w:val="26"/>
        </w:rPr>
        <w:t xml:space="preserve">dávek pomoci v hmotné </w:t>
      </w:r>
      <w:r w:rsidRPr="00C30F6B">
        <w:rPr>
          <w:rFonts w:asciiTheme="minorHAnsi" w:hAnsiTheme="minorHAnsi" w:cstheme="minorHAnsi"/>
          <w:sz w:val="26"/>
          <w:szCs w:val="26"/>
        </w:rPr>
        <w:t>nouzi a z dávek pro osoby se zdravotním postižením; příjmy občanů z ostatních druhů sociálních dávek se zvýšily – podrobněji viz část 1.3,</w:t>
      </w:r>
    </w:p>
    <w:p w:rsidR="002E5616" w:rsidRPr="00C30F6B" w:rsidRDefault="002E5616" w:rsidP="002E5616">
      <w:pPr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C30F6B">
        <w:rPr>
          <w:rFonts w:asciiTheme="minorHAnsi" w:hAnsiTheme="minorHAnsi"/>
          <w:bCs/>
          <w:sz w:val="26"/>
          <w:szCs w:val="26"/>
        </w:rPr>
        <w:t>průměrná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výše</w:t>
      </w:r>
      <w:r w:rsidRPr="00C30F6B">
        <w:rPr>
          <w:rFonts w:asciiTheme="minorHAnsi" w:hAnsiTheme="minorHAnsi" w:cstheme="minorHAnsi"/>
          <w:sz w:val="26"/>
          <w:szCs w:val="26"/>
        </w:rPr>
        <w:t xml:space="preserve"> (samostatně vypláceného) starobního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důchodu vzrostla</w:t>
      </w:r>
      <w:r w:rsidRPr="00C30F6B">
        <w:rPr>
          <w:rFonts w:asciiTheme="minorHAnsi" w:hAnsiTheme="minorHAnsi" w:cstheme="minorHAnsi"/>
          <w:sz w:val="26"/>
          <w:szCs w:val="26"/>
        </w:rPr>
        <w:t xml:space="preserve"> meziročně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 7,6 %</w:t>
      </w:r>
      <w:r w:rsidRPr="00C30F6B">
        <w:rPr>
          <w:rFonts w:asciiTheme="minorHAnsi" w:hAnsiTheme="minorHAnsi" w:cstheme="minorHAnsi"/>
          <w:sz w:val="26"/>
          <w:szCs w:val="26"/>
        </w:rPr>
        <w:t xml:space="preserve"> na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14 408 Kč</w:t>
      </w:r>
      <w:r w:rsidRPr="00C30F6B">
        <w:rPr>
          <w:rFonts w:asciiTheme="minorHAnsi" w:hAnsiTheme="minorHAnsi" w:cstheme="minorHAnsi"/>
          <w:sz w:val="26"/>
          <w:szCs w:val="26"/>
        </w:rPr>
        <w:t>, v reálném vyjádření se zvýšila o 3,7 % (při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C30F6B">
        <w:rPr>
          <w:rFonts w:asciiTheme="minorHAnsi" w:hAnsiTheme="minorHAnsi" w:cstheme="minorHAnsi"/>
          <w:sz w:val="26"/>
          <w:szCs w:val="26"/>
        </w:rPr>
        <w:t>použití indexu životních nákladů domácností důchodců),</w:t>
      </w:r>
    </w:p>
    <w:p w:rsidR="002E5616" w:rsidRPr="00C30F6B" w:rsidRDefault="002E5616" w:rsidP="002E5616">
      <w:pPr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C30F6B">
        <w:rPr>
          <w:rFonts w:asciiTheme="minorHAnsi" w:hAnsiTheme="minorHAnsi"/>
          <w:sz w:val="26"/>
          <w:szCs w:val="26"/>
        </w:rPr>
        <w:t>úhrnná meziroční</w:t>
      </w:r>
      <w:r w:rsidRPr="00C30F6B">
        <w:rPr>
          <w:rFonts w:asciiTheme="minorHAnsi" w:hAnsiTheme="minorHAnsi"/>
          <w:b/>
          <w:sz w:val="26"/>
          <w:szCs w:val="26"/>
        </w:rPr>
        <w:t xml:space="preserve"> míra cenové inflace činila </w:t>
      </w:r>
      <w:r w:rsidRPr="00C30F6B">
        <w:rPr>
          <w:rFonts w:asciiTheme="minorHAnsi" w:hAnsiTheme="minorHAnsi"/>
          <w:sz w:val="26"/>
          <w:szCs w:val="26"/>
        </w:rPr>
        <w:t>v lednu – březnu tohoto roku</w:t>
      </w:r>
      <w:r w:rsidRPr="00C30F6B">
        <w:rPr>
          <w:rFonts w:asciiTheme="minorHAnsi" w:hAnsiTheme="minorHAnsi"/>
          <w:b/>
          <w:sz w:val="26"/>
          <w:szCs w:val="26"/>
        </w:rPr>
        <w:t xml:space="preserve"> 3,6</w:t>
      </w:r>
      <w:r w:rsidRPr="00C30F6B">
        <w:rPr>
          <w:rFonts w:asciiTheme="minorHAnsi" w:hAnsiTheme="minorHAnsi"/>
          <w:sz w:val="26"/>
          <w:szCs w:val="26"/>
        </w:rPr>
        <w:t> </w:t>
      </w:r>
      <w:r w:rsidRPr="00C30F6B">
        <w:rPr>
          <w:rFonts w:asciiTheme="minorHAnsi" w:hAnsiTheme="minorHAnsi"/>
          <w:b/>
          <w:sz w:val="26"/>
          <w:szCs w:val="26"/>
        </w:rPr>
        <w:t xml:space="preserve">% </w:t>
      </w:r>
      <w:r w:rsidRPr="00C30F6B">
        <w:rPr>
          <w:rFonts w:asciiTheme="minorHAnsi" w:hAnsiTheme="minorHAnsi"/>
          <w:sz w:val="26"/>
          <w:szCs w:val="26"/>
        </w:rPr>
        <w:t>(před rokem 2,7 %);</w:t>
      </w:r>
      <w:r w:rsidRPr="00C30F6B">
        <w:rPr>
          <w:rFonts w:asciiTheme="minorHAnsi" w:hAnsiTheme="minorHAnsi"/>
          <w:b/>
          <w:sz w:val="26"/>
          <w:szCs w:val="26"/>
        </w:rPr>
        <w:t xml:space="preserve"> hlavní příčinou</w:t>
      </w:r>
      <w:r w:rsidRPr="00C30F6B">
        <w:rPr>
          <w:rFonts w:asciiTheme="minorHAnsi" w:hAnsiTheme="minorHAnsi"/>
          <w:sz w:val="26"/>
          <w:szCs w:val="26"/>
        </w:rPr>
        <w:t xml:space="preserve"> cenového růstu </w:t>
      </w:r>
      <w:r w:rsidRPr="00C30F6B">
        <w:rPr>
          <w:rFonts w:asciiTheme="minorHAnsi" w:hAnsiTheme="minorHAnsi"/>
          <w:b/>
          <w:sz w:val="26"/>
          <w:szCs w:val="26"/>
        </w:rPr>
        <w:t>bylo</w:t>
      </w:r>
      <w:r w:rsidRPr="00C30F6B">
        <w:rPr>
          <w:rFonts w:asciiTheme="minorHAnsi" w:hAnsiTheme="minorHAnsi"/>
          <w:sz w:val="26"/>
          <w:szCs w:val="26"/>
        </w:rPr>
        <w:t xml:space="preserve"> </w:t>
      </w:r>
      <w:r w:rsidRPr="00C30F6B">
        <w:rPr>
          <w:rFonts w:asciiTheme="minorHAnsi" w:hAnsiTheme="minorHAnsi"/>
          <w:b/>
          <w:sz w:val="26"/>
          <w:szCs w:val="26"/>
        </w:rPr>
        <w:t xml:space="preserve">zrychlení růstu cen v oddíle potraviny a nealkoholické nápoje. </w:t>
      </w:r>
      <w:r w:rsidRPr="00C30F6B">
        <w:rPr>
          <w:rFonts w:asciiTheme="minorHAnsi" w:hAnsiTheme="minorHAnsi"/>
          <w:sz w:val="26"/>
          <w:szCs w:val="26"/>
        </w:rPr>
        <w:t xml:space="preserve">Tempo růstu cen vzrostlo v oddíle </w:t>
      </w:r>
      <w:r w:rsidRPr="00C30F6B">
        <w:rPr>
          <w:rFonts w:asciiTheme="minorHAnsi" w:hAnsiTheme="minorHAnsi"/>
          <w:b/>
          <w:sz w:val="26"/>
          <w:szCs w:val="26"/>
        </w:rPr>
        <w:t xml:space="preserve">doprava </w:t>
      </w:r>
      <w:r w:rsidRPr="00C30F6B">
        <w:rPr>
          <w:rFonts w:asciiTheme="minorHAnsi" w:hAnsiTheme="minorHAnsi"/>
          <w:bCs/>
          <w:sz w:val="26"/>
          <w:szCs w:val="26"/>
        </w:rPr>
        <w:t xml:space="preserve">a přechod z cenového poklesu v růst byl zaznamenán u oddílu </w:t>
      </w:r>
      <w:r w:rsidRPr="00C30F6B">
        <w:rPr>
          <w:rFonts w:asciiTheme="minorHAnsi" w:hAnsiTheme="minorHAnsi"/>
          <w:b/>
          <w:sz w:val="26"/>
          <w:szCs w:val="26"/>
        </w:rPr>
        <w:t>odívání a obuv</w:t>
      </w:r>
      <w:r w:rsidRPr="00C30F6B">
        <w:rPr>
          <w:rFonts w:asciiTheme="minorHAnsi" w:hAnsiTheme="minorHAnsi"/>
          <w:b/>
          <w:bCs/>
          <w:sz w:val="26"/>
          <w:szCs w:val="26"/>
        </w:rPr>
        <w:t>.</w:t>
      </w:r>
      <w:r w:rsidRPr="00C30F6B">
        <w:rPr>
          <w:rFonts w:asciiTheme="minorHAnsi" w:hAnsiTheme="minorHAnsi"/>
          <w:sz w:val="26"/>
          <w:szCs w:val="26"/>
        </w:rPr>
        <w:t xml:space="preserve"> Nadále výrazně </w:t>
      </w:r>
      <w:r w:rsidRPr="00C30F6B">
        <w:rPr>
          <w:rFonts w:asciiTheme="minorHAnsi" w:hAnsiTheme="minorHAnsi"/>
          <w:bCs/>
          <w:sz w:val="26"/>
          <w:szCs w:val="26"/>
        </w:rPr>
        <w:t>rostly ceny</w:t>
      </w:r>
      <w:r w:rsidRPr="00C30F6B">
        <w:rPr>
          <w:rFonts w:asciiTheme="minorHAnsi" w:hAnsiTheme="minorHAnsi"/>
          <w:sz w:val="26"/>
          <w:szCs w:val="26"/>
        </w:rPr>
        <w:t xml:space="preserve"> v oddílech </w:t>
      </w:r>
      <w:r w:rsidRPr="00C30F6B">
        <w:rPr>
          <w:rFonts w:asciiTheme="minorHAnsi" w:hAnsiTheme="minorHAnsi"/>
          <w:b/>
          <w:sz w:val="26"/>
          <w:szCs w:val="26"/>
        </w:rPr>
        <w:t>alkoholické nápoje, tabák,</w:t>
      </w:r>
      <w:r w:rsidRPr="00C30F6B">
        <w:rPr>
          <w:rFonts w:asciiTheme="minorHAnsi" w:hAnsiTheme="minorHAnsi"/>
          <w:sz w:val="26"/>
          <w:szCs w:val="26"/>
        </w:rPr>
        <w:t xml:space="preserve"> </w:t>
      </w:r>
      <w:r w:rsidRPr="00C30F6B">
        <w:rPr>
          <w:rFonts w:asciiTheme="minorHAnsi" w:hAnsiTheme="minorHAnsi"/>
          <w:b/>
          <w:sz w:val="26"/>
          <w:szCs w:val="26"/>
        </w:rPr>
        <w:t>bytové vybavení, zařízení domácnosti, vzdělávání, stravování a ubytování a ostatní zboží a služby</w:t>
      </w:r>
      <w:r w:rsidRPr="00C30F6B">
        <w:rPr>
          <w:rFonts w:asciiTheme="minorHAnsi" w:hAnsiTheme="minorHAnsi"/>
          <w:sz w:val="26"/>
          <w:szCs w:val="26"/>
        </w:rPr>
        <w:t xml:space="preserve"> – blíže viz část 2.,</w:t>
      </w:r>
    </w:p>
    <w:p w:rsidR="002E5616" w:rsidRPr="00C30F6B" w:rsidRDefault="002E5616" w:rsidP="002E5616">
      <w:pPr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C30F6B">
        <w:rPr>
          <w:rFonts w:asciiTheme="minorHAnsi" w:hAnsiTheme="minorHAnsi"/>
          <w:b/>
          <w:bCs/>
          <w:sz w:val="26"/>
          <w:szCs w:val="26"/>
        </w:rPr>
        <w:t xml:space="preserve">stav </w:t>
      </w:r>
      <w:r w:rsidRPr="00C30F6B">
        <w:rPr>
          <w:rFonts w:asciiTheme="minorHAnsi" w:hAnsiTheme="minorHAnsi"/>
          <w:bCs/>
          <w:sz w:val="26"/>
          <w:szCs w:val="26"/>
        </w:rPr>
        <w:t>bankovních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 půjček se oproti minulému roku zvýšil </w:t>
      </w:r>
      <w:r w:rsidRPr="00C30F6B">
        <w:rPr>
          <w:rFonts w:asciiTheme="minorHAnsi" w:hAnsiTheme="minorHAnsi"/>
          <w:bCs/>
          <w:sz w:val="26"/>
          <w:szCs w:val="26"/>
        </w:rPr>
        <w:t>(o 6,4 %) a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C30F6B">
        <w:rPr>
          <w:rFonts w:asciiTheme="minorHAnsi" w:hAnsiTheme="minorHAnsi"/>
          <w:bCs/>
          <w:sz w:val="26"/>
          <w:szCs w:val="26"/>
        </w:rPr>
        <w:t>k 31. březnu 2020 činil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 1 768,2 mld. Kč;</w:t>
      </w:r>
      <w:r w:rsidRPr="00C30F6B">
        <w:rPr>
          <w:rFonts w:asciiTheme="minorHAnsi" w:hAnsiTheme="minorHAnsi"/>
          <w:sz w:val="26"/>
          <w:szCs w:val="26"/>
        </w:rPr>
        <w:t xml:space="preserve"> rozhodující díl přírůstku nadále tvořily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 úvěry na bydlení, </w:t>
      </w:r>
      <w:r w:rsidRPr="00C30F6B">
        <w:rPr>
          <w:rFonts w:asciiTheme="minorHAnsi" w:hAnsiTheme="minorHAnsi"/>
          <w:sz w:val="26"/>
          <w:szCs w:val="26"/>
        </w:rPr>
        <w:t>které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C30F6B">
        <w:rPr>
          <w:rFonts w:asciiTheme="minorHAnsi" w:hAnsiTheme="minorHAnsi"/>
          <w:bCs/>
          <w:sz w:val="26"/>
          <w:szCs w:val="26"/>
        </w:rPr>
        <w:t>meziročně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 vzrostly o 7,1 % </w:t>
      </w:r>
      <w:r w:rsidRPr="00C30F6B">
        <w:rPr>
          <w:rFonts w:asciiTheme="minorHAnsi" w:hAnsiTheme="minorHAnsi"/>
          <w:bCs/>
          <w:sz w:val="26"/>
          <w:szCs w:val="26"/>
        </w:rPr>
        <w:t>– viz část 3.,</w:t>
      </w:r>
    </w:p>
    <w:p w:rsidR="002E5616" w:rsidRPr="00C30F6B" w:rsidRDefault="002E5616" w:rsidP="002E5616">
      <w:pPr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C30F6B">
        <w:rPr>
          <w:rFonts w:asciiTheme="minorHAnsi" w:hAnsiTheme="minorHAnsi"/>
          <w:bCs/>
          <w:sz w:val="26"/>
          <w:szCs w:val="26"/>
        </w:rPr>
        <w:t xml:space="preserve">celkový </w:t>
      </w:r>
      <w:r w:rsidRPr="00C30F6B">
        <w:rPr>
          <w:rFonts w:asciiTheme="minorHAnsi" w:hAnsiTheme="minorHAnsi"/>
          <w:b/>
          <w:bCs/>
          <w:sz w:val="26"/>
          <w:szCs w:val="26"/>
        </w:rPr>
        <w:t>objem</w:t>
      </w:r>
      <w:r w:rsidRPr="00C30F6B">
        <w:rPr>
          <w:rFonts w:asciiTheme="minorHAnsi" w:hAnsiTheme="minorHAnsi"/>
          <w:sz w:val="26"/>
          <w:szCs w:val="26"/>
        </w:rPr>
        <w:t xml:space="preserve"> bankovních </w:t>
      </w:r>
      <w:r w:rsidRPr="00C30F6B">
        <w:rPr>
          <w:rFonts w:asciiTheme="minorHAnsi" w:hAnsiTheme="minorHAnsi"/>
          <w:b/>
          <w:sz w:val="26"/>
          <w:szCs w:val="26"/>
        </w:rPr>
        <w:t xml:space="preserve">úspor dosáhl </w:t>
      </w:r>
      <w:r w:rsidRPr="00C30F6B">
        <w:rPr>
          <w:rFonts w:asciiTheme="minorHAnsi" w:hAnsiTheme="minorHAnsi"/>
          <w:sz w:val="26"/>
          <w:szCs w:val="26"/>
        </w:rPr>
        <w:t xml:space="preserve">podle dostupných údajů ČNB na konci prvního čtvrtletí tohoto roku 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2 799,7 mld. Kč, </w:t>
      </w:r>
      <w:r w:rsidRPr="00C30F6B">
        <w:rPr>
          <w:rFonts w:asciiTheme="minorHAnsi" w:hAnsiTheme="minorHAnsi"/>
          <w:bCs/>
          <w:sz w:val="26"/>
          <w:szCs w:val="26"/>
        </w:rPr>
        <w:t>kdy došlo k meziročnímu nárůstu o 7,7 %;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C30F6B">
        <w:rPr>
          <w:rFonts w:asciiTheme="minorHAnsi" w:hAnsiTheme="minorHAnsi"/>
          <w:bCs/>
          <w:sz w:val="26"/>
          <w:szCs w:val="26"/>
        </w:rPr>
        <w:t>domácnosti posílily zejména netermínovaná depozita v podobě peněz na běžných nebo spořicích účtech.</w:t>
      </w:r>
    </w:p>
    <w:p w:rsidR="002E5616" w:rsidRPr="00C30F6B" w:rsidRDefault="002E5616" w:rsidP="002E5616">
      <w:pPr>
        <w:spacing w:after="200" w:line="276" w:lineRule="auto"/>
        <w:rPr>
          <w:rFonts w:asciiTheme="minorHAnsi" w:hAnsiTheme="minorHAnsi"/>
          <w:sz w:val="26"/>
          <w:szCs w:val="26"/>
        </w:rPr>
      </w:pPr>
      <w:r w:rsidRPr="00C30F6B">
        <w:rPr>
          <w:rFonts w:asciiTheme="minorHAnsi" w:hAnsiTheme="minorHAnsi"/>
          <w:sz w:val="26"/>
          <w:szCs w:val="26"/>
        </w:rPr>
        <w:br w:type="page"/>
      </w:r>
    </w:p>
    <w:p w:rsidR="002E5616" w:rsidRPr="00C30F6B" w:rsidRDefault="002E5616" w:rsidP="002E5616">
      <w:pPr>
        <w:spacing w:after="240" w:line="360" w:lineRule="auto"/>
        <w:ind w:firstLine="708"/>
        <w:jc w:val="both"/>
        <w:rPr>
          <w:rFonts w:asciiTheme="minorHAnsi" w:hAnsiTheme="minorHAnsi"/>
          <w:i/>
          <w:iCs/>
          <w:sz w:val="26"/>
          <w:szCs w:val="26"/>
        </w:rPr>
      </w:pPr>
      <w:r w:rsidRPr="00C30F6B">
        <w:rPr>
          <w:rFonts w:asciiTheme="minorHAnsi" w:hAnsiTheme="minorHAnsi"/>
          <w:i/>
          <w:iCs/>
          <w:sz w:val="26"/>
          <w:szCs w:val="26"/>
        </w:rPr>
        <w:lastRenderedPageBreak/>
        <w:t>V dalších částech Zprávy je uvedena základní charakteristika a hodnocení souvislostí, které v lednu – březnu 2020 obecně ovlivňovaly vývoj příjmů a výdajů domácností v České republice. Jejím hlavním cílem je vyjádřit především rozhodující tendence ve vývoji základních (dostupných) ukazatelů životní úrovně českých domácností.</w:t>
      </w:r>
    </w:p>
    <w:p w:rsidR="002E5616" w:rsidRPr="00C30F6B" w:rsidRDefault="002E5616" w:rsidP="002E5616">
      <w:pPr>
        <w:spacing w:after="200" w:line="360" w:lineRule="auto"/>
        <w:jc w:val="both"/>
        <w:rPr>
          <w:rFonts w:asciiTheme="minorHAnsi" w:hAnsiTheme="minorHAnsi"/>
          <w:i/>
          <w:iCs/>
          <w:sz w:val="26"/>
          <w:szCs w:val="26"/>
        </w:rPr>
      </w:pPr>
      <w:r w:rsidRPr="00C30F6B">
        <w:rPr>
          <w:rFonts w:asciiTheme="minorHAnsi" w:hAnsiTheme="minorHAnsi"/>
          <w:i/>
          <w:iCs/>
          <w:sz w:val="26"/>
          <w:szCs w:val="26"/>
        </w:rPr>
        <w:tab/>
      </w:r>
      <w:r w:rsidRPr="00C30F6B">
        <w:rPr>
          <w:rFonts w:asciiTheme="minorHAnsi" w:hAnsiTheme="minorHAnsi"/>
          <w:b/>
          <w:bCs/>
          <w:i/>
          <w:iCs/>
          <w:sz w:val="26"/>
          <w:szCs w:val="26"/>
        </w:rPr>
        <w:t>Analýza mzdového vývoje</w:t>
      </w:r>
      <w:r w:rsidRPr="00C30F6B">
        <w:rPr>
          <w:rFonts w:asciiTheme="minorHAnsi" w:hAnsiTheme="minorHAnsi"/>
          <w:i/>
          <w:iCs/>
          <w:sz w:val="26"/>
          <w:szCs w:val="26"/>
        </w:rPr>
        <w:t xml:space="preserve"> </w:t>
      </w:r>
      <w:r w:rsidRPr="00C30F6B">
        <w:rPr>
          <w:rFonts w:asciiTheme="minorHAnsi" w:hAnsiTheme="minorHAnsi"/>
          <w:b/>
          <w:bCs/>
          <w:i/>
          <w:iCs/>
          <w:sz w:val="26"/>
          <w:szCs w:val="26"/>
        </w:rPr>
        <w:t>byla</w:t>
      </w:r>
      <w:r w:rsidRPr="00C30F6B">
        <w:rPr>
          <w:rFonts w:asciiTheme="minorHAnsi" w:hAnsiTheme="minorHAnsi"/>
          <w:i/>
          <w:iCs/>
          <w:sz w:val="26"/>
          <w:szCs w:val="26"/>
        </w:rPr>
        <w:t xml:space="preserve"> </w:t>
      </w:r>
      <w:r w:rsidRPr="00C30F6B">
        <w:rPr>
          <w:rFonts w:asciiTheme="minorHAnsi" w:hAnsiTheme="minorHAnsi"/>
          <w:b/>
          <w:bCs/>
          <w:i/>
          <w:iCs/>
          <w:sz w:val="26"/>
          <w:szCs w:val="26"/>
        </w:rPr>
        <w:t xml:space="preserve">zpracována na základě údajů Českého statistického úřadu </w:t>
      </w:r>
      <w:r w:rsidRPr="00C30F6B">
        <w:rPr>
          <w:rFonts w:asciiTheme="minorHAnsi" w:hAnsiTheme="minorHAnsi"/>
          <w:bCs/>
          <w:i/>
          <w:iCs/>
          <w:sz w:val="26"/>
          <w:szCs w:val="26"/>
        </w:rPr>
        <w:t>(ČSÚ).</w:t>
      </w:r>
      <w:r w:rsidRPr="00C30F6B">
        <w:rPr>
          <w:rFonts w:asciiTheme="minorHAnsi" w:hAnsiTheme="minorHAnsi"/>
          <w:i/>
          <w:iCs/>
          <w:sz w:val="26"/>
          <w:szCs w:val="26"/>
        </w:rPr>
        <w:t xml:space="preserve"> Průměrná mzda byla vykazována na přepočtené počty zaměstnanců (zohledňující délku pracovního úvazku) v celém národním hospodářství (není-li v textu uvedeno jinak). Údaje o průměrné mzdě v členění na podnikatelskou a nepodnikatelskou sféru nejsou již od referenčního roku 2017 k dispozici vzhledem ke změně metodiky národního účetnictví (povinný přechod z metodiky ESA 1995 na ESA 2010), proto je ČSÚ přestal publikovat. Data za jednotlivé regiony byla získána tzv. pracovištní metodou – tj. podle místa skutečného pracoviště zaměstnanců.</w:t>
      </w:r>
    </w:p>
    <w:p w:rsidR="002E5616" w:rsidRPr="00C30F6B" w:rsidRDefault="002E5616" w:rsidP="002E5616">
      <w:pPr>
        <w:spacing w:after="200" w:line="360" w:lineRule="auto"/>
        <w:jc w:val="both"/>
        <w:rPr>
          <w:rFonts w:asciiTheme="minorHAnsi" w:hAnsiTheme="minorHAnsi" w:cs="Arial"/>
          <w:b/>
          <w:bCs/>
          <w:i/>
          <w:sz w:val="26"/>
          <w:szCs w:val="26"/>
        </w:rPr>
      </w:pPr>
      <w:r w:rsidRPr="00C30F6B">
        <w:rPr>
          <w:rFonts w:asciiTheme="minorHAnsi" w:hAnsiTheme="minorHAnsi" w:cs="Arial"/>
          <w:i/>
          <w:sz w:val="26"/>
          <w:szCs w:val="26"/>
        </w:rPr>
        <w:tab/>
      </w:r>
      <w:r w:rsidRPr="00C30F6B">
        <w:rPr>
          <w:rFonts w:asciiTheme="minorHAnsi" w:hAnsiTheme="minorHAnsi" w:cs="Arial"/>
          <w:b/>
          <w:bCs/>
          <w:i/>
          <w:sz w:val="26"/>
          <w:szCs w:val="26"/>
        </w:rPr>
        <w:t>Od ČSÚ byla převzata rovněž data o hrubém domácím produktu,</w:t>
      </w:r>
      <w:r w:rsidRPr="00C30F6B">
        <w:rPr>
          <w:rFonts w:asciiTheme="minorHAnsi" w:hAnsiTheme="minorHAnsi" w:cs="Arial"/>
          <w:bCs/>
          <w:i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/>
          <w:bCs/>
          <w:i/>
          <w:sz w:val="26"/>
          <w:szCs w:val="26"/>
        </w:rPr>
        <w:t>statistice</w:t>
      </w:r>
      <w:r w:rsidRPr="00C30F6B">
        <w:rPr>
          <w:rFonts w:asciiTheme="minorHAnsi" w:hAnsiTheme="minorHAnsi" w:cs="Arial"/>
          <w:bCs/>
          <w:i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/>
          <w:bCs/>
          <w:i/>
          <w:sz w:val="26"/>
          <w:szCs w:val="26"/>
        </w:rPr>
        <w:t xml:space="preserve">národních účtů, úhrnné produktivitě práce a indexu spotřebitelských cen </w:t>
      </w:r>
      <w:r w:rsidRPr="00C30F6B">
        <w:rPr>
          <w:rFonts w:asciiTheme="minorHAnsi" w:hAnsiTheme="minorHAnsi" w:cs="Arial"/>
          <w:bCs/>
          <w:i/>
          <w:sz w:val="26"/>
          <w:szCs w:val="26"/>
        </w:rPr>
        <w:t>(životních nákladů).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="Arial"/>
          <w:bCs/>
          <w:i/>
          <w:sz w:val="26"/>
          <w:szCs w:val="26"/>
        </w:rPr>
      </w:pPr>
      <w:r w:rsidRPr="00C30F6B">
        <w:rPr>
          <w:rFonts w:asciiTheme="minorHAnsi" w:hAnsiTheme="minorHAnsi" w:cs="Arial"/>
          <w:b/>
          <w:bCs/>
          <w:i/>
          <w:sz w:val="26"/>
          <w:szCs w:val="26"/>
        </w:rPr>
        <w:tab/>
        <w:t>Analýza bankovních vkladů a úvěrů</w:t>
      </w:r>
      <w:r w:rsidRPr="00C30F6B">
        <w:rPr>
          <w:rFonts w:asciiTheme="minorHAnsi" w:hAnsiTheme="minorHAnsi" w:cs="Arial"/>
          <w:i/>
          <w:sz w:val="26"/>
          <w:szCs w:val="26"/>
        </w:rPr>
        <w:t xml:space="preserve"> domácností </w:t>
      </w:r>
      <w:r w:rsidRPr="00C30F6B">
        <w:rPr>
          <w:rFonts w:asciiTheme="minorHAnsi" w:hAnsiTheme="minorHAnsi" w:cs="Arial"/>
          <w:b/>
          <w:bCs/>
          <w:i/>
          <w:sz w:val="26"/>
          <w:szCs w:val="26"/>
        </w:rPr>
        <w:t xml:space="preserve">byla založena na rozboru údajů České národní banky </w:t>
      </w:r>
      <w:r w:rsidRPr="00C30F6B">
        <w:rPr>
          <w:rFonts w:asciiTheme="minorHAnsi" w:hAnsiTheme="minorHAnsi" w:cs="Arial"/>
          <w:bCs/>
          <w:i/>
          <w:sz w:val="26"/>
          <w:szCs w:val="26"/>
        </w:rPr>
        <w:t>(ČNB).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/>
          <w:i/>
          <w:iCs/>
          <w:sz w:val="26"/>
          <w:szCs w:val="26"/>
        </w:rPr>
      </w:pPr>
      <w:r w:rsidRPr="00C30F6B">
        <w:rPr>
          <w:rFonts w:asciiTheme="minorHAnsi" w:hAnsiTheme="minorHAnsi" w:cs="Arial"/>
          <w:bCs/>
          <w:i/>
          <w:sz w:val="26"/>
          <w:szCs w:val="26"/>
        </w:rPr>
        <w:tab/>
      </w:r>
      <w:r w:rsidRPr="00C30F6B">
        <w:rPr>
          <w:rFonts w:asciiTheme="minorHAnsi" w:hAnsiTheme="minorHAnsi"/>
          <w:i/>
          <w:iCs/>
          <w:sz w:val="26"/>
          <w:szCs w:val="26"/>
        </w:rPr>
        <w:t xml:space="preserve">Při zpracování materiálu byla taktéž použita data </w:t>
      </w:r>
      <w:r w:rsidRPr="00C30F6B">
        <w:rPr>
          <w:rFonts w:asciiTheme="minorHAnsi" w:hAnsiTheme="minorHAnsi" w:cs="Arial"/>
          <w:b/>
          <w:bCs/>
          <w:i/>
          <w:sz w:val="26"/>
          <w:szCs w:val="26"/>
        </w:rPr>
        <w:t xml:space="preserve">Informačního systému o průměrném výdělku </w:t>
      </w:r>
      <w:r w:rsidRPr="00C30F6B">
        <w:rPr>
          <w:rFonts w:asciiTheme="minorHAnsi" w:hAnsiTheme="minorHAnsi" w:cs="Arial"/>
          <w:bCs/>
          <w:i/>
          <w:sz w:val="26"/>
          <w:szCs w:val="26"/>
        </w:rPr>
        <w:t>(ISPV),</w:t>
      </w:r>
      <w:r w:rsidRPr="00C30F6B">
        <w:rPr>
          <w:rFonts w:asciiTheme="minorHAnsi" w:hAnsiTheme="minorHAnsi" w:cs="Arial"/>
          <w:b/>
          <w:bCs/>
          <w:i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i/>
          <w:sz w:val="26"/>
          <w:szCs w:val="26"/>
        </w:rPr>
        <w:t>vlastní</w:t>
      </w:r>
      <w:r w:rsidRPr="00C30F6B">
        <w:rPr>
          <w:rFonts w:asciiTheme="minorHAnsi" w:hAnsiTheme="minorHAnsi" w:cs="Arial"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/>
          <w:bCs/>
          <w:i/>
          <w:sz w:val="26"/>
          <w:szCs w:val="26"/>
        </w:rPr>
        <w:t xml:space="preserve">databáze resortu práce a sociálních věcí, České správy sociálního zabezpečení </w:t>
      </w:r>
      <w:r w:rsidRPr="00C30F6B">
        <w:rPr>
          <w:rFonts w:asciiTheme="minorHAnsi" w:hAnsiTheme="minorHAnsi" w:cs="Arial"/>
          <w:bCs/>
          <w:i/>
          <w:sz w:val="26"/>
          <w:szCs w:val="26"/>
        </w:rPr>
        <w:t>(ČSSZ) a</w:t>
      </w:r>
      <w:r w:rsidRPr="00C30F6B">
        <w:rPr>
          <w:rFonts w:asciiTheme="minorHAnsi" w:hAnsiTheme="minorHAnsi" w:cs="Arial"/>
          <w:b/>
          <w:bCs/>
          <w:i/>
          <w:sz w:val="26"/>
          <w:szCs w:val="26"/>
        </w:rPr>
        <w:t xml:space="preserve"> Ministerstva financí </w:t>
      </w:r>
      <w:r w:rsidRPr="00C30F6B">
        <w:rPr>
          <w:rFonts w:asciiTheme="minorHAnsi" w:hAnsiTheme="minorHAnsi" w:cs="Arial"/>
          <w:bCs/>
          <w:i/>
          <w:sz w:val="26"/>
          <w:szCs w:val="26"/>
        </w:rPr>
        <w:t>(MF).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/>
          <w:i/>
          <w:iCs/>
          <w:sz w:val="26"/>
          <w:szCs w:val="26"/>
        </w:rPr>
      </w:pPr>
      <w:r w:rsidRPr="00C30F6B">
        <w:rPr>
          <w:rFonts w:asciiTheme="minorHAnsi" w:hAnsiTheme="minorHAnsi"/>
          <w:i/>
          <w:iCs/>
          <w:sz w:val="26"/>
          <w:szCs w:val="26"/>
        </w:rPr>
        <w:tab/>
        <w:t>Širší zhodnocení vývoje příjmové a výdajové situace domácností bude – při zohlednění výše uvedených skutečností – předmětem analýzy za 1. pololetí 2020, která bude zveřejněna koncem října letošního roku.</w:t>
      </w:r>
    </w:p>
    <w:p w:rsidR="002E5616" w:rsidRPr="00C30F6B" w:rsidRDefault="002E5616" w:rsidP="002E5616">
      <w:pPr>
        <w:spacing w:line="360" w:lineRule="auto"/>
        <w:jc w:val="both"/>
        <w:rPr>
          <w:rFonts w:asciiTheme="minorHAnsi" w:hAnsiTheme="minorHAnsi"/>
          <w:i/>
          <w:iCs/>
          <w:sz w:val="26"/>
          <w:szCs w:val="26"/>
        </w:rPr>
      </w:pPr>
    </w:p>
    <w:p w:rsidR="002E5616" w:rsidRPr="00C30F6B" w:rsidRDefault="002E5616" w:rsidP="002E5616">
      <w:r w:rsidRPr="00C30F6B">
        <w:rPr>
          <w:rFonts w:asciiTheme="minorHAnsi" w:hAnsiTheme="minorHAnsi"/>
          <w:i/>
          <w:iCs/>
          <w:sz w:val="26"/>
          <w:szCs w:val="26"/>
          <w:u w:val="single"/>
        </w:rPr>
        <w:t>Zpráva obsahuje data platná k 15. červenci 2020.</w:t>
      </w:r>
    </w:p>
    <w:p w:rsidR="002E5616" w:rsidRPr="00C30F6B" w:rsidRDefault="002E5616" w:rsidP="002E5616">
      <w:r w:rsidRPr="00C30F6B">
        <w:br w:type="page"/>
      </w:r>
    </w:p>
    <w:p w:rsidR="002E5616" w:rsidRPr="00C30F6B" w:rsidRDefault="002E5616" w:rsidP="002E5616">
      <w:pPr>
        <w:pStyle w:val="Nadpis1"/>
        <w:numPr>
          <w:ilvl w:val="0"/>
          <w:numId w:val="0"/>
        </w:numPr>
        <w:spacing w:line="240" w:lineRule="auto"/>
        <w:rPr>
          <w:rFonts w:asciiTheme="minorHAnsi" w:hAnsiTheme="minorHAnsi"/>
          <w:sz w:val="44"/>
        </w:rPr>
      </w:pPr>
      <w:r w:rsidRPr="00C30F6B">
        <w:rPr>
          <w:rFonts w:asciiTheme="minorHAnsi" w:hAnsiTheme="minorHAnsi"/>
          <w:sz w:val="44"/>
        </w:rPr>
        <w:lastRenderedPageBreak/>
        <w:t>1. Příjmy domácností</w:t>
      </w:r>
    </w:p>
    <w:p w:rsidR="002E5616" w:rsidRPr="00C30F6B" w:rsidRDefault="002E5616" w:rsidP="002E5616">
      <w:pPr>
        <w:rPr>
          <w:rFonts w:asciiTheme="minorHAnsi" w:hAnsiTheme="minorHAnsi"/>
          <w:b/>
          <w:bCs/>
          <w:i/>
          <w:iCs/>
          <w:sz w:val="32"/>
        </w:rPr>
      </w:pPr>
    </w:p>
    <w:p w:rsidR="002E5616" w:rsidRPr="00C30F6B" w:rsidRDefault="002E5616" w:rsidP="002E5616">
      <w:pPr>
        <w:spacing w:line="360" w:lineRule="auto"/>
        <w:rPr>
          <w:rFonts w:asciiTheme="minorHAnsi" w:hAnsiTheme="minorHAnsi"/>
          <w:b/>
          <w:bCs/>
          <w:i/>
          <w:iCs/>
          <w:sz w:val="40"/>
        </w:rPr>
      </w:pPr>
      <w:r w:rsidRPr="00C30F6B">
        <w:rPr>
          <w:rFonts w:asciiTheme="minorHAnsi" w:hAnsiTheme="minorHAnsi"/>
          <w:b/>
          <w:bCs/>
          <w:i/>
          <w:iCs/>
          <w:sz w:val="40"/>
        </w:rPr>
        <w:t>1. 1 Základní charakteristika</w:t>
      </w:r>
    </w:p>
    <w:p w:rsidR="002E5616" w:rsidRPr="00C30F6B" w:rsidRDefault="002E5616" w:rsidP="002E5616">
      <w:pPr>
        <w:spacing w:line="360" w:lineRule="auto"/>
        <w:jc w:val="both"/>
        <w:rPr>
          <w:rFonts w:asciiTheme="minorHAnsi" w:hAnsiTheme="minorHAnsi"/>
        </w:rPr>
      </w:pP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C30F6B">
        <w:rPr>
          <w:rFonts w:asciiTheme="minorHAnsi" w:hAnsiTheme="minorHAnsi"/>
          <w:sz w:val="26"/>
          <w:szCs w:val="26"/>
        </w:rPr>
        <w:tab/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Běžné příjmy </w:t>
      </w:r>
      <w:r w:rsidRPr="00C30F6B">
        <w:rPr>
          <w:rFonts w:asciiTheme="minorHAnsi" w:hAnsiTheme="minorHAnsi" w:cs="Arial"/>
          <w:sz w:val="26"/>
          <w:szCs w:val="26"/>
        </w:rPr>
        <w:t>sektoru domácností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sz w:val="26"/>
          <w:szCs w:val="26"/>
        </w:rPr>
        <w:t>(podle statistiky národních účtů)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dosáhly </w:t>
      </w:r>
      <w:r w:rsidRPr="00C30F6B">
        <w:rPr>
          <w:rFonts w:asciiTheme="minorHAnsi" w:hAnsiTheme="minorHAnsi" w:cs="Arial"/>
          <w:sz w:val="26"/>
          <w:szCs w:val="26"/>
        </w:rPr>
        <w:t xml:space="preserve">celkové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výše</w:t>
      </w:r>
      <w:r w:rsidRPr="00C30F6B">
        <w:rPr>
          <w:rFonts w:asciiTheme="minorHAnsi" w:hAnsiTheme="minorHAnsi" w:cs="Arial"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1 150,9 mld. Kč.</w:t>
      </w:r>
      <w:r w:rsidRPr="00C30F6B">
        <w:rPr>
          <w:rFonts w:asciiTheme="minorHAnsi" w:hAnsiTheme="minorHAnsi" w:cs="Arial"/>
          <w:sz w:val="26"/>
          <w:szCs w:val="26"/>
        </w:rPr>
        <w:t xml:space="preserve"> Meziročně tak </w:t>
      </w:r>
      <w:r w:rsidRPr="00C30F6B">
        <w:rPr>
          <w:rFonts w:asciiTheme="minorHAnsi" w:hAnsiTheme="minorHAnsi" w:cs="Arial"/>
          <w:b/>
          <w:sz w:val="26"/>
          <w:szCs w:val="26"/>
        </w:rPr>
        <w:t>vzrostly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nominálně o 4,6 % </w:t>
      </w:r>
      <w:r w:rsidRPr="00C30F6B">
        <w:rPr>
          <w:rFonts w:asciiTheme="minorHAnsi" w:hAnsiTheme="minorHAnsi" w:cs="Arial"/>
          <w:bCs/>
          <w:sz w:val="26"/>
          <w:szCs w:val="26"/>
        </w:rPr>
        <w:t xml:space="preserve">(+50,6 mld. Kč)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a reálně o 1,0 %</w:t>
      </w:r>
      <w:r w:rsidRPr="00C30F6B">
        <w:rPr>
          <w:rFonts w:asciiTheme="minorHAnsi" w:hAnsiTheme="minorHAnsi" w:cs="Arial"/>
          <w:bCs/>
          <w:sz w:val="26"/>
          <w:szCs w:val="26"/>
        </w:rPr>
        <w:t xml:space="preserve"> (při poklesu hrubého domácího produktu ve stálých cenách o 2,0 %)</w:t>
      </w:r>
      <w:r w:rsidRPr="00C30F6B">
        <w:rPr>
          <w:rFonts w:asciiTheme="minorHAnsi" w:hAnsiTheme="minorHAnsi" w:cs="Arial"/>
          <w:sz w:val="26"/>
          <w:szCs w:val="26"/>
        </w:rPr>
        <w:t>.</w:t>
      </w:r>
    </w:p>
    <w:p w:rsidR="002E5616" w:rsidRPr="00C30F6B" w:rsidRDefault="002E5616" w:rsidP="002E5616">
      <w:pPr>
        <w:spacing w:after="240"/>
        <w:ind w:left="708"/>
        <w:jc w:val="both"/>
        <w:rPr>
          <w:rFonts w:asciiTheme="minorHAnsi" w:hAnsiTheme="minorHAnsi" w:cs="Arial"/>
          <w:sz w:val="26"/>
          <w:szCs w:val="26"/>
        </w:rPr>
      </w:pPr>
      <w:r w:rsidRPr="00C30F6B">
        <w:rPr>
          <w:rFonts w:asciiTheme="minorHAnsi" w:hAnsiTheme="minorHAnsi" w:cs="Arial"/>
          <w:b/>
          <w:bCs/>
          <w:sz w:val="26"/>
          <w:szCs w:val="26"/>
        </w:rPr>
        <w:t>Na</w:t>
      </w:r>
      <w:r w:rsidRPr="00C30F6B">
        <w:rPr>
          <w:rFonts w:asciiTheme="minorHAnsi" w:hAnsiTheme="minorHAnsi" w:cs="Arial"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reálném růstu</w:t>
      </w:r>
      <w:r w:rsidRPr="00C30F6B">
        <w:rPr>
          <w:rFonts w:asciiTheme="minorHAnsi" w:hAnsiTheme="minorHAnsi" w:cs="Arial"/>
          <w:sz w:val="26"/>
          <w:szCs w:val="26"/>
        </w:rPr>
        <w:t xml:space="preserve"> úhrnného objemu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běžných příjmů </w:t>
      </w:r>
      <w:r w:rsidRPr="00C30F6B">
        <w:rPr>
          <w:rFonts w:asciiTheme="minorHAnsi" w:hAnsiTheme="minorHAnsi" w:cs="Arial"/>
          <w:b/>
          <w:sz w:val="26"/>
          <w:szCs w:val="26"/>
        </w:rPr>
        <w:t>se</w:t>
      </w:r>
      <w:r w:rsidRPr="00C30F6B">
        <w:rPr>
          <w:rFonts w:asciiTheme="minorHAnsi" w:hAnsiTheme="minorHAnsi" w:cs="Arial"/>
          <w:sz w:val="26"/>
          <w:szCs w:val="26"/>
        </w:rPr>
        <w:t xml:space="preserve"> přibližně 58 %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podílely </w:t>
      </w:r>
      <w:r w:rsidRPr="00C30F6B">
        <w:rPr>
          <w:rFonts w:asciiTheme="minorHAnsi" w:hAnsiTheme="minorHAnsi" w:cs="Arial"/>
          <w:b/>
          <w:sz w:val="26"/>
          <w:szCs w:val="26"/>
        </w:rPr>
        <w:t>sociální dávky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bCs/>
          <w:sz w:val="26"/>
          <w:szCs w:val="26"/>
        </w:rPr>
        <w:t xml:space="preserve">(růst o 5,5 %) a přibližně jednou pětinou </w:t>
      </w:r>
      <w:r w:rsidRPr="00C30F6B">
        <w:rPr>
          <w:rFonts w:asciiTheme="minorHAnsi" w:hAnsiTheme="minorHAnsi" w:cs="Arial"/>
          <w:b/>
          <w:sz w:val="26"/>
          <w:szCs w:val="26"/>
        </w:rPr>
        <w:t>ostatní běžné transfery </w:t>
      </w:r>
      <w:r w:rsidRPr="00C30F6B">
        <w:rPr>
          <w:rFonts w:asciiTheme="minorHAnsi" w:hAnsiTheme="minorHAnsi" w:cs="Arial"/>
          <w:sz w:val="26"/>
          <w:szCs w:val="26"/>
        </w:rPr>
        <w:t>– jedná se o náhrady z neživotního pojištění, výhry ze sázek a loterií apod. (+5,2 %)</w:t>
      </w:r>
      <w:r w:rsidRPr="00C30F6B">
        <w:rPr>
          <w:rFonts w:asciiTheme="minorHAnsi" w:hAnsiTheme="minorHAnsi" w:cs="Arial"/>
          <w:bCs/>
          <w:sz w:val="26"/>
          <w:szCs w:val="26"/>
        </w:rPr>
        <w:t>. V menší míře pak</w:t>
      </w:r>
      <w:r w:rsidRPr="00C30F6B">
        <w:rPr>
          <w:rFonts w:asciiTheme="minorHAnsi" w:hAnsiTheme="minorHAnsi" w:cs="Arial"/>
          <w:sz w:val="26"/>
          <w:szCs w:val="26"/>
        </w:rPr>
        <w:t xml:space="preserve"> na něm participovaly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náhrady zaměstnancům</w:t>
      </w:r>
      <w:r w:rsidRPr="00C30F6B">
        <w:rPr>
          <w:rFonts w:asciiTheme="minorHAnsi" w:hAnsiTheme="minorHAnsi" w:cs="Arial"/>
          <w:sz w:val="26"/>
          <w:szCs w:val="26"/>
        </w:rPr>
        <w:t xml:space="preserve"> a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smíšený důchod</w:t>
      </w:r>
      <w:r w:rsidRPr="00C30F6B">
        <w:rPr>
          <w:rFonts w:asciiTheme="minorHAnsi" w:hAnsiTheme="minorHAnsi" w:cs="Arial"/>
          <w:sz w:val="26"/>
          <w:szCs w:val="26"/>
        </w:rPr>
        <w:t xml:space="preserve"> – zahrnující zejména příjmy z podnikatelských aktivit</w:t>
      </w:r>
      <w:r w:rsidRPr="00C30F6B"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C30F6B">
        <w:rPr>
          <w:rFonts w:asciiTheme="minorHAnsi" w:hAnsiTheme="minorHAnsi" w:cs="Arial"/>
          <w:sz w:val="26"/>
          <w:szCs w:val="26"/>
        </w:rPr>
        <w:t>(+0,5 %, resp. +0,2 %)</w:t>
      </w:r>
      <w:r w:rsidRPr="00C30F6B">
        <w:rPr>
          <w:rFonts w:asciiTheme="minorHAnsi" w:hAnsiTheme="minorHAnsi" w:cs="Arial"/>
          <w:bCs/>
          <w:sz w:val="26"/>
          <w:szCs w:val="26"/>
        </w:rPr>
        <w:t>. Reálný pokles tak zaznamenaly</w:t>
      </w:r>
      <w:r w:rsidRPr="00C30F6B">
        <w:rPr>
          <w:rFonts w:asciiTheme="minorHAnsi" w:hAnsiTheme="minorHAnsi" w:cs="Arial"/>
          <w:sz w:val="26"/>
          <w:szCs w:val="26"/>
        </w:rPr>
        <w:t xml:space="preserve"> pouze </w:t>
      </w:r>
      <w:r w:rsidRPr="00C30F6B">
        <w:rPr>
          <w:rFonts w:asciiTheme="minorHAnsi" w:hAnsiTheme="minorHAnsi" w:cs="Arial"/>
          <w:b/>
          <w:sz w:val="26"/>
          <w:szCs w:val="26"/>
        </w:rPr>
        <w:t>důchody z vlastnictví</w:t>
      </w:r>
      <w:r w:rsidRPr="00C30F6B">
        <w:rPr>
          <w:rFonts w:asciiTheme="minorHAnsi" w:hAnsiTheme="minorHAnsi" w:cs="Arial"/>
          <w:sz w:val="26"/>
          <w:szCs w:val="26"/>
        </w:rPr>
        <w:t xml:space="preserve"> (- 18,1 %).</w:t>
      </w:r>
    </w:p>
    <w:p w:rsidR="002E5616" w:rsidRPr="00C30F6B" w:rsidRDefault="002E5616" w:rsidP="002E5616">
      <w:pPr>
        <w:spacing w:after="240"/>
        <w:ind w:left="708"/>
        <w:jc w:val="both"/>
        <w:rPr>
          <w:rFonts w:asciiTheme="minorHAnsi" w:hAnsiTheme="minorHAnsi" w:cs="Arial"/>
          <w:sz w:val="26"/>
          <w:szCs w:val="26"/>
        </w:rPr>
      </w:pP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C30F6B">
        <w:rPr>
          <w:rFonts w:asciiTheme="minorHAnsi" w:hAnsiTheme="minorHAnsi" w:cs="Arial"/>
          <w:sz w:val="26"/>
          <w:szCs w:val="26"/>
        </w:rPr>
        <w:tab/>
        <w:t xml:space="preserve">Po odpočtu běžných výdajů (především daní z příjmů a příspěvků na sociální a zdravotní pojištění) zůstal sektoru domácností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úhrnný disponibilní důchod </w:t>
      </w:r>
      <w:r w:rsidRPr="00C30F6B">
        <w:rPr>
          <w:rFonts w:asciiTheme="minorHAnsi" w:hAnsiTheme="minorHAnsi" w:cs="Arial"/>
          <w:sz w:val="26"/>
          <w:szCs w:val="26"/>
        </w:rPr>
        <w:t xml:space="preserve">v částce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>753,8 mld. Kč,</w:t>
      </w:r>
      <w:r w:rsidRPr="00C30F6B">
        <w:rPr>
          <w:rFonts w:asciiTheme="minorHAnsi" w:hAnsiTheme="minorHAnsi" w:cs="Arial"/>
          <w:sz w:val="26"/>
          <w:szCs w:val="26"/>
        </w:rPr>
        <w:t xml:space="preserve"> což bylo </w:t>
      </w:r>
      <w:r w:rsidRPr="00C30F6B">
        <w:rPr>
          <w:rFonts w:asciiTheme="minorHAnsi" w:hAnsiTheme="minorHAnsi" w:cs="Arial"/>
          <w:b/>
          <w:bCs/>
          <w:sz w:val="26"/>
          <w:szCs w:val="26"/>
        </w:rPr>
        <w:t xml:space="preserve">reálně o 2,9 % více </w:t>
      </w:r>
      <w:r w:rsidRPr="00C30F6B">
        <w:rPr>
          <w:rFonts w:asciiTheme="minorHAnsi" w:hAnsiTheme="minorHAnsi" w:cs="Arial"/>
          <w:sz w:val="26"/>
          <w:szCs w:val="26"/>
        </w:rPr>
        <w:t>než ve srovnatelném loňském období (kdy se kupní síla jeho objemu meziročně zvýšila o 3,3 %).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C30F6B">
        <w:rPr>
          <w:rFonts w:asciiTheme="minorHAnsi" w:hAnsiTheme="minorHAnsi" w:cs="Arial"/>
          <w:sz w:val="26"/>
          <w:szCs w:val="26"/>
        </w:rPr>
        <w:tab/>
      </w:r>
      <w:r w:rsidRPr="00C30F6B">
        <w:rPr>
          <w:rFonts w:asciiTheme="minorHAnsi" w:hAnsiTheme="minorHAnsi" w:cs="Arial"/>
          <w:b/>
          <w:sz w:val="26"/>
          <w:szCs w:val="26"/>
        </w:rPr>
        <w:t>Relace disponibilního důchodu k objemu hrubého domácího produktu</w:t>
      </w:r>
      <w:r w:rsidRPr="00C30F6B">
        <w:rPr>
          <w:rFonts w:asciiTheme="minorHAnsi" w:hAnsiTheme="minorHAnsi" w:cs="Arial"/>
          <w:sz w:val="26"/>
          <w:szCs w:val="26"/>
        </w:rPr>
        <w:t xml:space="preserve"> (v běžných cenách) meziročně </w:t>
      </w:r>
      <w:r w:rsidRPr="00C30F6B">
        <w:rPr>
          <w:rFonts w:asciiTheme="minorHAnsi" w:hAnsiTheme="minorHAnsi" w:cs="Arial"/>
          <w:b/>
          <w:sz w:val="26"/>
          <w:szCs w:val="26"/>
        </w:rPr>
        <w:t>vzrostla</w:t>
      </w:r>
      <w:r w:rsidRPr="00C30F6B">
        <w:rPr>
          <w:rFonts w:asciiTheme="minorHAnsi" w:hAnsiTheme="minorHAnsi" w:cs="Arial"/>
          <w:sz w:val="26"/>
          <w:szCs w:val="26"/>
        </w:rPr>
        <w:t xml:space="preserve"> o 2,4 p. b. na </w:t>
      </w:r>
      <w:r w:rsidRPr="00C30F6B">
        <w:rPr>
          <w:rFonts w:asciiTheme="minorHAnsi" w:hAnsiTheme="minorHAnsi" w:cs="Arial"/>
          <w:b/>
          <w:sz w:val="26"/>
          <w:szCs w:val="26"/>
        </w:rPr>
        <w:t>52,4 %.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="Arial"/>
          <w:b/>
          <w:bCs/>
          <w:sz w:val="26"/>
          <w:szCs w:val="26"/>
        </w:rPr>
      </w:pPr>
    </w:p>
    <w:p w:rsidR="002E5616" w:rsidRPr="00C30F6B" w:rsidRDefault="002E5616" w:rsidP="002E5616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C30F6B">
        <w:rPr>
          <w:rFonts w:asciiTheme="minorHAnsi" w:hAnsiTheme="minorHAnsi" w:cs="Arial"/>
          <w:sz w:val="26"/>
          <w:szCs w:val="26"/>
        </w:rPr>
        <w:tab/>
        <w:t>Podrobnější číselné údaje o vývoji ukazatelů v sektoru domácností jsou součástí tabulky č. 1 v příloze.</w:t>
      </w:r>
    </w:p>
    <w:p w:rsidR="002E5616" w:rsidRPr="00C30F6B" w:rsidRDefault="002E5616" w:rsidP="002E5616"/>
    <w:p w:rsidR="002E5616" w:rsidRPr="00C30F6B" w:rsidRDefault="002E5616" w:rsidP="002E5616">
      <w:pPr>
        <w:spacing w:after="120"/>
        <w:jc w:val="both"/>
        <w:rPr>
          <w:rFonts w:asciiTheme="minorHAnsi" w:hAnsiTheme="minorHAnsi" w:cstheme="minorHAnsi"/>
          <w:sz w:val="26"/>
          <w:szCs w:val="26"/>
        </w:rPr>
      </w:pPr>
    </w:p>
    <w:p w:rsidR="002E5616" w:rsidRPr="00C30F6B" w:rsidRDefault="002E5616" w:rsidP="002E5616">
      <w:r w:rsidRPr="00C30F6B">
        <w:br w:type="page"/>
      </w:r>
    </w:p>
    <w:p w:rsidR="002E5616" w:rsidRPr="00C30F6B" w:rsidRDefault="002E5616" w:rsidP="002E5616">
      <w:pPr>
        <w:rPr>
          <w:rFonts w:asciiTheme="minorHAnsi" w:hAnsiTheme="minorHAnsi" w:cs="Arial"/>
          <w:b/>
          <w:i/>
          <w:sz w:val="40"/>
          <w:szCs w:val="40"/>
        </w:rPr>
      </w:pPr>
      <w:r w:rsidRPr="00C30F6B">
        <w:rPr>
          <w:rFonts w:asciiTheme="minorHAnsi" w:hAnsiTheme="minorHAnsi" w:cs="Arial"/>
          <w:b/>
          <w:i/>
          <w:sz w:val="40"/>
          <w:szCs w:val="40"/>
        </w:rPr>
        <w:lastRenderedPageBreak/>
        <w:t>1. 2 Mzdy</w:t>
      </w:r>
    </w:p>
    <w:p w:rsidR="002E5616" w:rsidRPr="00C30F6B" w:rsidRDefault="002E5616" w:rsidP="002E5616">
      <w:pPr>
        <w:spacing w:after="240" w:line="360" w:lineRule="auto"/>
        <w:jc w:val="both"/>
        <w:rPr>
          <w:rFonts w:ascii="Calibri" w:hAnsi="Calibri"/>
          <w:sz w:val="26"/>
          <w:szCs w:val="26"/>
        </w:rPr>
      </w:pPr>
    </w:p>
    <w:p w:rsidR="002E5616" w:rsidRPr="00C30F6B" w:rsidRDefault="002E5616" w:rsidP="002E5616">
      <w:pPr>
        <w:spacing w:after="360" w:line="360" w:lineRule="auto"/>
        <w:jc w:val="both"/>
        <w:rPr>
          <w:rFonts w:cs="Arial"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tab/>
      </w:r>
      <w:r w:rsidRPr="00C30F6B">
        <w:rPr>
          <w:rFonts w:ascii="Calibri" w:hAnsi="Calibri" w:cs="Arial"/>
          <w:b/>
          <w:sz w:val="26"/>
          <w:szCs w:val="26"/>
        </w:rPr>
        <w:t>Rozhodující část</w:t>
      </w:r>
      <w:r w:rsidRPr="00C30F6B">
        <w:rPr>
          <w:rFonts w:ascii="Calibri" w:hAnsi="Calibri" w:cs="Arial"/>
          <w:sz w:val="26"/>
          <w:szCs w:val="26"/>
        </w:rPr>
        <w:t xml:space="preserve"> peněžních </w:t>
      </w:r>
      <w:r w:rsidRPr="00C30F6B">
        <w:rPr>
          <w:rFonts w:ascii="Calibri" w:hAnsi="Calibri" w:cs="Arial"/>
          <w:b/>
          <w:sz w:val="26"/>
          <w:szCs w:val="26"/>
        </w:rPr>
        <w:t>příjmů domácností tvořily mzdy.</w:t>
      </w:r>
      <w:r w:rsidRPr="00C30F6B">
        <w:rPr>
          <w:rFonts w:ascii="Calibri" w:hAnsi="Calibri" w:cs="Arial"/>
          <w:sz w:val="26"/>
          <w:szCs w:val="26"/>
        </w:rPr>
        <w:t xml:space="preserve"> Celkový </w:t>
      </w:r>
      <w:r w:rsidRPr="00C30F6B">
        <w:rPr>
          <w:rFonts w:ascii="Calibri" w:hAnsi="Calibri" w:cs="Arial"/>
          <w:b/>
          <w:sz w:val="26"/>
          <w:szCs w:val="26"/>
        </w:rPr>
        <w:t>objem mzdových prostředků</w:t>
      </w:r>
      <w:r w:rsidRPr="00C30F6B">
        <w:rPr>
          <w:rFonts w:ascii="Calibri" w:hAnsi="Calibri" w:cs="Arial"/>
          <w:sz w:val="26"/>
          <w:szCs w:val="26"/>
        </w:rPr>
        <w:t xml:space="preserve"> (bez ostatních osobních nákladů) zúčtovaný všem zaměstnancům k výplatě za celé národní hospodářství </w:t>
      </w:r>
      <w:r w:rsidRPr="00C30F6B">
        <w:rPr>
          <w:rFonts w:ascii="Calibri" w:hAnsi="Calibri" w:cs="Arial"/>
          <w:b/>
          <w:sz w:val="26"/>
          <w:szCs w:val="26"/>
        </w:rPr>
        <w:t>v 1. čtvrtletí 2020 činil</w:t>
      </w:r>
      <w:r w:rsidRPr="00C30F6B">
        <w:rPr>
          <w:rFonts w:ascii="Calibri" w:hAnsi="Calibri" w:cs="Arial"/>
          <w:sz w:val="26"/>
          <w:szCs w:val="26"/>
        </w:rPr>
        <w:t xml:space="preserve"> </w:t>
      </w:r>
      <w:r w:rsidRPr="00C30F6B">
        <w:rPr>
          <w:rFonts w:ascii="Calibri" w:hAnsi="Calibri" w:cs="Arial"/>
          <w:b/>
          <w:sz w:val="26"/>
          <w:szCs w:val="26"/>
        </w:rPr>
        <w:t>412,4 mld. Kč</w:t>
      </w:r>
      <w:r w:rsidRPr="00C30F6B">
        <w:rPr>
          <w:rFonts w:ascii="Calibri" w:hAnsi="Calibri" w:cs="Arial"/>
          <w:sz w:val="26"/>
          <w:szCs w:val="26"/>
        </w:rPr>
        <w:t xml:space="preserve"> a byl tak nominálně </w:t>
      </w:r>
      <w:r w:rsidRPr="00C30F6B">
        <w:rPr>
          <w:rFonts w:ascii="Calibri" w:hAnsi="Calibri" w:cs="Arial"/>
          <w:b/>
          <w:sz w:val="26"/>
          <w:szCs w:val="26"/>
        </w:rPr>
        <w:t>o 4,1 % vyšší</w:t>
      </w:r>
      <w:r w:rsidRPr="00C30F6B">
        <w:rPr>
          <w:rFonts w:ascii="Calibri" w:hAnsi="Calibri" w:cs="Arial"/>
          <w:sz w:val="26"/>
          <w:szCs w:val="26"/>
        </w:rPr>
        <w:t xml:space="preserve"> než ve stejném období předchozího roku.</w:t>
      </w:r>
    </w:p>
    <w:p w:rsidR="002E5616" w:rsidRPr="00C30F6B" w:rsidRDefault="002E5616" w:rsidP="002E5616">
      <w:pPr>
        <w:spacing w:after="360" w:line="360" w:lineRule="auto"/>
        <w:jc w:val="both"/>
        <w:rPr>
          <w:rFonts w:cs="Arial"/>
          <w:bCs/>
          <w:iCs/>
          <w:sz w:val="26"/>
          <w:szCs w:val="26"/>
        </w:rPr>
      </w:pPr>
      <w:r w:rsidRPr="00C30F6B">
        <w:rPr>
          <w:rFonts w:cs="Arial"/>
          <w:sz w:val="26"/>
          <w:szCs w:val="26"/>
        </w:rPr>
        <w:tab/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Průměrná hrubá měsíční nominální mzda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na přepočtené počty zaměstnanců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v národním hospodářství dosáhla</w:t>
      </w:r>
      <w:r w:rsidRPr="00C30F6B">
        <w:rPr>
          <w:rFonts w:ascii="Calibri" w:hAnsi="Calibri" w:cs="Arial"/>
          <w:b/>
          <w:iCs/>
          <w:sz w:val="26"/>
          <w:szCs w:val="26"/>
        </w:rPr>
        <w:t xml:space="preserve"> v 1. čtvrtletí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letošního roku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výše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34 077 Kč,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což představovalo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meziroční nominální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nárůst o 5,0 %</w:t>
      </w:r>
      <w:r w:rsidRPr="00C30F6B">
        <w:rPr>
          <w:rFonts w:ascii="Calibri" w:hAnsi="Calibri" w:cs="Arial"/>
          <w:b/>
          <w:iCs/>
          <w:sz w:val="26"/>
          <w:szCs w:val="26"/>
        </w:rPr>
        <w:t>,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tj. o 1 610 Kč více než ve stejném období předchozího roku. Opatření a omezení přijatá v souvislosti s pandemií viru SARS-CoV-2 (onemocnění COVID-19) se ve sledovaném období do vývoje mezd nestačila zatím ještě významněji promítnout.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Dynamika zvyšování mezd sice zpomalila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(meziročně o 1,7 p. b.),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 xml:space="preserve"> udržela se však stále na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relativně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vysoké úrovni.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Na rozdíl od nominálního nárůstu průměrné mzdy,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zaznamenalo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– vzhledem k vývoji míry inflace –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výraznější snížení tempo růstu reálné mzdy. Po zohlednění vlivu nárůstu spotřebitelských cen</w:t>
      </w:r>
      <w:r w:rsidRPr="00C30F6B">
        <w:rPr>
          <w:rFonts w:ascii="Calibri" w:hAnsi="Calibri" w:cs="Arial"/>
          <w:b/>
          <w:iCs/>
          <w:sz w:val="26"/>
          <w:szCs w:val="26"/>
        </w:rPr>
        <w:t>,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ve sledovaném období o 3,6 % (ve stejném období roku 2019 o 2,7 %), meziročně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 xml:space="preserve">vzrostla průměrná reálná mzda o 1,4 % </w:t>
      </w:r>
      <w:r w:rsidRPr="00C30F6B">
        <w:rPr>
          <w:rFonts w:ascii="Calibri" w:hAnsi="Calibri" w:cs="Arial"/>
          <w:sz w:val="26"/>
          <w:szCs w:val="26"/>
        </w:rPr>
        <w:t>–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souhrnný přehled viz tabulku č. 2 v příloze.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Jednalo se o nejnižší nárůst reálné úrovně průměrné mzdy od roku 2013.</w:t>
      </w:r>
    </w:p>
    <w:p w:rsidR="002E5616" w:rsidRPr="00C30F6B" w:rsidRDefault="002E5616" w:rsidP="002E5616">
      <w:pPr>
        <w:spacing w:after="360" w:line="360" w:lineRule="auto"/>
        <w:jc w:val="both"/>
        <w:rPr>
          <w:rFonts w:ascii="Calibri" w:hAnsi="Calibri" w:cs="Arial"/>
          <w:iCs/>
          <w:sz w:val="26"/>
          <w:szCs w:val="26"/>
        </w:rPr>
      </w:pPr>
      <w:r w:rsidRPr="00C30F6B">
        <w:rPr>
          <w:rFonts w:cs="Arial"/>
          <w:bCs/>
          <w:iCs/>
          <w:sz w:val="26"/>
          <w:szCs w:val="26"/>
        </w:rPr>
        <w:tab/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Medián mezd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(prostřední hodnota mzdového rozdělení), který je odvozen ze statisticko-matematického modelu vycházejícího z výběrového šetření Informačního systému o průměrném výdělku MPSV,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dosáhl v 1. čtvrtletí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letošního roku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úrovně 29 333 Kč a vzrostl proti stejnému období předchozího roku nominálně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o 5,8 %, reálně o 2,1 %</w:t>
      </w:r>
      <w:r w:rsidRPr="00C30F6B">
        <w:rPr>
          <w:rFonts w:ascii="Calibri" w:hAnsi="Calibri" w:cs="Arial"/>
          <w:b/>
          <w:iCs/>
          <w:sz w:val="26"/>
          <w:szCs w:val="26"/>
        </w:rPr>
        <w:t>.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 xml:space="preserve"> 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Na rozdíl od průměrné mzdy není medián ovlivněn extrémními hodnotami a nedochází tak k jeho zkreslení o tyto údaje; proto bývá při hodnocení mzdového vývoje považován za výstižnější. Medián mezd žen činil 26 723 Kč, medián </w:t>
      </w:r>
      <w:r w:rsidRPr="00C30F6B">
        <w:rPr>
          <w:rFonts w:ascii="Calibri" w:hAnsi="Calibri" w:cs="Arial"/>
          <w:bCs/>
          <w:iCs/>
          <w:sz w:val="26"/>
          <w:szCs w:val="26"/>
        </w:rPr>
        <w:lastRenderedPageBreak/>
        <w:t xml:space="preserve">mezd mužů byl o 5 067 Kč vyšší a dosáhl úrovně 31 790 Kč.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Medián mezd byl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ve sledovaném období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nižší o 4 744 Kč než průměrná mzda.</w:t>
      </w:r>
    </w:p>
    <w:p w:rsidR="002E5616" w:rsidRPr="00C30F6B" w:rsidRDefault="002E5616" w:rsidP="002E5616">
      <w:pPr>
        <w:spacing w:after="720"/>
        <w:ind w:left="851"/>
        <w:jc w:val="both"/>
        <w:rPr>
          <w:rFonts w:ascii="Calibri" w:hAnsi="Calibri" w:cs="Arial"/>
          <w:bCs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t>Informační systém o průměrném výdělku, který na základě výběrového šetření doplňuje mzdové statistiky ČSÚ, poskytuje řadu detailnějších statistik o mzdách (platech) zaměstnanců. Největší rozdíl mezi průměrnou mzdou a mediánem byl zaznamenán ve mzdové sféře v odvětví „peněžnictví a pojišťovnictví“ – 16 190 Kč, což svědčí o výrazných rozdílech ve mzdách jednotlivých zaměstnanců tohoto odvětví. Opačná situace, tedy velmi malá diferenciace platů, byla pozorována u odvětví „vzdělávání“ platové sféry, ve které byl medián platu o 364 Kč vyšší než průměrný plat a činil 33 676 Kč. Uvedená velmi nízká diferenciace platů byla zapříčiněna zaměstnaneckou strukturou, kde většinu tvoří kvalifikovaní vysokoškolsky vzdělaní zaměstnanci, kteří měli plat vyšší než zbývající část zaměstnanců.</w:t>
      </w:r>
    </w:p>
    <w:p w:rsidR="002E5616" w:rsidRPr="00C30F6B" w:rsidRDefault="002E5616" w:rsidP="002E5616">
      <w:pPr>
        <w:spacing w:after="360" w:line="360" w:lineRule="auto"/>
        <w:jc w:val="both"/>
        <w:rPr>
          <w:rFonts w:ascii="Calibri" w:hAnsi="Calibri" w:cs="Arial"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tab/>
      </w:r>
      <w:r w:rsidRPr="00C30F6B">
        <w:rPr>
          <w:rFonts w:ascii="Calibri" w:hAnsi="Calibri" w:cs="Arial"/>
          <w:b/>
          <w:bCs/>
          <w:sz w:val="26"/>
          <w:szCs w:val="26"/>
        </w:rPr>
        <w:t>Výše průměrné</w:t>
      </w:r>
      <w:r w:rsidRPr="00C30F6B">
        <w:rPr>
          <w:rFonts w:ascii="Calibri" w:hAnsi="Calibri" w:cs="Arial"/>
          <w:bCs/>
          <w:sz w:val="26"/>
          <w:szCs w:val="26"/>
        </w:rPr>
        <w:t xml:space="preserve"> </w:t>
      </w:r>
      <w:r w:rsidRPr="00C30F6B">
        <w:rPr>
          <w:rFonts w:ascii="Calibri" w:hAnsi="Calibri" w:cs="Arial"/>
          <w:sz w:val="26"/>
          <w:szCs w:val="26"/>
        </w:rPr>
        <w:t>měsíční</w:t>
      </w:r>
      <w:r w:rsidRPr="00C30F6B">
        <w:rPr>
          <w:rFonts w:ascii="Calibri" w:hAnsi="Calibri" w:cs="Arial"/>
          <w:bCs/>
          <w:sz w:val="26"/>
          <w:szCs w:val="26"/>
        </w:rPr>
        <w:t xml:space="preserve"> </w:t>
      </w:r>
      <w:r w:rsidRPr="00C30F6B">
        <w:rPr>
          <w:rFonts w:ascii="Calibri" w:hAnsi="Calibri" w:cs="Arial"/>
          <w:b/>
          <w:bCs/>
          <w:sz w:val="26"/>
          <w:szCs w:val="26"/>
        </w:rPr>
        <w:t>mzdy zaměstnanců pracujících v malých firmách</w:t>
      </w:r>
      <w:r w:rsidRPr="00C30F6B">
        <w:rPr>
          <w:rFonts w:ascii="Calibri" w:hAnsi="Calibri" w:cs="Arial"/>
          <w:sz w:val="26"/>
          <w:szCs w:val="26"/>
        </w:rPr>
        <w:t xml:space="preserve"> (subjekty s méně než 20 zaměstnanci) </w:t>
      </w:r>
      <w:r w:rsidRPr="00C30F6B">
        <w:rPr>
          <w:rFonts w:ascii="Calibri" w:hAnsi="Calibri" w:cs="Arial"/>
          <w:b/>
          <w:sz w:val="26"/>
          <w:szCs w:val="26"/>
        </w:rPr>
        <w:t xml:space="preserve">v 1. čtvrtletí 2020 </w:t>
      </w:r>
      <w:r w:rsidRPr="00C30F6B">
        <w:rPr>
          <w:rFonts w:ascii="Calibri" w:hAnsi="Calibri" w:cs="Arial"/>
          <w:b/>
          <w:bCs/>
          <w:sz w:val="26"/>
          <w:szCs w:val="26"/>
        </w:rPr>
        <w:t>činila</w:t>
      </w:r>
      <w:r w:rsidRPr="00C30F6B">
        <w:rPr>
          <w:rFonts w:ascii="Calibri" w:hAnsi="Calibri" w:cs="Arial"/>
          <w:b/>
          <w:sz w:val="26"/>
          <w:szCs w:val="26"/>
        </w:rPr>
        <w:t xml:space="preserve"> 25</w:t>
      </w:r>
      <w:r w:rsidRPr="00C30F6B">
        <w:rPr>
          <w:rFonts w:ascii="Calibri" w:hAnsi="Calibri" w:cs="Arial"/>
          <w:b/>
          <w:bCs/>
          <w:sz w:val="26"/>
          <w:szCs w:val="26"/>
        </w:rPr>
        <w:t> 015 Kč, tj. 73,4 %</w:t>
      </w:r>
      <w:r w:rsidRPr="00C30F6B">
        <w:rPr>
          <w:rFonts w:ascii="Calibri" w:hAnsi="Calibri" w:cs="Arial"/>
          <w:bCs/>
          <w:sz w:val="26"/>
          <w:szCs w:val="26"/>
        </w:rPr>
        <w:t xml:space="preserve"> celospolečenského </w:t>
      </w:r>
      <w:r w:rsidRPr="00C30F6B">
        <w:rPr>
          <w:rFonts w:ascii="Calibri" w:hAnsi="Calibri" w:cs="Arial"/>
          <w:b/>
          <w:bCs/>
          <w:sz w:val="26"/>
          <w:szCs w:val="26"/>
        </w:rPr>
        <w:t>výdělkového průměru</w:t>
      </w:r>
      <w:r w:rsidRPr="00C30F6B">
        <w:rPr>
          <w:rFonts w:ascii="Calibri" w:hAnsi="Calibri" w:cs="Arial"/>
          <w:b/>
          <w:sz w:val="26"/>
          <w:szCs w:val="26"/>
        </w:rPr>
        <w:t>,</w:t>
      </w:r>
      <w:r w:rsidRPr="00C30F6B">
        <w:rPr>
          <w:rFonts w:ascii="Calibri" w:hAnsi="Calibri" w:cs="Arial"/>
          <w:bCs/>
          <w:sz w:val="26"/>
          <w:szCs w:val="26"/>
        </w:rPr>
        <w:t xml:space="preserve"> v porovnání se stejným obdobím roku 2019 došlo v důsledku nižší dynamiky mezd v malých firmách ke snížení tohoto podílu (o 0,2 p. b.) </w:t>
      </w:r>
      <w:r w:rsidRPr="00C30F6B">
        <w:rPr>
          <w:rFonts w:ascii="Calibri" w:hAnsi="Calibri" w:cs="Arial"/>
          <w:sz w:val="26"/>
          <w:szCs w:val="26"/>
        </w:rPr>
        <w:t>– viz tabulku č. 3 v příloze.</w:t>
      </w:r>
    </w:p>
    <w:p w:rsidR="002E5616" w:rsidRPr="00C30F6B" w:rsidRDefault="002E5616" w:rsidP="002E5616">
      <w:pPr>
        <w:spacing w:after="120" w:line="360" w:lineRule="auto"/>
        <w:jc w:val="both"/>
        <w:rPr>
          <w:rFonts w:ascii="Calibri" w:hAnsi="Calibri" w:cs="Arial"/>
          <w:b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tab/>
      </w:r>
      <w:r w:rsidRPr="00C30F6B">
        <w:rPr>
          <w:rFonts w:ascii="Calibri" w:hAnsi="Calibri" w:cs="Arial"/>
          <w:b/>
          <w:sz w:val="26"/>
          <w:szCs w:val="26"/>
        </w:rPr>
        <w:t xml:space="preserve">Vývoj mezd v 1. čtvrtletí </w:t>
      </w:r>
      <w:r w:rsidRPr="00C30F6B">
        <w:rPr>
          <w:rFonts w:ascii="Calibri" w:hAnsi="Calibri" w:cs="Arial"/>
          <w:sz w:val="26"/>
          <w:szCs w:val="26"/>
        </w:rPr>
        <w:t xml:space="preserve">letošního roku </w:t>
      </w:r>
      <w:r w:rsidRPr="00C30F6B">
        <w:rPr>
          <w:rFonts w:ascii="Calibri" w:hAnsi="Calibri" w:cs="Arial"/>
          <w:b/>
          <w:sz w:val="26"/>
          <w:szCs w:val="26"/>
        </w:rPr>
        <w:t>charakterizovaly zejména následující skutečnosti:</w:t>
      </w:r>
    </w:p>
    <w:p w:rsidR="002E5616" w:rsidRPr="00C30F6B" w:rsidRDefault="002E5616" w:rsidP="002E5616">
      <w:pPr>
        <w:numPr>
          <w:ilvl w:val="0"/>
          <w:numId w:val="41"/>
        </w:numPr>
        <w:spacing w:after="120" w:line="360" w:lineRule="auto"/>
        <w:ind w:left="714" w:hanging="357"/>
        <w:jc w:val="both"/>
        <w:rPr>
          <w:rFonts w:ascii="Calibri" w:hAnsi="Calibri" w:cs="Arial"/>
          <w:bCs/>
          <w:sz w:val="26"/>
          <w:szCs w:val="26"/>
        </w:rPr>
      </w:pPr>
      <w:r w:rsidRPr="00C30F6B">
        <w:rPr>
          <w:rFonts w:ascii="Calibri" w:hAnsi="Calibri" w:cs="Arial"/>
          <w:b/>
          <w:bCs/>
          <w:sz w:val="26"/>
          <w:szCs w:val="26"/>
        </w:rPr>
        <w:t xml:space="preserve">klesající dynamika růstu </w:t>
      </w:r>
      <w:r w:rsidRPr="00C30F6B">
        <w:rPr>
          <w:rFonts w:ascii="Calibri" w:hAnsi="Calibri" w:cs="Arial"/>
          <w:bCs/>
          <w:sz w:val="26"/>
          <w:szCs w:val="26"/>
        </w:rPr>
        <w:t xml:space="preserve">meziroční </w:t>
      </w:r>
      <w:r w:rsidRPr="00C30F6B">
        <w:rPr>
          <w:rFonts w:ascii="Calibri" w:hAnsi="Calibri" w:cs="Arial"/>
          <w:b/>
          <w:bCs/>
          <w:sz w:val="26"/>
          <w:szCs w:val="26"/>
        </w:rPr>
        <w:t>průměrné nominální mzdy</w:t>
      </w:r>
      <w:r w:rsidRPr="00C30F6B">
        <w:rPr>
          <w:rFonts w:ascii="Calibri" w:hAnsi="Calibri" w:cs="Arial"/>
          <w:bCs/>
          <w:sz w:val="26"/>
          <w:szCs w:val="26"/>
        </w:rPr>
        <w:t xml:space="preserve"> v národním hospodářství,</w:t>
      </w:r>
    </w:p>
    <w:p w:rsidR="002E5616" w:rsidRPr="00C30F6B" w:rsidRDefault="002E5616" w:rsidP="002E5616">
      <w:pPr>
        <w:numPr>
          <w:ilvl w:val="0"/>
          <w:numId w:val="41"/>
        </w:numPr>
        <w:spacing w:after="120" w:line="360" w:lineRule="auto"/>
        <w:ind w:left="714" w:hanging="357"/>
        <w:jc w:val="both"/>
        <w:rPr>
          <w:rFonts w:ascii="Calibri" w:hAnsi="Calibri" w:cs="Arial"/>
          <w:bCs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t xml:space="preserve">vzhledem k zvyšující se míře inflace pouze </w:t>
      </w:r>
      <w:r w:rsidRPr="00C30F6B">
        <w:rPr>
          <w:rFonts w:ascii="Calibri" w:hAnsi="Calibri" w:cs="Arial"/>
          <w:b/>
          <w:bCs/>
          <w:sz w:val="26"/>
          <w:szCs w:val="26"/>
        </w:rPr>
        <w:t>mírné posílení kupní síly výdělků zaměstnanců</w:t>
      </w:r>
      <w:r w:rsidRPr="00C30F6B">
        <w:rPr>
          <w:rFonts w:ascii="Calibri" w:hAnsi="Calibri" w:cs="Arial"/>
          <w:b/>
          <w:sz w:val="26"/>
          <w:szCs w:val="26"/>
        </w:rPr>
        <w:t>,</w:t>
      </w:r>
    </w:p>
    <w:p w:rsidR="002E5616" w:rsidRPr="00C30F6B" w:rsidRDefault="002E5616" w:rsidP="002E5616">
      <w:pPr>
        <w:numPr>
          <w:ilvl w:val="0"/>
          <w:numId w:val="41"/>
        </w:numPr>
        <w:spacing w:after="120" w:line="360" w:lineRule="auto"/>
        <w:ind w:left="714" w:hanging="357"/>
        <w:jc w:val="both"/>
        <w:rPr>
          <w:rFonts w:ascii="Calibri" w:hAnsi="Calibri" w:cs="Arial"/>
          <w:bCs/>
          <w:sz w:val="26"/>
          <w:szCs w:val="26"/>
        </w:rPr>
      </w:pPr>
      <w:r w:rsidRPr="00C30F6B">
        <w:rPr>
          <w:rFonts w:ascii="Calibri" w:hAnsi="Calibri" w:cs="Arial"/>
          <w:bCs/>
          <w:sz w:val="26"/>
          <w:szCs w:val="26"/>
        </w:rPr>
        <w:t xml:space="preserve">vyšší </w:t>
      </w:r>
      <w:r w:rsidRPr="00C30F6B">
        <w:rPr>
          <w:rFonts w:ascii="Calibri" w:hAnsi="Calibri" w:cs="Arial"/>
          <w:b/>
          <w:bCs/>
          <w:sz w:val="26"/>
          <w:szCs w:val="26"/>
        </w:rPr>
        <w:t>dynamika růstu mezd</w:t>
      </w:r>
      <w:r w:rsidRPr="00C30F6B">
        <w:rPr>
          <w:rFonts w:ascii="Calibri" w:hAnsi="Calibri" w:cs="Arial"/>
          <w:bCs/>
          <w:sz w:val="26"/>
          <w:szCs w:val="26"/>
        </w:rPr>
        <w:t xml:space="preserve"> a </w:t>
      </w:r>
      <w:r w:rsidRPr="00C30F6B">
        <w:rPr>
          <w:rFonts w:ascii="Calibri" w:hAnsi="Calibri" w:cs="Arial"/>
          <w:b/>
          <w:bCs/>
          <w:sz w:val="26"/>
          <w:szCs w:val="26"/>
        </w:rPr>
        <w:t>pokles produktivity práce</w:t>
      </w:r>
      <w:r w:rsidRPr="00C30F6B">
        <w:rPr>
          <w:rFonts w:ascii="Calibri" w:hAnsi="Calibri" w:cs="Arial"/>
          <w:b/>
          <w:sz w:val="26"/>
          <w:szCs w:val="26"/>
        </w:rPr>
        <w:t>,</w:t>
      </w:r>
    </w:p>
    <w:p w:rsidR="002E5616" w:rsidRPr="00C30F6B" w:rsidRDefault="002E5616" w:rsidP="002E5616">
      <w:pPr>
        <w:numPr>
          <w:ilvl w:val="0"/>
          <w:numId w:val="41"/>
        </w:numPr>
        <w:spacing w:after="240" w:line="360" w:lineRule="auto"/>
        <w:ind w:left="714" w:hanging="357"/>
        <w:jc w:val="both"/>
        <w:rPr>
          <w:rFonts w:ascii="Calibri" w:hAnsi="Calibri" w:cs="Arial"/>
          <w:bCs/>
          <w:sz w:val="26"/>
          <w:szCs w:val="26"/>
        </w:rPr>
      </w:pPr>
      <w:r w:rsidRPr="00C30F6B">
        <w:rPr>
          <w:rFonts w:ascii="Calibri" w:hAnsi="Calibri" w:cs="Arial"/>
          <w:bCs/>
          <w:sz w:val="26"/>
          <w:szCs w:val="26"/>
        </w:rPr>
        <w:t xml:space="preserve">mírné </w:t>
      </w:r>
      <w:r w:rsidRPr="00C30F6B">
        <w:rPr>
          <w:rFonts w:ascii="Calibri" w:hAnsi="Calibri" w:cs="Arial"/>
          <w:b/>
          <w:bCs/>
          <w:sz w:val="26"/>
          <w:szCs w:val="26"/>
        </w:rPr>
        <w:t>zvýšení</w:t>
      </w:r>
      <w:r w:rsidRPr="00C30F6B">
        <w:rPr>
          <w:rFonts w:ascii="Calibri" w:hAnsi="Calibri" w:cs="Arial"/>
          <w:bCs/>
          <w:sz w:val="26"/>
          <w:szCs w:val="26"/>
        </w:rPr>
        <w:t xml:space="preserve"> </w:t>
      </w:r>
      <w:r w:rsidRPr="00C30F6B">
        <w:rPr>
          <w:rFonts w:ascii="Calibri" w:hAnsi="Calibri" w:cs="Arial"/>
          <w:b/>
          <w:bCs/>
          <w:sz w:val="26"/>
          <w:szCs w:val="26"/>
        </w:rPr>
        <w:t>meziodvětvové</w:t>
      </w:r>
      <w:r w:rsidRPr="00C30F6B">
        <w:rPr>
          <w:rFonts w:ascii="Calibri" w:hAnsi="Calibri" w:cs="Arial"/>
          <w:sz w:val="26"/>
          <w:szCs w:val="26"/>
        </w:rPr>
        <w:t xml:space="preserve"> </w:t>
      </w:r>
      <w:r w:rsidRPr="00C30F6B">
        <w:rPr>
          <w:rFonts w:ascii="Calibri" w:hAnsi="Calibri" w:cs="Arial"/>
          <w:bCs/>
          <w:sz w:val="26"/>
          <w:szCs w:val="26"/>
        </w:rPr>
        <w:t xml:space="preserve">a naopak </w:t>
      </w:r>
      <w:r w:rsidRPr="00C30F6B">
        <w:rPr>
          <w:rFonts w:ascii="Calibri" w:hAnsi="Calibri" w:cs="Arial"/>
          <w:b/>
          <w:sz w:val="26"/>
          <w:szCs w:val="26"/>
        </w:rPr>
        <w:t xml:space="preserve">snížení </w:t>
      </w:r>
      <w:r w:rsidRPr="00C30F6B">
        <w:rPr>
          <w:rFonts w:ascii="Calibri" w:hAnsi="Calibri" w:cs="Arial"/>
          <w:b/>
          <w:bCs/>
          <w:sz w:val="26"/>
          <w:szCs w:val="26"/>
        </w:rPr>
        <w:t>územní diferenciace mezd zaměstnanců.</w:t>
      </w:r>
    </w:p>
    <w:p w:rsidR="002E5616" w:rsidRPr="00C30F6B" w:rsidRDefault="002E5616" w:rsidP="002E5616">
      <w:pPr>
        <w:spacing w:after="360" w:line="360" w:lineRule="auto"/>
        <w:jc w:val="both"/>
        <w:rPr>
          <w:rFonts w:ascii="Calibri" w:hAnsi="Calibri" w:cs="Arial"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lastRenderedPageBreak/>
        <w:tab/>
      </w:r>
      <w:r w:rsidRPr="00C30F6B">
        <w:rPr>
          <w:rFonts w:ascii="Calibri" w:hAnsi="Calibri"/>
          <w:bCs/>
          <w:sz w:val="26"/>
          <w:szCs w:val="26"/>
        </w:rPr>
        <w:t xml:space="preserve">Ve srovnání s 1. čtvrtletím 2019 byl (průměrný) nárůst reálné hodnoty mezd ve sledovaném období o 2,5 p. b. nižší a </w:t>
      </w:r>
      <w:r w:rsidRPr="00C30F6B">
        <w:rPr>
          <w:rFonts w:ascii="Calibri" w:hAnsi="Calibri"/>
          <w:b/>
          <w:bCs/>
          <w:sz w:val="26"/>
          <w:szCs w:val="26"/>
        </w:rPr>
        <w:t>došlo tak ke snížení intenzity nárůstu reálné hodnoty mezd. Na nižším posílení kupní síly mezd se</w:t>
      </w:r>
      <w:r w:rsidRPr="00C30F6B">
        <w:rPr>
          <w:rFonts w:ascii="Calibri" w:hAnsi="Calibri"/>
          <w:bCs/>
          <w:sz w:val="26"/>
          <w:szCs w:val="26"/>
        </w:rPr>
        <w:t xml:space="preserve"> v hodnoceném období výrazněji </w:t>
      </w:r>
      <w:r w:rsidRPr="00C30F6B">
        <w:rPr>
          <w:rFonts w:ascii="Calibri" w:hAnsi="Calibri"/>
          <w:b/>
          <w:bCs/>
          <w:sz w:val="26"/>
          <w:szCs w:val="26"/>
        </w:rPr>
        <w:t>podílela i vyšší míra cenové inflace</w:t>
      </w:r>
      <w:r w:rsidRPr="00C30F6B">
        <w:rPr>
          <w:rFonts w:ascii="Calibri" w:hAnsi="Calibri"/>
          <w:bCs/>
          <w:sz w:val="26"/>
          <w:szCs w:val="26"/>
        </w:rPr>
        <w:t xml:space="preserve"> (o 0,9 p. b. vyšší ve srovnání se stejným obdobím předchozího roku; podrobněji viz část 2 materiálu).</w:t>
      </w:r>
      <w:r w:rsidRPr="00C30F6B">
        <w:rPr>
          <w:rFonts w:ascii="Calibri" w:hAnsi="Calibri"/>
          <w:sz w:val="26"/>
          <w:szCs w:val="26"/>
        </w:rPr>
        <w:t xml:space="preserve"> </w:t>
      </w:r>
      <w:r w:rsidRPr="00C30F6B">
        <w:rPr>
          <w:rFonts w:ascii="Calibri" w:hAnsi="Calibri"/>
          <w:b/>
          <w:bCs/>
          <w:sz w:val="26"/>
          <w:szCs w:val="26"/>
        </w:rPr>
        <w:t xml:space="preserve">Nárůst průměrné reálné mzdy byl zaznamenán ve 14 z 19 </w:t>
      </w:r>
      <w:r w:rsidRPr="00C30F6B">
        <w:rPr>
          <w:rFonts w:ascii="Calibri" w:hAnsi="Calibri"/>
          <w:sz w:val="26"/>
          <w:szCs w:val="26"/>
        </w:rPr>
        <w:t xml:space="preserve">sledovaných </w:t>
      </w:r>
      <w:r w:rsidRPr="00C30F6B">
        <w:rPr>
          <w:rFonts w:ascii="Calibri" w:hAnsi="Calibri"/>
          <w:b/>
          <w:bCs/>
          <w:sz w:val="26"/>
          <w:szCs w:val="26"/>
        </w:rPr>
        <w:t>odvětvových agregacích CZ</w:t>
      </w:r>
      <w:r w:rsidRPr="00C30F6B">
        <w:rPr>
          <w:rFonts w:ascii="Calibri" w:hAnsi="Calibri"/>
          <w:b/>
          <w:bCs/>
          <w:sz w:val="26"/>
          <w:szCs w:val="26"/>
        </w:rPr>
        <w:noBreakHyphen/>
        <w:t>NACE a v regionálním členění ve 13 ze 14 krajů</w:t>
      </w:r>
      <w:r w:rsidRPr="00C30F6B">
        <w:rPr>
          <w:rFonts w:ascii="Calibri" w:hAnsi="Calibri"/>
          <w:b/>
          <w:sz w:val="26"/>
          <w:szCs w:val="26"/>
        </w:rPr>
        <w:t xml:space="preserve"> </w:t>
      </w:r>
      <w:r w:rsidRPr="00C30F6B">
        <w:rPr>
          <w:rFonts w:ascii="Calibri" w:hAnsi="Calibri"/>
          <w:sz w:val="26"/>
          <w:szCs w:val="26"/>
        </w:rPr>
        <w:t>(viz dále).</w:t>
      </w:r>
    </w:p>
    <w:p w:rsidR="002E5616" w:rsidRPr="00C30F6B" w:rsidRDefault="002E5616" w:rsidP="002E5616">
      <w:pPr>
        <w:spacing w:after="360" w:line="360" w:lineRule="auto"/>
        <w:jc w:val="both"/>
        <w:rPr>
          <w:rFonts w:ascii="Calibri" w:hAnsi="Calibri" w:cs="Arial"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tab/>
      </w:r>
      <w:r w:rsidRPr="00C30F6B">
        <w:rPr>
          <w:rFonts w:ascii="Calibri" w:hAnsi="Calibri" w:cs="Arial"/>
          <w:b/>
          <w:sz w:val="26"/>
          <w:szCs w:val="26"/>
        </w:rPr>
        <w:t>Přírůstek kupní síly výdělků byl</w:t>
      </w:r>
      <w:r w:rsidRPr="00C30F6B">
        <w:rPr>
          <w:rFonts w:ascii="Calibri" w:hAnsi="Calibri" w:cs="Arial"/>
          <w:sz w:val="26"/>
          <w:szCs w:val="26"/>
        </w:rPr>
        <w:t xml:space="preserve"> v hodnoceném období</w:t>
      </w:r>
      <w:r w:rsidRPr="00C30F6B">
        <w:rPr>
          <w:rFonts w:ascii="Calibri" w:hAnsi="Calibri" w:cs="Arial"/>
          <w:b/>
          <w:sz w:val="26"/>
          <w:szCs w:val="26"/>
        </w:rPr>
        <w:t xml:space="preserve"> vyšší než vykázaná dynamika produktivity práce.</w:t>
      </w:r>
      <w:r w:rsidRPr="00C30F6B">
        <w:rPr>
          <w:rFonts w:ascii="Calibri" w:hAnsi="Calibri" w:cs="Arial"/>
          <w:sz w:val="26"/>
          <w:szCs w:val="26"/>
        </w:rPr>
        <w:t xml:space="preserve"> Dynamika úhrnné </w:t>
      </w:r>
      <w:r w:rsidRPr="00C30F6B">
        <w:rPr>
          <w:rFonts w:ascii="Calibri" w:hAnsi="Calibri" w:cs="Arial"/>
          <w:b/>
          <w:bCs/>
          <w:sz w:val="26"/>
          <w:szCs w:val="26"/>
        </w:rPr>
        <w:t xml:space="preserve">produktivity práce </w:t>
      </w:r>
      <w:r w:rsidRPr="00C30F6B">
        <w:rPr>
          <w:rFonts w:ascii="Calibri" w:hAnsi="Calibri" w:cs="Arial"/>
          <w:sz w:val="26"/>
          <w:szCs w:val="26"/>
        </w:rPr>
        <w:t>(v pojetí hrubého domácího produktu ve stálých cenách na 1 pracovníka v národním hospodářství)</w:t>
      </w:r>
      <w:r w:rsidRPr="00C30F6B">
        <w:rPr>
          <w:rFonts w:ascii="Calibri" w:hAnsi="Calibri" w:cs="Arial"/>
          <w:bCs/>
          <w:sz w:val="26"/>
          <w:szCs w:val="26"/>
        </w:rPr>
        <w:t xml:space="preserve"> </w:t>
      </w:r>
      <w:r w:rsidRPr="00C30F6B">
        <w:rPr>
          <w:rFonts w:ascii="Calibri" w:hAnsi="Calibri" w:cs="Arial"/>
          <w:b/>
          <w:bCs/>
          <w:sz w:val="26"/>
          <w:szCs w:val="26"/>
        </w:rPr>
        <w:t>poklesla</w:t>
      </w:r>
      <w:r w:rsidRPr="00C30F6B">
        <w:rPr>
          <w:rFonts w:ascii="Calibri" w:hAnsi="Calibri" w:cs="Arial"/>
          <w:bCs/>
          <w:sz w:val="26"/>
          <w:szCs w:val="26"/>
        </w:rPr>
        <w:t xml:space="preserve"> meziročně </w:t>
      </w:r>
      <w:r w:rsidRPr="00C30F6B">
        <w:rPr>
          <w:rFonts w:ascii="Calibri" w:hAnsi="Calibri" w:cs="Arial"/>
          <w:b/>
          <w:bCs/>
          <w:sz w:val="26"/>
          <w:szCs w:val="26"/>
        </w:rPr>
        <w:t>o 1,5 %</w:t>
      </w:r>
      <w:r w:rsidRPr="00C30F6B">
        <w:rPr>
          <w:rFonts w:ascii="Calibri" w:hAnsi="Calibri" w:cs="Arial"/>
          <w:bCs/>
          <w:sz w:val="26"/>
          <w:szCs w:val="26"/>
        </w:rPr>
        <w:t xml:space="preserve"> a byla o 2,9 p. b. nižší, než činil nárůst průměrné reálné mzdy –</w:t>
      </w:r>
      <w:r w:rsidRPr="00C30F6B">
        <w:rPr>
          <w:rFonts w:ascii="Calibri" w:hAnsi="Calibri" w:cs="Arial"/>
          <w:sz w:val="26"/>
          <w:szCs w:val="26"/>
        </w:rPr>
        <w:t xml:space="preserve"> viz graf č. 1 v příloze.</w:t>
      </w:r>
    </w:p>
    <w:p w:rsidR="002E5616" w:rsidRPr="00C30F6B" w:rsidRDefault="002E5616" w:rsidP="002E5616">
      <w:pPr>
        <w:spacing w:after="360" w:line="360" w:lineRule="auto"/>
        <w:jc w:val="both"/>
        <w:rPr>
          <w:rFonts w:ascii="Calibri" w:hAnsi="Calibri" w:cs="Arial"/>
          <w:b/>
          <w:bCs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tab/>
      </w:r>
      <w:r w:rsidRPr="00C30F6B">
        <w:rPr>
          <w:rFonts w:ascii="Calibri" w:hAnsi="Calibri"/>
          <w:b/>
          <w:sz w:val="26"/>
          <w:szCs w:val="26"/>
        </w:rPr>
        <w:t xml:space="preserve">Relace </w:t>
      </w:r>
      <w:r w:rsidRPr="00C30F6B">
        <w:rPr>
          <w:rFonts w:ascii="Calibri" w:hAnsi="Calibri"/>
          <w:sz w:val="26"/>
          <w:szCs w:val="26"/>
        </w:rPr>
        <w:t>produktivity práce a mezd</w:t>
      </w:r>
      <w:r w:rsidRPr="00C30F6B">
        <w:rPr>
          <w:rFonts w:ascii="Calibri" w:hAnsi="Calibri"/>
          <w:b/>
          <w:sz w:val="26"/>
          <w:szCs w:val="26"/>
        </w:rPr>
        <w:t xml:space="preserve"> se promítla do </w:t>
      </w:r>
      <w:r w:rsidRPr="00C30F6B">
        <w:rPr>
          <w:rFonts w:ascii="Calibri" w:hAnsi="Calibri"/>
          <w:b/>
          <w:bCs/>
          <w:sz w:val="26"/>
          <w:szCs w:val="26"/>
        </w:rPr>
        <w:t>vývoje jednotkových mzdových nákladů,</w:t>
      </w:r>
      <w:r w:rsidRPr="00C30F6B">
        <w:rPr>
          <w:rFonts w:ascii="Calibri" w:hAnsi="Calibri"/>
          <w:bCs/>
          <w:sz w:val="26"/>
          <w:szCs w:val="26"/>
        </w:rPr>
        <w:t xml:space="preserve"> </w:t>
      </w:r>
      <w:r w:rsidRPr="00C30F6B">
        <w:rPr>
          <w:rFonts w:ascii="Calibri" w:hAnsi="Calibri"/>
          <w:sz w:val="26"/>
          <w:szCs w:val="26"/>
        </w:rPr>
        <w:t>které se v meziročním pohledu za leden </w:t>
      </w:r>
      <w:r w:rsidRPr="00C30F6B">
        <w:rPr>
          <w:rFonts w:ascii="Calibri" w:hAnsi="Calibri"/>
          <w:sz w:val="26"/>
          <w:szCs w:val="26"/>
        </w:rPr>
        <w:noBreakHyphen/>
        <w:t xml:space="preserve"> březen </w:t>
      </w:r>
      <w:r w:rsidRPr="00C30F6B">
        <w:rPr>
          <w:rFonts w:ascii="Calibri" w:hAnsi="Calibri"/>
          <w:b/>
          <w:sz w:val="26"/>
          <w:szCs w:val="26"/>
        </w:rPr>
        <w:t xml:space="preserve">zvýšily </w:t>
      </w:r>
      <w:r w:rsidRPr="00C30F6B">
        <w:rPr>
          <w:rFonts w:ascii="Calibri" w:hAnsi="Calibri" w:cs="Arial"/>
          <w:b/>
          <w:bCs/>
          <w:sz w:val="26"/>
          <w:szCs w:val="26"/>
        </w:rPr>
        <w:t xml:space="preserve">nominálně o 6,6 % a reálně o 2,9 %. Nárůst mezd však nepředstavoval významnější riziko </w:t>
      </w:r>
      <w:r w:rsidRPr="00C30F6B">
        <w:rPr>
          <w:rFonts w:ascii="Calibri" w:hAnsi="Calibri" w:cs="Arial"/>
          <w:bCs/>
          <w:sz w:val="26"/>
          <w:szCs w:val="26"/>
        </w:rPr>
        <w:t>z pohledu</w:t>
      </w:r>
      <w:r w:rsidRPr="00C30F6B">
        <w:rPr>
          <w:rFonts w:ascii="Calibri" w:hAnsi="Calibri" w:cs="Arial"/>
          <w:b/>
          <w:bCs/>
          <w:sz w:val="26"/>
          <w:szCs w:val="26"/>
        </w:rPr>
        <w:t xml:space="preserve"> udržení konkurenceschopnosti tuzemské produkce.</w:t>
      </w:r>
    </w:p>
    <w:p w:rsidR="002E5616" w:rsidRPr="00C30F6B" w:rsidRDefault="002E5616" w:rsidP="002E5616">
      <w:pPr>
        <w:spacing w:after="360" w:line="360" w:lineRule="auto"/>
        <w:jc w:val="both"/>
        <w:rPr>
          <w:rFonts w:ascii="Calibri" w:hAnsi="Calibri" w:cs="Arial"/>
          <w:b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tab/>
      </w:r>
      <w:r w:rsidRPr="00C30F6B">
        <w:rPr>
          <w:rFonts w:ascii="Calibri" w:hAnsi="Calibri"/>
          <w:b/>
          <w:bCs/>
          <w:sz w:val="26"/>
          <w:szCs w:val="26"/>
        </w:rPr>
        <w:t xml:space="preserve">Reálná hodnota objemu mzdových prostředků </w:t>
      </w:r>
      <w:r w:rsidRPr="00C30F6B">
        <w:rPr>
          <w:rFonts w:ascii="Calibri" w:hAnsi="Calibri"/>
          <w:sz w:val="26"/>
          <w:szCs w:val="26"/>
        </w:rPr>
        <w:t>zúčtovaných k výplatě</w:t>
      </w:r>
      <w:r w:rsidRPr="00C30F6B">
        <w:rPr>
          <w:rFonts w:ascii="Calibri" w:hAnsi="Calibri"/>
          <w:b/>
          <w:sz w:val="26"/>
          <w:szCs w:val="26"/>
        </w:rPr>
        <w:t xml:space="preserve"> </w:t>
      </w:r>
      <w:r w:rsidRPr="00C30F6B">
        <w:rPr>
          <w:rFonts w:ascii="Calibri" w:hAnsi="Calibri"/>
          <w:b/>
          <w:bCs/>
          <w:sz w:val="26"/>
          <w:szCs w:val="26"/>
        </w:rPr>
        <w:t xml:space="preserve">vzrostla </w:t>
      </w:r>
      <w:r w:rsidRPr="00C30F6B">
        <w:rPr>
          <w:rFonts w:ascii="Calibri" w:hAnsi="Calibri"/>
          <w:sz w:val="26"/>
          <w:szCs w:val="26"/>
        </w:rPr>
        <w:t>oproti 1. čtvrtletí 2019</w:t>
      </w:r>
      <w:r w:rsidRPr="00C30F6B">
        <w:rPr>
          <w:rFonts w:ascii="Calibri" w:hAnsi="Calibri"/>
          <w:b/>
          <w:bCs/>
          <w:sz w:val="26"/>
          <w:szCs w:val="26"/>
        </w:rPr>
        <w:t xml:space="preserve"> o 0,5 %, mzdová náročnost HDP</w:t>
      </w:r>
      <w:r w:rsidRPr="00C30F6B">
        <w:rPr>
          <w:rFonts w:ascii="Calibri" w:hAnsi="Calibri"/>
          <w:b/>
          <w:sz w:val="26"/>
          <w:szCs w:val="26"/>
        </w:rPr>
        <w:t xml:space="preserve"> </w:t>
      </w:r>
      <w:r w:rsidRPr="00C30F6B">
        <w:rPr>
          <w:rFonts w:ascii="Calibri" w:hAnsi="Calibri"/>
          <w:sz w:val="26"/>
          <w:szCs w:val="26"/>
        </w:rPr>
        <w:t xml:space="preserve">(relace objemu mzdových prostředků k objemu hrubého domácího produktu v běžných cenách) </w:t>
      </w:r>
      <w:r w:rsidRPr="00C30F6B">
        <w:rPr>
          <w:rFonts w:ascii="Calibri" w:hAnsi="Calibri"/>
          <w:b/>
          <w:sz w:val="26"/>
          <w:szCs w:val="26"/>
        </w:rPr>
        <w:t xml:space="preserve">se </w:t>
      </w:r>
      <w:r w:rsidRPr="00C30F6B">
        <w:rPr>
          <w:rFonts w:ascii="Calibri" w:hAnsi="Calibri"/>
          <w:sz w:val="26"/>
          <w:szCs w:val="26"/>
        </w:rPr>
        <w:t xml:space="preserve">ve stejném porovnání </w:t>
      </w:r>
      <w:r w:rsidRPr="00C30F6B">
        <w:rPr>
          <w:rFonts w:ascii="Calibri" w:hAnsi="Calibri"/>
          <w:b/>
          <w:sz w:val="26"/>
          <w:szCs w:val="26"/>
        </w:rPr>
        <w:t>zvýšila</w:t>
      </w:r>
      <w:r w:rsidRPr="00C30F6B">
        <w:rPr>
          <w:rFonts w:ascii="Calibri" w:hAnsi="Calibri"/>
          <w:sz w:val="26"/>
          <w:szCs w:val="26"/>
        </w:rPr>
        <w:t xml:space="preserve"> o 0,7 p. b. </w:t>
      </w:r>
      <w:r w:rsidRPr="00C30F6B">
        <w:rPr>
          <w:rFonts w:ascii="Calibri" w:hAnsi="Calibri"/>
          <w:b/>
          <w:sz w:val="26"/>
          <w:szCs w:val="26"/>
        </w:rPr>
        <w:t>na 28,7 %.</w:t>
      </w:r>
    </w:p>
    <w:p w:rsidR="002E5616" w:rsidRPr="00C30F6B" w:rsidRDefault="002E5616" w:rsidP="002E5616">
      <w:pPr>
        <w:spacing w:after="600"/>
        <w:ind w:left="709"/>
        <w:jc w:val="both"/>
        <w:rPr>
          <w:rFonts w:ascii="Calibri" w:hAnsi="Calibri" w:cs="Arial"/>
          <w:bCs/>
          <w:sz w:val="26"/>
          <w:szCs w:val="26"/>
        </w:rPr>
      </w:pPr>
      <w:r w:rsidRPr="00C30F6B">
        <w:rPr>
          <w:rFonts w:ascii="Calibri" w:hAnsi="Calibri" w:cs="Arial"/>
          <w:iCs/>
          <w:sz w:val="26"/>
          <w:szCs w:val="26"/>
        </w:rPr>
        <w:t xml:space="preserve">Část mezd, které svým zaměstnancům dlužili zaměstnavatelé v platební neschopnosti, </w:t>
      </w:r>
      <w:r w:rsidRPr="00C30F6B">
        <w:rPr>
          <w:rFonts w:ascii="Calibri" w:hAnsi="Calibri" w:cs="Arial"/>
          <w:sz w:val="26"/>
          <w:szCs w:val="26"/>
        </w:rPr>
        <w:t xml:space="preserve">jim byla vyplacena Úřadem práce ČR </w:t>
      </w:r>
      <w:r w:rsidRPr="00C30F6B">
        <w:rPr>
          <w:rFonts w:ascii="Calibri" w:hAnsi="Calibri" w:cs="Arial"/>
          <w:b/>
          <w:bCs/>
          <w:sz w:val="26"/>
          <w:szCs w:val="26"/>
        </w:rPr>
        <w:t xml:space="preserve">na základě zákona </w:t>
      </w:r>
      <w:r w:rsidRPr="00C30F6B">
        <w:rPr>
          <w:rFonts w:ascii="Calibri" w:hAnsi="Calibri" w:cs="Arial"/>
          <w:sz w:val="26"/>
          <w:szCs w:val="26"/>
        </w:rPr>
        <w:t xml:space="preserve">č. 118/2000 Sb., </w:t>
      </w:r>
      <w:r w:rsidRPr="00C30F6B">
        <w:rPr>
          <w:rFonts w:ascii="Calibri" w:hAnsi="Calibri" w:cs="Arial"/>
          <w:b/>
          <w:bCs/>
          <w:sz w:val="26"/>
          <w:szCs w:val="26"/>
        </w:rPr>
        <w:t xml:space="preserve">o ochraně zaměstnanců při platební neschopnosti zaměstnavatele </w:t>
      </w:r>
      <w:r w:rsidRPr="00C30F6B">
        <w:rPr>
          <w:rFonts w:ascii="Calibri" w:hAnsi="Calibri" w:cs="Arial"/>
          <w:sz w:val="26"/>
          <w:szCs w:val="26"/>
        </w:rPr>
        <w:t xml:space="preserve">a o změně některých zákonů, ve znění pozdějších předpisů. </w:t>
      </w:r>
      <w:r w:rsidRPr="00C30F6B">
        <w:rPr>
          <w:rFonts w:ascii="Calibri" w:hAnsi="Calibri" w:cs="Arial"/>
          <w:bCs/>
          <w:sz w:val="26"/>
          <w:szCs w:val="26"/>
        </w:rPr>
        <w:t xml:space="preserve">Celkem bylo takto </w:t>
      </w:r>
      <w:r w:rsidRPr="00C30F6B">
        <w:rPr>
          <w:rFonts w:ascii="Calibri" w:hAnsi="Calibri" w:cs="Arial"/>
          <w:b/>
          <w:sz w:val="26"/>
          <w:szCs w:val="26"/>
        </w:rPr>
        <w:t xml:space="preserve">k 31. 3. 2020 poskytnuto 62,4 mil. Kč </w:t>
      </w:r>
      <w:r w:rsidRPr="00C30F6B">
        <w:rPr>
          <w:rFonts w:ascii="Calibri" w:hAnsi="Calibri" w:cs="Arial"/>
          <w:bCs/>
          <w:sz w:val="26"/>
          <w:szCs w:val="26"/>
        </w:rPr>
        <w:t>(o 23,4 mil. Kč méně než k 31. 3. 2019), z toho nejvíce v hl. m. Praze (30,2 mil. Kč), ve Středočeském kraji (13,4 mil. Kč), Olomouckém kraji (8,9 mil. Kč), Jihomoravském kraji (3,3 mil. Kč), Ústeckém kraji (2,5 mil. Kč) a Zlínském kraji (2,2 mil. Kč).</w:t>
      </w:r>
    </w:p>
    <w:p w:rsidR="002E5616" w:rsidRPr="00C30F6B" w:rsidRDefault="002E5616" w:rsidP="002E5616">
      <w:pPr>
        <w:spacing w:after="360" w:line="360" w:lineRule="auto"/>
        <w:jc w:val="both"/>
        <w:rPr>
          <w:rFonts w:ascii="Calibri" w:hAnsi="Calibri"/>
          <w:bCs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lastRenderedPageBreak/>
        <w:tab/>
      </w:r>
      <w:r w:rsidRPr="00C30F6B">
        <w:rPr>
          <w:rFonts w:ascii="Calibri" w:hAnsi="Calibri"/>
          <w:sz w:val="26"/>
          <w:szCs w:val="26"/>
        </w:rPr>
        <w:t xml:space="preserve">Vývoj </w:t>
      </w:r>
      <w:r w:rsidRPr="00C30F6B">
        <w:rPr>
          <w:rFonts w:ascii="Calibri" w:hAnsi="Calibri"/>
          <w:b/>
          <w:bCs/>
          <w:sz w:val="26"/>
          <w:szCs w:val="26"/>
        </w:rPr>
        <w:t>průměrného platu v odvětvích tzv. veřejné služby a správy</w:t>
      </w:r>
      <w:r w:rsidRPr="00C30F6B">
        <w:rPr>
          <w:rFonts w:ascii="Calibri" w:hAnsi="Calibri"/>
          <w:bCs/>
          <w:sz w:val="26"/>
          <w:szCs w:val="26"/>
        </w:rPr>
        <w:t xml:space="preserve"> </w:t>
      </w:r>
      <w:r w:rsidRPr="00C30F6B">
        <w:rPr>
          <w:rFonts w:ascii="Calibri" w:hAnsi="Calibri"/>
          <w:b/>
          <w:bCs/>
          <w:sz w:val="26"/>
          <w:szCs w:val="26"/>
        </w:rPr>
        <w:t>byl v 1. čtvrtletí 2020</w:t>
      </w:r>
      <w:r w:rsidRPr="00C30F6B">
        <w:rPr>
          <w:rFonts w:ascii="Calibri" w:hAnsi="Calibri"/>
          <w:bCs/>
          <w:sz w:val="26"/>
          <w:szCs w:val="26"/>
        </w:rPr>
        <w:t xml:space="preserve"> </w:t>
      </w:r>
      <w:r w:rsidRPr="00C30F6B">
        <w:rPr>
          <w:rFonts w:ascii="Calibri" w:hAnsi="Calibri"/>
          <w:b/>
          <w:bCs/>
          <w:sz w:val="26"/>
          <w:szCs w:val="26"/>
        </w:rPr>
        <w:t>příznivě ovlivněn zvýšením platových tarifů</w:t>
      </w:r>
      <w:r w:rsidRPr="00C30F6B">
        <w:rPr>
          <w:rFonts w:ascii="Calibri" w:hAnsi="Calibri"/>
          <w:sz w:val="26"/>
          <w:szCs w:val="26"/>
        </w:rPr>
        <w:t xml:space="preserve"> (plošně o 1 500 Kč) a dále ještě navíc zrušením „1. platové tabulky“ u nejhůře odměňovaných zaměstnanců a jejich přesunutím do lépe honorované „2. platové tabulky“</w:t>
      </w:r>
      <w:r w:rsidRPr="00C30F6B">
        <w:rPr>
          <w:rFonts w:ascii="Calibri" w:hAnsi="Calibri"/>
          <w:bCs/>
          <w:sz w:val="26"/>
          <w:szCs w:val="26"/>
        </w:rPr>
        <w:t>, ke kterému došlo u zaměstnanců od 1. ledna letošního roku.</w:t>
      </w:r>
      <w:r w:rsidRPr="00C30F6B">
        <w:rPr>
          <w:rFonts w:cs="Arial"/>
          <w:bCs/>
        </w:rPr>
        <w:t xml:space="preserve"> </w:t>
      </w:r>
      <w:r w:rsidRPr="00C30F6B">
        <w:rPr>
          <w:rFonts w:ascii="Calibri" w:hAnsi="Calibri"/>
          <w:bCs/>
          <w:sz w:val="26"/>
          <w:szCs w:val="26"/>
        </w:rPr>
        <w:t xml:space="preserve">Nejvyšší meziroční </w:t>
      </w:r>
      <w:r w:rsidRPr="00C30F6B">
        <w:rPr>
          <w:rFonts w:ascii="Calibri" w:hAnsi="Calibri"/>
          <w:b/>
          <w:bCs/>
          <w:sz w:val="26"/>
          <w:szCs w:val="26"/>
        </w:rPr>
        <w:t xml:space="preserve">vzestup průměrného </w:t>
      </w:r>
      <w:r w:rsidRPr="00C30F6B">
        <w:rPr>
          <w:rFonts w:ascii="Calibri" w:hAnsi="Calibri"/>
          <w:bCs/>
          <w:sz w:val="26"/>
          <w:szCs w:val="26"/>
        </w:rPr>
        <w:t>nominálního</w:t>
      </w:r>
      <w:r w:rsidRPr="00C30F6B">
        <w:rPr>
          <w:rFonts w:ascii="Calibri" w:hAnsi="Calibri"/>
          <w:b/>
          <w:bCs/>
          <w:sz w:val="26"/>
          <w:szCs w:val="26"/>
        </w:rPr>
        <w:t xml:space="preserve"> výdělku </w:t>
      </w:r>
      <w:r w:rsidRPr="00C30F6B">
        <w:rPr>
          <w:rFonts w:ascii="Calibri" w:hAnsi="Calibri"/>
          <w:bCs/>
          <w:sz w:val="26"/>
          <w:szCs w:val="26"/>
        </w:rPr>
        <w:t>byl zaznamenán</w:t>
      </w:r>
      <w:r w:rsidRPr="00C30F6B">
        <w:rPr>
          <w:rFonts w:ascii="Calibri" w:hAnsi="Calibri"/>
          <w:b/>
          <w:bCs/>
          <w:sz w:val="26"/>
          <w:szCs w:val="26"/>
        </w:rPr>
        <w:t xml:space="preserve"> v odvětvích „vzdělávání“</w:t>
      </w:r>
      <w:r w:rsidRPr="00C30F6B">
        <w:rPr>
          <w:rFonts w:ascii="Calibri" w:hAnsi="Calibri"/>
          <w:bCs/>
          <w:sz w:val="26"/>
          <w:szCs w:val="26"/>
        </w:rPr>
        <w:t xml:space="preserve"> (o 7,0 %) a</w:t>
      </w:r>
      <w:r w:rsidRPr="00C30F6B">
        <w:rPr>
          <w:rFonts w:ascii="Calibri" w:hAnsi="Calibri"/>
          <w:b/>
          <w:bCs/>
          <w:sz w:val="26"/>
          <w:szCs w:val="26"/>
        </w:rPr>
        <w:t xml:space="preserve"> „zdravotní a sociální péče“</w:t>
      </w:r>
      <w:r w:rsidRPr="00C30F6B">
        <w:rPr>
          <w:rFonts w:ascii="Calibri" w:hAnsi="Calibri"/>
          <w:bCs/>
          <w:sz w:val="26"/>
          <w:szCs w:val="26"/>
        </w:rPr>
        <w:t xml:space="preserve"> (o 5,2 %).</w:t>
      </w:r>
      <w:r w:rsidRPr="00C30F6B">
        <w:rPr>
          <w:rFonts w:cs="Arial"/>
          <w:bCs/>
        </w:rPr>
        <w:t xml:space="preserve"> </w:t>
      </w:r>
      <w:r w:rsidRPr="00C30F6B">
        <w:rPr>
          <w:rFonts w:ascii="Calibri" w:hAnsi="Calibri"/>
          <w:bCs/>
          <w:sz w:val="26"/>
          <w:szCs w:val="26"/>
        </w:rPr>
        <w:t xml:space="preserve">Pokles průměrného nominálního platu vykázalo v souhrnu odvětví </w:t>
      </w:r>
      <w:r w:rsidRPr="00C30F6B">
        <w:rPr>
          <w:rFonts w:ascii="Calibri" w:hAnsi="Calibri"/>
          <w:b/>
          <w:bCs/>
          <w:sz w:val="26"/>
          <w:szCs w:val="26"/>
        </w:rPr>
        <w:t>„kulturní zábavní a sportovní činnosti“</w:t>
      </w:r>
      <w:r w:rsidRPr="00C30F6B">
        <w:rPr>
          <w:rFonts w:ascii="Calibri" w:hAnsi="Calibri"/>
          <w:bCs/>
          <w:sz w:val="26"/>
          <w:szCs w:val="26"/>
        </w:rPr>
        <w:t xml:space="preserve"> (o 3,8 %) – podrobně viz tabulku č. 4 v příloze.</w:t>
      </w:r>
    </w:p>
    <w:p w:rsidR="002E5616" w:rsidRPr="00C30F6B" w:rsidRDefault="002E5616" w:rsidP="002E5616">
      <w:pPr>
        <w:spacing w:after="120" w:line="360" w:lineRule="auto"/>
        <w:jc w:val="both"/>
        <w:rPr>
          <w:rFonts w:ascii="Calibri" w:hAnsi="Calibri" w:cs="Arial"/>
          <w:b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tab/>
      </w:r>
      <w:r w:rsidRPr="00C30F6B">
        <w:rPr>
          <w:rFonts w:ascii="Calibri" w:hAnsi="Calibri" w:cs="Arial"/>
          <w:b/>
          <w:sz w:val="26"/>
          <w:szCs w:val="26"/>
        </w:rPr>
        <w:t xml:space="preserve">Na tempo růstu </w:t>
      </w:r>
      <w:r w:rsidRPr="00C30F6B">
        <w:rPr>
          <w:rFonts w:ascii="Calibri" w:hAnsi="Calibri" w:cs="Arial"/>
          <w:sz w:val="26"/>
          <w:szCs w:val="26"/>
        </w:rPr>
        <w:t>průměrné mzdy</w:t>
      </w:r>
      <w:r w:rsidRPr="00C30F6B">
        <w:rPr>
          <w:rFonts w:ascii="Calibri" w:hAnsi="Calibri" w:cs="Arial"/>
          <w:b/>
          <w:sz w:val="26"/>
          <w:szCs w:val="26"/>
        </w:rPr>
        <w:t xml:space="preserve"> v soukromé sféře působily v 1. čtvrtletí </w:t>
      </w:r>
      <w:r w:rsidRPr="00C30F6B">
        <w:rPr>
          <w:rFonts w:ascii="Calibri" w:hAnsi="Calibri" w:cs="Arial"/>
          <w:bCs/>
          <w:sz w:val="26"/>
          <w:szCs w:val="26"/>
        </w:rPr>
        <w:t>především</w:t>
      </w:r>
      <w:r w:rsidRPr="00C30F6B">
        <w:rPr>
          <w:rFonts w:ascii="Calibri" w:hAnsi="Calibri" w:cs="Arial"/>
          <w:b/>
          <w:sz w:val="26"/>
          <w:szCs w:val="26"/>
        </w:rPr>
        <w:t xml:space="preserve"> tyto </w:t>
      </w:r>
      <w:r w:rsidRPr="00C30F6B">
        <w:rPr>
          <w:rFonts w:ascii="Calibri" w:hAnsi="Calibri" w:cs="Arial"/>
          <w:bCs/>
          <w:sz w:val="26"/>
          <w:szCs w:val="26"/>
        </w:rPr>
        <w:t>základní</w:t>
      </w:r>
      <w:r w:rsidRPr="00C30F6B">
        <w:rPr>
          <w:rFonts w:ascii="Calibri" w:hAnsi="Calibri" w:cs="Arial"/>
          <w:b/>
          <w:sz w:val="26"/>
          <w:szCs w:val="26"/>
        </w:rPr>
        <w:t xml:space="preserve"> faktory:</w:t>
      </w:r>
    </w:p>
    <w:p w:rsidR="002E5616" w:rsidRPr="00C30F6B" w:rsidRDefault="002E5616" w:rsidP="002E5616">
      <w:pPr>
        <w:numPr>
          <w:ilvl w:val="0"/>
          <w:numId w:val="42"/>
        </w:numPr>
        <w:spacing w:after="120" w:line="360" w:lineRule="auto"/>
        <w:jc w:val="both"/>
        <w:rPr>
          <w:rFonts w:ascii="Calibri" w:hAnsi="Calibri" w:cs="Arial"/>
          <w:sz w:val="26"/>
          <w:szCs w:val="26"/>
        </w:rPr>
      </w:pPr>
      <w:r w:rsidRPr="00C30F6B">
        <w:rPr>
          <w:rFonts w:ascii="Calibri" w:hAnsi="Calibri" w:cs="Arial"/>
          <w:b/>
          <w:bCs/>
          <w:sz w:val="26"/>
          <w:szCs w:val="26"/>
        </w:rPr>
        <w:t>poptávka po vhodné pracovní síle</w:t>
      </w:r>
      <w:r w:rsidRPr="00C30F6B">
        <w:rPr>
          <w:rFonts w:ascii="Calibri" w:hAnsi="Calibri" w:cs="Arial"/>
          <w:bCs/>
          <w:sz w:val="26"/>
          <w:szCs w:val="26"/>
        </w:rPr>
        <w:t xml:space="preserve"> a mzdová konkurence mezi zaměstnavateli,</w:t>
      </w:r>
    </w:p>
    <w:p w:rsidR="002E5616" w:rsidRPr="00C30F6B" w:rsidRDefault="002E5616" w:rsidP="002E5616">
      <w:pPr>
        <w:numPr>
          <w:ilvl w:val="0"/>
          <w:numId w:val="42"/>
        </w:numPr>
        <w:spacing w:after="480" w:line="360" w:lineRule="auto"/>
        <w:ind w:left="714" w:hanging="357"/>
        <w:jc w:val="both"/>
        <w:rPr>
          <w:rFonts w:ascii="Calibri" w:hAnsi="Calibri" w:cs="Arial"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t xml:space="preserve">pokles zaměstnanosti a </w:t>
      </w:r>
      <w:r w:rsidRPr="00C30F6B">
        <w:rPr>
          <w:rFonts w:ascii="Calibri" w:hAnsi="Calibri" w:cs="Arial"/>
          <w:b/>
          <w:sz w:val="26"/>
          <w:szCs w:val="26"/>
        </w:rPr>
        <w:t>stagnace nezaměstnanosti;</w:t>
      </w:r>
      <w:r w:rsidRPr="00C30F6B">
        <w:rPr>
          <w:rFonts w:ascii="Calibri" w:hAnsi="Calibri" w:cs="Arial"/>
          <w:sz w:val="26"/>
          <w:szCs w:val="26"/>
        </w:rPr>
        <w:t xml:space="preserve"> </w:t>
      </w:r>
      <w:r w:rsidRPr="00C30F6B">
        <w:rPr>
          <w:rFonts w:ascii="Calibri" w:hAnsi="Calibri" w:cs="Arial"/>
          <w:b/>
          <w:sz w:val="26"/>
          <w:szCs w:val="26"/>
        </w:rPr>
        <w:t>podíl nezaměstnaných osob</w:t>
      </w:r>
      <w:r w:rsidRPr="00C30F6B">
        <w:rPr>
          <w:rFonts w:ascii="Calibri" w:hAnsi="Calibri" w:cs="Arial"/>
          <w:b/>
          <w:bCs/>
          <w:sz w:val="26"/>
          <w:szCs w:val="26"/>
        </w:rPr>
        <w:t xml:space="preserve"> k 31. březnu 2020 činil 3,0 % </w:t>
      </w:r>
      <w:r w:rsidRPr="00C30F6B">
        <w:rPr>
          <w:rFonts w:ascii="Calibri" w:hAnsi="Calibri" w:cs="Arial"/>
          <w:bCs/>
          <w:sz w:val="26"/>
          <w:szCs w:val="26"/>
        </w:rPr>
        <w:t>(k 31. březnu 2019 rovněž 3,0 %).</w:t>
      </w:r>
    </w:p>
    <w:p w:rsidR="002E5616" w:rsidRPr="00C30F6B" w:rsidRDefault="002E5616" w:rsidP="002E5616">
      <w:pPr>
        <w:spacing w:after="720"/>
        <w:ind w:left="709"/>
        <w:jc w:val="both"/>
      </w:pPr>
      <w:r w:rsidRPr="00C30F6B">
        <w:rPr>
          <w:rFonts w:ascii="Calibri" w:hAnsi="Calibri" w:cs="Arial"/>
          <w:sz w:val="26"/>
          <w:szCs w:val="26"/>
        </w:rPr>
        <w:t xml:space="preserve">Ze statistik o </w:t>
      </w:r>
      <w:r w:rsidRPr="00C30F6B">
        <w:rPr>
          <w:rFonts w:ascii="Calibri" w:hAnsi="Calibri" w:cs="Arial"/>
          <w:b/>
          <w:bCs/>
          <w:sz w:val="26"/>
          <w:szCs w:val="26"/>
        </w:rPr>
        <w:t>průměrném evidenčním počtu zaměstnanců</w:t>
      </w:r>
      <w:r w:rsidRPr="00C30F6B">
        <w:rPr>
          <w:rFonts w:ascii="Calibri" w:hAnsi="Calibri" w:cs="Arial"/>
          <w:bCs/>
          <w:sz w:val="26"/>
          <w:szCs w:val="26"/>
        </w:rPr>
        <w:t xml:space="preserve"> na přepočtené počty (dle Podnikové statistiky o mzdách a zaměstnancích, jedná se o druhý nejvýznamnější zdroj dat, který se však liší od Výběrových šetření pracovních sil) je patrný </w:t>
      </w:r>
      <w:r w:rsidRPr="00C30F6B">
        <w:rPr>
          <w:rFonts w:ascii="Calibri" w:hAnsi="Calibri" w:cs="Arial"/>
          <w:bCs/>
          <w:iCs/>
          <w:sz w:val="26"/>
          <w:szCs w:val="26"/>
        </w:rPr>
        <w:t>celkový meziroční pokles zaměstnanců (o 35,0 tis.). Pokles zaměstnanosti byl v hodnoceném období zaznamenán již v 10 odvětvích; z nich nejvíce v klíčovém odvětví „zpracovatelský průmysl“ (o 38,6 tis., tj. o 3,3 %) a dále v odvětvích „administrativní a podpůrné činnosti“ (o 12,6 tis.), „doprava a skladování“ (o 5,5 tis.) a „ubytování, stravování a pohostinství“ (o 5,2 tis.). Největší nárůst zaměstnanců byl vykázán v odvětví „vzdělávání“ (o 12,5 tis., tj. o 4,2 %), dále pak v odvětví „činnosti v oblasti nemovitostí“ (o 9,7 tis.) a v odvětví „zdravotní a sociální péče“ (o 3,7 tis.).</w:t>
      </w:r>
    </w:p>
    <w:p w:rsidR="002E5616" w:rsidRPr="00C30F6B" w:rsidRDefault="002E5616" w:rsidP="002E5616">
      <w:pPr>
        <w:spacing w:after="240" w:line="360" w:lineRule="auto"/>
        <w:jc w:val="both"/>
        <w:rPr>
          <w:rFonts w:ascii="Calibri" w:hAnsi="Calibri" w:cs="Arial"/>
          <w:bCs/>
          <w:iCs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tab/>
      </w:r>
      <w:r w:rsidRPr="00C30F6B">
        <w:rPr>
          <w:rFonts w:ascii="Calibri" w:hAnsi="Calibri" w:cs="Arial"/>
          <w:bCs/>
          <w:iCs/>
          <w:sz w:val="26"/>
          <w:szCs w:val="26"/>
        </w:rPr>
        <w:t>Z hlediska odvětvového členění (podle Klasifikace ekonomických činností CZ</w:t>
      </w:r>
      <w:r w:rsidRPr="00C30F6B">
        <w:rPr>
          <w:rFonts w:ascii="Calibri" w:hAnsi="Calibri" w:cs="Arial"/>
          <w:bCs/>
          <w:iCs/>
          <w:sz w:val="26"/>
          <w:szCs w:val="26"/>
        </w:rPr>
        <w:noBreakHyphen/>
        <w:t xml:space="preserve">NACE – viz tabulku č. 5 v příloze)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dosáhlo v 1. čtvrtletí 2020 nejvyšší nominální průměrné mzdy odvětví „informační a komunikační činnosti“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(63 521 Kč),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 xml:space="preserve">odvětví „peněžnictví a pojišťovnictví“ 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(60 595 Kč),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 xml:space="preserve">odvětví „výroba a rozvod elektřiny, plynu,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lastRenderedPageBreak/>
        <w:t>tepla a klimatizovaného vzduchu“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(56 778 Kč) a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odvětví „profesní, vědecké a technické činnosti“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(40 928 Kč). Celorepublikový průměr (34 077 Kč) byl překročen rovněž v odvětvích „veřejná správa a obrana; povinné sociální zabezpečení“ (37 966 Kč), „těžba a dobývání“ (36 010 Kč) a „zdravotní a sociální péče“ (35 927 Kč).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Nejnižší průměrná mzda byla v odvětvích „ubytování, stravování a pohostinství“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(20 316 Kč),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„administrativní a podpůrné činnosti“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(24 080 Kč) a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„ostatní činnosti“</w:t>
      </w:r>
      <w:r w:rsidRPr="00C30F6B">
        <w:rPr>
          <w:rFonts w:ascii="Calibri" w:hAnsi="Calibri" w:cs="Arial"/>
          <w:bCs/>
          <w:iCs/>
          <w:sz w:val="26"/>
          <w:szCs w:val="26"/>
        </w:rPr>
        <w:t> (24 492 Kč) – tj. např. činnosti podnikatelských, zaměstnavatelských a profesních organizací a odborových svazů, opravy počítačů a komunikačních zařízení a výrobků pro osobní potřebu, praní a chemické čištění, kadeřnické, kosmetické činnosti, pohřební služby apod.</w:t>
      </w:r>
    </w:p>
    <w:p w:rsidR="002E5616" w:rsidRPr="00C30F6B" w:rsidRDefault="002E5616" w:rsidP="002E5616">
      <w:pPr>
        <w:spacing w:after="240" w:line="360" w:lineRule="auto"/>
        <w:jc w:val="both"/>
        <w:rPr>
          <w:rFonts w:ascii="Calibri" w:hAnsi="Calibri" w:cs="Arial"/>
          <w:bCs/>
          <w:iCs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tab/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Dynamika průměrné nominální mzdy v jednotlivých odvětvích byla značně diferencovaná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, a to od více než dvojnásobně vyššího nárůstu v porovnání s celorepublikovým průměrem až po pokles průměrné nominální mzdy zaznamenaný ve dvou odvětvích národního hospodářství.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Nejvyšší nárůst průměrné mzdy byl vykázán v odvětvích „administrativní a podpůrné činnosti“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(nominálně o 11,8 %, reálně o 7,9 %),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 xml:space="preserve"> „výroba a rozvod elektřiny, plynu, tepla a klimatizovaného vzduchu“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(nominálně o 10,8 % a reálně o 6,9 %),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„zemědělství, lesnictví a rybářství“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(nominálně o 7,4 %, reálně o 3,7 %),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„informační a komunikační činnosti“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(nominálně o 7,1 %, reálně o 3,4 %) a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„vzdělávání“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(nominálně o 7,0 %, reálně o 3,3 %).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 xml:space="preserve">Naopak pokles průměrné mzdy byl 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zaznamenán v odvětvích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 xml:space="preserve">„činnosti v oblasti nemovitostí“ 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(nominálně o 6,5 %, reálně o 9,7 %),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 xml:space="preserve">„kulturní, zábavní a rekreační činnosti“ 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(nominálně o 3,8 %, reálně o 7,1 %)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a nejnižší nárůst průměrné mzdy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v odvětvích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„peněžnictví a pojišťovnictví“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(nominálně o 1,8 %, reálně pokles o 1,7 %),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„ostatní činnosti“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(nominálně o 2,7 %, reálně pokles o 0,9 %) a </w:t>
      </w:r>
      <w:r w:rsidRPr="00C30F6B">
        <w:rPr>
          <w:rFonts w:ascii="Calibri" w:hAnsi="Calibri" w:cs="Arial"/>
          <w:b/>
          <w:bCs/>
          <w:iCs/>
          <w:sz w:val="26"/>
          <w:szCs w:val="26"/>
        </w:rPr>
        <w:t>„profesní, vědecké a technické činnosti“</w:t>
      </w:r>
      <w:r w:rsidRPr="00C30F6B">
        <w:rPr>
          <w:rFonts w:ascii="Calibri" w:hAnsi="Calibri" w:cs="Arial"/>
          <w:bCs/>
          <w:iCs/>
          <w:sz w:val="26"/>
          <w:szCs w:val="26"/>
        </w:rPr>
        <w:t xml:space="preserve"> (nominálně o 3,2 %, reálně pokles o 0,4 %).</w:t>
      </w:r>
    </w:p>
    <w:p w:rsidR="002E5616" w:rsidRPr="00C30F6B" w:rsidRDefault="002E5616" w:rsidP="002E5616">
      <w:pPr>
        <w:spacing w:after="240" w:line="360" w:lineRule="auto"/>
        <w:jc w:val="both"/>
        <w:rPr>
          <w:rFonts w:ascii="Calibri" w:hAnsi="Calibri" w:cs="Arial"/>
          <w:bCs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tab/>
      </w:r>
      <w:r w:rsidRPr="00C30F6B">
        <w:rPr>
          <w:rFonts w:ascii="Calibri" w:hAnsi="Calibri" w:cs="Arial"/>
          <w:b/>
          <w:bCs/>
          <w:sz w:val="26"/>
          <w:szCs w:val="26"/>
        </w:rPr>
        <w:t>Meziodvětvová mzdová diferenciace</w:t>
      </w:r>
      <w:r w:rsidRPr="00C30F6B">
        <w:rPr>
          <w:rFonts w:ascii="Calibri" w:hAnsi="Calibri" w:cs="Arial"/>
          <w:bCs/>
          <w:sz w:val="26"/>
          <w:szCs w:val="26"/>
        </w:rPr>
        <w:t xml:space="preserve"> se proti stejnému období předchozího roku mírně </w:t>
      </w:r>
      <w:r w:rsidRPr="00C30F6B">
        <w:rPr>
          <w:rFonts w:ascii="Calibri" w:hAnsi="Calibri" w:cs="Arial"/>
          <w:b/>
          <w:bCs/>
          <w:sz w:val="26"/>
          <w:szCs w:val="26"/>
        </w:rPr>
        <w:t>zvýšila; variační koeficient</w:t>
      </w:r>
      <w:r w:rsidRPr="00C30F6B">
        <w:rPr>
          <w:rFonts w:ascii="Calibri" w:hAnsi="Calibri" w:cs="Arial"/>
          <w:bCs/>
          <w:sz w:val="26"/>
          <w:szCs w:val="26"/>
        </w:rPr>
        <w:t xml:space="preserve"> průměrných mezd (podle sekcí CZ</w:t>
      </w:r>
      <w:r w:rsidRPr="00C30F6B">
        <w:rPr>
          <w:rFonts w:ascii="Calibri" w:hAnsi="Calibri" w:cs="Arial"/>
          <w:bCs/>
          <w:sz w:val="26"/>
          <w:szCs w:val="26"/>
        </w:rPr>
        <w:noBreakHyphen/>
        <w:t xml:space="preserve">NACE) </w:t>
      </w:r>
      <w:r w:rsidRPr="00C30F6B">
        <w:rPr>
          <w:rFonts w:ascii="Calibri" w:hAnsi="Calibri" w:cs="Arial"/>
          <w:b/>
          <w:bCs/>
          <w:sz w:val="26"/>
          <w:szCs w:val="26"/>
        </w:rPr>
        <w:t>vzrostl</w:t>
      </w:r>
      <w:r w:rsidRPr="00C30F6B">
        <w:rPr>
          <w:rFonts w:ascii="Calibri" w:hAnsi="Calibri" w:cs="Arial"/>
          <w:bCs/>
          <w:sz w:val="26"/>
          <w:szCs w:val="26"/>
        </w:rPr>
        <w:t xml:space="preserve"> o 0,9 p. b. </w:t>
      </w:r>
      <w:r w:rsidRPr="00C30F6B">
        <w:rPr>
          <w:rFonts w:ascii="Calibri" w:hAnsi="Calibri" w:cs="Arial"/>
          <w:b/>
          <w:bCs/>
          <w:sz w:val="26"/>
          <w:szCs w:val="26"/>
        </w:rPr>
        <w:t>na 33,6 %.</w:t>
      </w:r>
    </w:p>
    <w:p w:rsidR="002E5616" w:rsidRPr="00C30F6B" w:rsidRDefault="002E5616" w:rsidP="002E5616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lastRenderedPageBreak/>
        <w:tab/>
      </w:r>
      <w:r w:rsidRPr="00C30F6B">
        <w:rPr>
          <w:rFonts w:ascii="Calibri" w:hAnsi="Calibri"/>
          <w:b/>
          <w:sz w:val="26"/>
          <w:szCs w:val="26"/>
        </w:rPr>
        <w:t xml:space="preserve">Výše průměrné nominální mzdy se </w:t>
      </w:r>
      <w:r w:rsidRPr="00C30F6B">
        <w:rPr>
          <w:rFonts w:ascii="Calibri" w:hAnsi="Calibri"/>
          <w:bCs/>
          <w:sz w:val="26"/>
          <w:szCs w:val="26"/>
        </w:rPr>
        <w:t>výrazně</w:t>
      </w:r>
      <w:r w:rsidRPr="00C30F6B">
        <w:rPr>
          <w:rFonts w:ascii="Calibri" w:hAnsi="Calibri"/>
          <w:sz w:val="26"/>
          <w:szCs w:val="26"/>
        </w:rPr>
        <w:t xml:space="preserve"> lišila i </w:t>
      </w:r>
      <w:r w:rsidRPr="00C30F6B">
        <w:rPr>
          <w:rFonts w:ascii="Calibri" w:hAnsi="Calibri"/>
          <w:b/>
          <w:sz w:val="26"/>
          <w:szCs w:val="26"/>
        </w:rPr>
        <w:t>podle velikosti zpravodajské jednotky, tj. čím větší byl počet zaměstnanců, tím vyšší byla průměrná mzda.</w:t>
      </w:r>
      <w:r w:rsidRPr="00C30F6B">
        <w:rPr>
          <w:rFonts w:ascii="Calibri" w:hAnsi="Calibri"/>
          <w:bCs/>
          <w:sz w:val="26"/>
          <w:szCs w:val="26"/>
        </w:rPr>
        <w:t xml:space="preserve"> </w:t>
      </w:r>
      <w:r w:rsidRPr="00C30F6B">
        <w:rPr>
          <w:rFonts w:ascii="Calibri" w:hAnsi="Calibri"/>
          <w:b/>
          <w:sz w:val="26"/>
          <w:szCs w:val="26"/>
        </w:rPr>
        <w:t>V podnicích do 19 zaměstnanců byla nejnižší a činila 25 015 Kč</w:t>
      </w:r>
      <w:r w:rsidRPr="00C30F6B">
        <w:rPr>
          <w:rFonts w:ascii="Calibri" w:hAnsi="Calibri"/>
          <w:bCs/>
          <w:sz w:val="26"/>
          <w:szCs w:val="26"/>
        </w:rPr>
        <w:t xml:space="preserve"> (73 % průměrné mzdy v národním hospodářství), </w:t>
      </w:r>
      <w:r w:rsidRPr="00C30F6B">
        <w:rPr>
          <w:rFonts w:ascii="Calibri" w:hAnsi="Calibri"/>
          <w:b/>
          <w:sz w:val="26"/>
          <w:szCs w:val="26"/>
        </w:rPr>
        <w:t>naopak nejvyšší 41 314 Kč</w:t>
      </w:r>
      <w:r w:rsidRPr="00C30F6B">
        <w:rPr>
          <w:rFonts w:ascii="Calibri" w:hAnsi="Calibri"/>
          <w:bCs/>
          <w:sz w:val="26"/>
          <w:szCs w:val="26"/>
        </w:rPr>
        <w:t xml:space="preserve"> (tj. 121 % průměrné mzdy v národním hospodářství) </w:t>
      </w:r>
      <w:r w:rsidRPr="00C30F6B">
        <w:rPr>
          <w:rFonts w:ascii="Calibri" w:hAnsi="Calibri"/>
          <w:b/>
          <w:sz w:val="26"/>
          <w:szCs w:val="26"/>
        </w:rPr>
        <w:t>byla vyplacena v organizacích s 1 000 a více zaměstnanci.</w:t>
      </w:r>
      <w:r w:rsidRPr="00C30F6B">
        <w:rPr>
          <w:rFonts w:ascii="Calibri" w:hAnsi="Calibri"/>
          <w:bCs/>
          <w:sz w:val="26"/>
          <w:szCs w:val="26"/>
        </w:rPr>
        <w:t xml:space="preserve"> Relativně </w:t>
      </w:r>
      <w:r w:rsidRPr="00C30F6B">
        <w:rPr>
          <w:rFonts w:ascii="Calibri" w:hAnsi="Calibri"/>
          <w:b/>
          <w:bCs/>
          <w:sz w:val="26"/>
          <w:szCs w:val="26"/>
        </w:rPr>
        <w:t xml:space="preserve">nejpříznivější meziroční vývoj </w:t>
      </w:r>
      <w:r w:rsidRPr="00C30F6B">
        <w:rPr>
          <w:rFonts w:ascii="Calibri" w:hAnsi="Calibri"/>
          <w:bCs/>
          <w:sz w:val="26"/>
          <w:szCs w:val="26"/>
        </w:rPr>
        <w:t>byl zaznamenán</w:t>
      </w:r>
      <w:r w:rsidRPr="00C30F6B">
        <w:rPr>
          <w:rFonts w:ascii="Calibri" w:hAnsi="Calibri"/>
          <w:b/>
          <w:bCs/>
          <w:sz w:val="26"/>
          <w:szCs w:val="26"/>
        </w:rPr>
        <w:t xml:space="preserve"> u největších podniků </w:t>
      </w:r>
      <w:r w:rsidRPr="00C30F6B">
        <w:rPr>
          <w:rFonts w:ascii="Calibri" w:hAnsi="Calibri"/>
          <w:bCs/>
          <w:sz w:val="26"/>
          <w:szCs w:val="26"/>
        </w:rPr>
        <w:t xml:space="preserve">(1 000 a více zaměstnanců), kde </w:t>
      </w:r>
      <w:r w:rsidRPr="00C30F6B">
        <w:rPr>
          <w:rFonts w:ascii="Calibri" w:hAnsi="Calibri"/>
          <w:b/>
          <w:bCs/>
          <w:sz w:val="26"/>
          <w:szCs w:val="26"/>
        </w:rPr>
        <w:t>došlo k nejvyššímu nárůstu průměrné mzdy</w:t>
      </w:r>
      <w:r w:rsidRPr="00C30F6B">
        <w:rPr>
          <w:rFonts w:ascii="Calibri" w:hAnsi="Calibri"/>
          <w:bCs/>
          <w:sz w:val="26"/>
          <w:szCs w:val="26"/>
        </w:rPr>
        <w:t xml:space="preserve"> (o 6,1 %), ale zároveň zde byl zaznamenán největší úbytek zaměstnanců – o 11,7 tis. K poklesu počtu zaměstnanců došlo ve všech sledovaných velikostních kategoriích zpravodajských jednotek s výjimkou nejmenších zaměstnavatelů (do 19 zaměstnanců), u kterých došlo k nárůstu o 20,8 tis. – podrobněji viz tabulku č. 6 v příloze.</w:t>
      </w:r>
    </w:p>
    <w:p w:rsidR="002E5616" w:rsidRPr="00C30F6B" w:rsidRDefault="002E5616" w:rsidP="002E5616">
      <w:pPr>
        <w:spacing w:after="240" w:line="360" w:lineRule="auto"/>
        <w:jc w:val="both"/>
        <w:rPr>
          <w:rFonts w:ascii="Calibri" w:hAnsi="Calibri"/>
          <w:bCs/>
          <w:sz w:val="26"/>
          <w:szCs w:val="26"/>
        </w:rPr>
      </w:pPr>
      <w:r w:rsidRPr="00C30F6B">
        <w:rPr>
          <w:rFonts w:ascii="Calibri" w:hAnsi="Calibri" w:cs="Arial"/>
          <w:sz w:val="26"/>
          <w:szCs w:val="26"/>
        </w:rPr>
        <w:tab/>
      </w:r>
      <w:r w:rsidRPr="00C30F6B">
        <w:rPr>
          <w:rFonts w:ascii="Calibri" w:hAnsi="Calibri"/>
          <w:bCs/>
          <w:sz w:val="26"/>
          <w:szCs w:val="26"/>
        </w:rPr>
        <w:t xml:space="preserve">K meziročnímu </w:t>
      </w:r>
      <w:r w:rsidRPr="00C30F6B">
        <w:rPr>
          <w:rFonts w:ascii="Calibri" w:hAnsi="Calibri"/>
          <w:b/>
          <w:bCs/>
          <w:sz w:val="26"/>
          <w:szCs w:val="26"/>
        </w:rPr>
        <w:t>nominálnímu nárůstu</w:t>
      </w:r>
      <w:r w:rsidRPr="00C30F6B">
        <w:rPr>
          <w:rFonts w:ascii="Calibri" w:hAnsi="Calibri"/>
          <w:bCs/>
          <w:sz w:val="26"/>
          <w:szCs w:val="26"/>
        </w:rPr>
        <w:t xml:space="preserve"> </w:t>
      </w:r>
      <w:r w:rsidRPr="00C30F6B">
        <w:rPr>
          <w:rFonts w:ascii="Calibri" w:hAnsi="Calibri"/>
          <w:b/>
          <w:bCs/>
          <w:sz w:val="26"/>
          <w:szCs w:val="26"/>
        </w:rPr>
        <w:t>průměrné mzdy došlo</w:t>
      </w:r>
      <w:r w:rsidRPr="00C30F6B">
        <w:rPr>
          <w:rFonts w:ascii="Calibri" w:hAnsi="Calibri"/>
          <w:bCs/>
          <w:sz w:val="26"/>
          <w:szCs w:val="26"/>
        </w:rPr>
        <w:t xml:space="preserve"> </w:t>
      </w:r>
      <w:r w:rsidRPr="00C30F6B">
        <w:rPr>
          <w:rFonts w:ascii="Calibri" w:hAnsi="Calibri"/>
          <w:b/>
          <w:bCs/>
          <w:sz w:val="26"/>
          <w:szCs w:val="26"/>
        </w:rPr>
        <w:t>ve všech krajích ČR</w:t>
      </w:r>
      <w:r w:rsidRPr="00C30F6B">
        <w:rPr>
          <w:rFonts w:ascii="Calibri" w:hAnsi="Calibri"/>
          <w:bCs/>
          <w:sz w:val="26"/>
          <w:szCs w:val="26"/>
        </w:rPr>
        <w:t>, a to od 3,1 % do 6,0 %. V</w:t>
      </w:r>
      <w:r w:rsidRPr="00C30F6B">
        <w:rPr>
          <w:rFonts w:ascii="Calibri" w:hAnsi="Calibri"/>
          <w:b/>
          <w:bCs/>
          <w:sz w:val="26"/>
          <w:szCs w:val="26"/>
        </w:rPr>
        <w:t xml:space="preserve"> hl. m. Praze </w:t>
      </w:r>
      <w:r w:rsidRPr="00C30F6B">
        <w:rPr>
          <w:rFonts w:ascii="Calibri" w:hAnsi="Calibri"/>
          <w:bCs/>
          <w:sz w:val="26"/>
          <w:szCs w:val="26"/>
        </w:rPr>
        <w:t xml:space="preserve">byla jako obvykle zaznamenána její </w:t>
      </w:r>
      <w:r w:rsidRPr="00C30F6B">
        <w:rPr>
          <w:rFonts w:ascii="Calibri" w:hAnsi="Calibri"/>
          <w:b/>
          <w:bCs/>
          <w:sz w:val="26"/>
          <w:szCs w:val="26"/>
        </w:rPr>
        <w:t>nejvyšší úroveň – dosáhla 42 760 Kč</w:t>
      </w:r>
      <w:r w:rsidRPr="00C30F6B">
        <w:rPr>
          <w:rFonts w:ascii="Calibri" w:hAnsi="Calibri"/>
          <w:bCs/>
          <w:sz w:val="26"/>
          <w:szCs w:val="26"/>
        </w:rPr>
        <w:t xml:space="preserve"> (tj. více než 125 % celorepublikového průměru). Nejvýznamnější relativní vzestup průměrné nominální mzdy vykázaly </w:t>
      </w:r>
      <w:r w:rsidRPr="00C30F6B">
        <w:rPr>
          <w:rFonts w:ascii="Calibri" w:hAnsi="Calibri"/>
          <w:b/>
          <w:bCs/>
          <w:iCs/>
          <w:sz w:val="26"/>
          <w:szCs w:val="26"/>
        </w:rPr>
        <w:t>Jihočeský</w:t>
      </w:r>
      <w:r w:rsidRPr="00C30F6B">
        <w:rPr>
          <w:rFonts w:ascii="Calibri" w:hAnsi="Calibri"/>
          <w:iCs/>
          <w:sz w:val="26"/>
          <w:szCs w:val="26"/>
        </w:rPr>
        <w:t xml:space="preserve"> </w:t>
      </w:r>
      <w:r w:rsidRPr="00C30F6B">
        <w:rPr>
          <w:rFonts w:ascii="Calibri" w:hAnsi="Calibri"/>
          <w:bCs/>
          <w:iCs/>
          <w:sz w:val="26"/>
          <w:szCs w:val="26"/>
        </w:rPr>
        <w:t>(o 6,0 %)</w:t>
      </w:r>
      <w:r w:rsidRPr="00C30F6B">
        <w:rPr>
          <w:rFonts w:ascii="Calibri" w:hAnsi="Calibri"/>
          <w:iCs/>
          <w:sz w:val="26"/>
          <w:szCs w:val="26"/>
        </w:rPr>
        <w:t xml:space="preserve">, </w:t>
      </w:r>
      <w:r w:rsidRPr="00C30F6B">
        <w:rPr>
          <w:rFonts w:ascii="Calibri" w:hAnsi="Calibri"/>
          <w:b/>
          <w:bCs/>
          <w:iCs/>
          <w:sz w:val="26"/>
          <w:szCs w:val="26"/>
        </w:rPr>
        <w:t>Ústecký</w:t>
      </w:r>
      <w:r w:rsidRPr="00C30F6B">
        <w:rPr>
          <w:rFonts w:ascii="Calibri" w:hAnsi="Calibri"/>
          <w:bCs/>
          <w:iCs/>
          <w:sz w:val="26"/>
          <w:szCs w:val="26"/>
        </w:rPr>
        <w:t xml:space="preserve"> (o 5,8 %) a </w:t>
      </w:r>
      <w:r w:rsidRPr="00C30F6B">
        <w:rPr>
          <w:rFonts w:ascii="Calibri" w:hAnsi="Calibri"/>
          <w:b/>
          <w:bCs/>
          <w:iCs/>
          <w:sz w:val="26"/>
          <w:szCs w:val="26"/>
        </w:rPr>
        <w:t>Zlínský kraj</w:t>
      </w:r>
      <w:r w:rsidRPr="00C30F6B">
        <w:rPr>
          <w:rFonts w:ascii="Calibri" w:hAnsi="Calibri"/>
          <w:bCs/>
          <w:iCs/>
          <w:sz w:val="26"/>
          <w:szCs w:val="26"/>
        </w:rPr>
        <w:t xml:space="preserve"> (o 5,7 %); naopak nejnižší nárůst byl v </w:t>
      </w:r>
      <w:r w:rsidRPr="00C30F6B">
        <w:rPr>
          <w:rFonts w:ascii="Calibri" w:hAnsi="Calibri"/>
          <w:b/>
          <w:bCs/>
          <w:iCs/>
          <w:sz w:val="26"/>
          <w:szCs w:val="26"/>
        </w:rPr>
        <w:t xml:space="preserve">hl. m. Praze </w:t>
      </w:r>
      <w:r w:rsidRPr="00C30F6B">
        <w:rPr>
          <w:rFonts w:ascii="Calibri" w:hAnsi="Calibri"/>
          <w:bCs/>
          <w:iCs/>
          <w:sz w:val="26"/>
          <w:szCs w:val="26"/>
        </w:rPr>
        <w:t>(o 3,1 %)</w:t>
      </w:r>
      <w:r w:rsidRPr="00C30F6B">
        <w:rPr>
          <w:rFonts w:ascii="Calibri" w:hAnsi="Calibri"/>
          <w:iCs/>
          <w:sz w:val="26"/>
          <w:szCs w:val="26"/>
        </w:rPr>
        <w:t xml:space="preserve">, </w:t>
      </w:r>
      <w:r w:rsidRPr="00C30F6B">
        <w:rPr>
          <w:rFonts w:ascii="Calibri" w:hAnsi="Calibri"/>
          <w:b/>
          <w:bCs/>
          <w:iCs/>
          <w:sz w:val="26"/>
          <w:szCs w:val="26"/>
        </w:rPr>
        <w:t xml:space="preserve">Libereckém </w:t>
      </w:r>
      <w:r w:rsidRPr="00C30F6B">
        <w:rPr>
          <w:rFonts w:ascii="Calibri" w:hAnsi="Calibri"/>
          <w:bCs/>
          <w:iCs/>
          <w:sz w:val="26"/>
          <w:szCs w:val="26"/>
        </w:rPr>
        <w:t xml:space="preserve">(o 3,8 %) a </w:t>
      </w:r>
      <w:r w:rsidRPr="00C30F6B">
        <w:rPr>
          <w:rFonts w:ascii="Calibri" w:hAnsi="Calibri"/>
          <w:b/>
          <w:bCs/>
          <w:iCs/>
          <w:sz w:val="26"/>
          <w:szCs w:val="26"/>
        </w:rPr>
        <w:t>Plzeňském</w:t>
      </w:r>
      <w:r w:rsidRPr="00C30F6B">
        <w:rPr>
          <w:rFonts w:ascii="Calibri" w:hAnsi="Calibri"/>
          <w:bCs/>
          <w:iCs/>
          <w:sz w:val="26"/>
          <w:szCs w:val="26"/>
        </w:rPr>
        <w:t xml:space="preserve"> </w:t>
      </w:r>
      <w:r w:rsidRPr="00C30F6B">
        <w:rPr>
          <w:rFonts w:ascii="Calibri" w:hAnsi="Calibri"/>
          <w:b/>
          <w:bCs/>
          <w:iCs/>
          <w:sz w:val="26"/>
          <w:szCs w:val="26"/>
        </w:rPr>
        <w:t>kraji</w:t>
      </w:r>
      <w:r w:rsidRPr="00C30F6B">
        <w:rPr>
          <w:rFonts w:ascii="Calibri" w:hAnsi="Calibri"/>
          <w:bCs/>
          <w:iCs/>
          <w:sz w:val="26"/>
          <w:szCs w:val="26"/>
        </w:rPr>
        <w:t xml:space="preserve"> (o 4,8 %). Pouze </w:t>
      </w:r>
      <w:r w:rsidRPr="00C30F6B">
        <w:rPr>
          <w:rFonts w:ascii="Calibri" w:hAnsi="Calibri"/>
          <w:b/>
          <w:bCs/>
          <w:iCs/>
          <w:sz w:val="26"/>
          <w:szCs w:val="26"/>
        </w:rPr>
        <w:t>v hl. m. Praze došlo k poklesu reálné průměrné mzdy</w:t>
      </w:r>
      <w:r w:rsidRPr="00C30F6B">
        <w:rPr>
          <w:rFonts w:ascii="Calibri" w:hAnsi="Calibri"/>
          <w:bCs/>
          <w:iCs/>
          <w:sz w:val="26"/>
          <w:szCs w:val="26"/>
        </w:rPr>
        <w:t xml:space="preserve"> o 0,5 %, </w:t>
      </w:r>
      <w:r w:rsidRPr="00C30F6B">
        <w:rPr>
          <w:rFonts w:ascii="Calibri" w:hAnsi="Calibri"/>
          <w:b/>
          <w:bCs/>
          <w:iCs/>
          <w:sz w:val="26"/>
          <w:szCs w:val="26"/>
        </w:rPr>
        <w:t>v ostatních krajích byl zaznamenán nárůst reálné průměrné mzdy</w:t>
      </w:r>
      <w:r w:rsidRPr="00C30F6B">
        <w:rPr>
          <w:rFonts w:ascii="Calibri" w:hAnsi="Calibri"/>
          <w:bCs/>
          <w:iCs/>
          <w:sz w:val="26"/>
          <w:szCs w:val="26"/>
        </w:rPr>
        <w:t xml:space="preserve"> v rozsahu 0,2 % až 2,3 %</w:t>
      </w:r>
      <w:r w:rsidRPr="00C30F6B">
        <w:rPr>
          <w:rFonts w:ascii="Calibri" w:hAnsi="Calibri"/>
          <w:bCs/>
          <w:sz w:val="26"/>
          <w:szCs w:val="26"/>
        </w:rPr>
        <w:t xml:space="preserve"> – viz tabulku č. 7 v příloze. </w:t>
      </w:r>
      <w:r w:rsidRPr="00C30F6B">
        <w:rPr>
          <w:rFonts w:ascii="Calibri" w:hAnsi="Calibri"/>
          <w:b/>
          <w:bCs/>
          <w:sz w:val="26"/>
          <w:szCs w:val="26"/>
        </w:rPr>
        <w:t xml:space="preserve">Nejnižší absolutní úroveň průměrné mzdy 29 687 Kč </w:t>
      </w:r>
      <w:r w:rsidRPr="00C30F6B">
        <w:rPr>
          <w:rFonts w:ascii="Calibri" w:hAnsi="Calibri"/>
          <w:bCs/>
          <w:sz w:val="26"/>
          <w:szCs w:val="26"/>
        </w:rPr>
        <w:t xml:space="preserve">byla zaznamenána </w:t>
      </w:r>
      <w:r w:rsidRPr="00C30F6B">
        <w:rPr>
          <w:rFonts w:ascii="Calibri" w:hAnsi="Calibri"/>
          <w:b/>
          <w:bCs/>
          <w:sz w:val="26"/>
          <w:szCs w:val="26"/>
        </w:rPr>
        <w:t>v Karlovarském kraji.</w:t>
      </w:r>
      <w:r w:rsidRPr="00C30F6B">
        <w:rPr>
          <w:rFonts w:ascii="Calibri" w:hAnsi="Calibri"/>
          <w:bCs/>
          <w:sz w:val="26"/>
          <w:szCs w:val="26"/>
        </w:rPr>
        <w:t xml:space="preserve"> Zároveň došlo ke snížení rozdílu extrémních mzdových hladin (Praha x Karlovarský kraj) o 111 Kč na 13 073 Kč. Hodnota variačního koeficientu v tomto členění poklesla z 10,5 % v 1. čtvrtletí 2019 na 9,8 % v 1. čtvrtletí 2020.</w:t>
      </w:r>
    </w:p>
    <w:p w:rsidR="002E5616" w:rsidRPr="00C30F6B" w:rsidRDefault="002E5616" w:rsidP="002E5616"/>
    <w:p w:rsidR="002E5616" w:rsidRPr="00C30F6B" w:rsidRDefault="002E5616" w:rsidP="002E5616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E5616" w:rsidRPr="00C30F6B" w:rsidRDefault="002E5616" w:rsidP="002E5616">
      <w:pPr>
        <w:spacing w:after="360" w:line="360" w:lineRule="auto"/>
        <w:jc w:val="both"/>
      </w:pPr>
      <w:r w:rsidRPr="00C30F6B">
        <w:rPr>
          <w:rFonts w:asciiTheme="minorHAnsi" w:hAnsiTheme="minorHAnsi" w:cs="Arial"/>
          <w:sz w:val="26"/>
          <w:szCs w:val="26"/>
        </w:rPr>
        <w:tab/>
      </w:r>
      <w:r w:rsidRPr="00C30F6B">
        <w:br w:type="page"/>
      </w:r>
    </w:p>
    <w:p w:rsidR="002E5616" w:rsidRPr="00C30F6B" w:rsidRDefault="002E5616" w:rsidP="002E5616">
      <w:pPr>
        <w:spacing w:after="360"/>
        <w:rPr>
          <w:rFonts w:asciiTheme="minorHAnsi" w:hAnsiTheme="minorHAnsi" w:cs="Arial"/>
          <w:b/>
          <w:i/>
          <w:sz w:val="40"/>
          <w:szCs w:val="40"/>
        </w:rPr>
      </w:pPr>
      <w:r w:rsidRPr="00C30F6B">
        <w:rPr>
          <w:rFonts w:asciiTheme="minorHAnsi" w:hAnsiTheme="minorHAnsi" w:cs="Arial"/>
          <w:b/>
          <w:i/>
          <w:sz w:val="40"/>
          <w:szCs w:val="40"/>
        </w:rPr>
        <w:lastRenderedPageBreak/>
        <w:t>1.3 Sociální příjmy</w:t>
      </w:r>
    </w:p>
    <w:p w:rsidR="002E5616" w:rsidRPr="00C30F6B" w:rsidRDefault="002E5616" w:rsidP="002E561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2E5616" w:rsidRPr="00C30F6B" w:rsidRDefault="002E5616" w:rsidP="002E5616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Celkový objem</w:t>
      </w:r>
      <w:r w:rsidRPr="00C30F6B">
        <w:rPr>
          <w:rFonts w:asciiTheme="minorHAnsi" w:hAnsiTheme="minorHAnsi" w:cstheme="minorHAnsi"/>
          <w:sz w:val="26"/>
          <w:szCs w:val="26"/>
        </w:rPr>
        <w:t xml:space="preserve"> sociálních příjmů (druhé nejvyšší složky peněžních příjmů domácností)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dosáhl</w:t>
      </w:r>
      <w:r w:rsidRPr="00C30F6B">
        <w:rPr>
          <w:rFonts w:asciiTheme="minorHAnsi" w:hAnsiTheme="minorHAnsi" w:cstheme="minorHAnsi"/>
          <w:sz w:val="26"/>
          <w:szCs w:val="26"/>
        </w:rPr>
        <w:t xml:space="preserve"> v 1. čtvrtletí 2020 částky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154,8 mld. Kč</w:t>
      </w:r>
      <w:r w:rsidRPr="00C30F6B">
        <w:rPr>
          <w:rFonts w:asciiTheme="minorHAnsi" w:hAnsiTheme="minorHAnsi" w:cstheme="minorHAnsi"/>
          <w:sz w:val="26"/>
          <w:szCs w:val="26"/>
        </w:rPr>
        <w:t xml:space="preserve"> a byl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12,4 mld. Kč (o 8,7 %) vyšší</w:t>
      </w:r>
      <w:r w:rsidRPr="00C30F6B">
        <w:rPr>
          <w:rFonts w:asciiTheme="minorHAnsi" w:hAnsiTheme="minorHAnsi" w:cstheme="minorHAnsi"/>
          <w:sz w:val="26"/>
          <w:szCs w:val="26"/>
        </w:rPr>
        <w:t xml:space="preserve"> než ve stejném období roku 2019.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Nižší</w:t>
      </w:r>
      <w:r w:rsidRPr="00C30F6B">
        <w:rPr>
          <w:rFonts w:asciiTheme="minorHAnsi" w:hAnsiTheme="minorHAnsi" w:cstheme="minorHAnsi"/>
          <w:sz w:val="26"/>
          <w:szCs w:val="26"/>
        </w:rPr>
        <w:t xml:space="preserve"> byla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výplata dávek pro osoby se zdravotním postižením</w:t>
      </w:r>
      <w:r w:rsidRPr="00C30F6B">
        <w:rPr>
          <w:rFonts w:asciiTheme="minorHAnsi" w:hAnsiTheme="minorHAnsi" w:cstheme="minorHAnsi"/>
          <w:sz w:val="26"/>
          <w:szCs w:val="26"/>
        </w:rPr>
        <w:t xml:space="preserve"> 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dávek pomoci v hmotné nouzi</w:t>
      </w:r>
      <w:r w:rsidRPr="00C30F6B">
        <w:rPr>
          <w:rFonts w:asciiTheme="minorHAnsi" w:hAnsiTheme="minorHAnsi" w:cstheme="minorHAnsi"/>
          <w:sz w:val="26"/>
          <w:szCs w:val="26"/>
        </w:rPr>
        <w:t xml:space="preserve">, příjmy občanů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z ostatních druhů sociálních dávek se zvýšily</w:t>
      </w:r>
      <w:r w:rsidRPr="00C30F6B">
        <w:rPr>
          <w:rFonts w:asciiTheme="minorHAnsi" w:hAnsiTheme="minorHAnsi" w:cstheme="minorHAnsi"/>
          <w:sz w:val="26"/>
          <w:szCs w:val="26"/>
        </w:rPr>
        <w:t xml:space="preserve"> – viz tabulku č. 8 v příloze.</w:t>
      </w:r>
    </w:p>
    <w:p w:rsidR="002E5616" w:rsidRPr="00C30F6B" w:rsidRDefault="002E5616" w:rsidP="002E5616">
      <w:pPr>
        <w:spacing w:after="60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</w:r>
      <w:r w:rsidRPr="00C30F6B">
        <w:rPr>
          <w:rFonts w:asciiTheme="minorHAnsi" w:hAnsiTheme="minorHAnsi" w:cstheme="minorHAnsi"/>
          <w:b/>
          <w:bCs/>
          <w:sz w:val="26"/>
          <w:szCs w:val="26"/>
          <w:u w:val="single"/>
        </w:rPr>
        <w:t>Dávky důchodového pojištění</w:t>
      </w:r>
      <w:r w:rsidRPr="00C30F6B">
        <w:rPr>
          <w:rFonts w:asciiTheme="minorHAnsi" w:hAnsiTheme="minorHAnsi" w:cstheme="minorHAnsi"/>
          <w:sz w:val="26"/>
          <w:szCs w:val="26"/>
        </w:rPr>
        <w:t xml:space="preserve">, na které bylo v 1. čtvrtletí 2020 poskytnuto bez dávek vyplácených do ciziny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119,6 mld. Kč</w:t>
      </w:r>
      <w:r w:rsidRPr="00C30F6B">
        <w:rPr>
          <w:rFonts w:asciiTheme="minorHAnsi" w:hAnsiTheme="minorHAnsi" w:cstheme="minorHAnsi"/>
          <w:sz w:val="26"/>
          <w:szCs w:val="26"/>
        </w:rPr>
        <w:t xml:space="preserve">, tj.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7,4 mld. Kč (o 6,6 %) více</w:t>
      </w:r>
      <w:r w:rsidRPr="00C30F6B">
        <w:rPr>
          <w:rFonts w:asciiTheme="minorHAnsi" w:hAnsiTheme="minorHAnsi" w:cstheme="minorHAnsi"/>
          <w:sz w:val="26"/>
          <w:szCs w:val="26"/>
        </w:rPr>
        <w:t xml:space="preserve"> než ve srovnatelném období roku 2019, se podílely na celkové úrovni sociálních příjmů domácností 77,2 % – viz tabulku č. 8 v příloze. Výdaje související s valorizací důchodů, která proběhla v lednu 2020, činily ve sledovaném období 7,6 mld. Kč.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Výdaje na starobní důchody se</w:t>
      </w:r>
      <w:r w:rsidRPr="00C30F6B">
        <w:rPr>
          <w:rFonts w:asciiTheme="minorHAnsi" w:hAnsiTheme="minorHAnsi" w:cstheme="minorHAnsi"/>
          <w:sz w:val="26"/>
          <w:szCs w:val="26"/>
        </w:rPr>
        <w:t xml:space="preserve"> (bez dávek vyplácených do ciziny)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zvýšily</w:t>
      </w:r>
      <w:r w:rsidRPr="00C30F6B">
        <w:rPr>
          <w:rFonts w:asciiTheme="minorHAnsi" w:hAnsiTheme="minorHAnsi" w:cstheme="minorHAnsi"/>
          <w:sz w:val="26"/>
          <w:szCs w:val="26"/>
        </w:rPr>
        <w:t xml:space="preserve"> o 6,6 mld. Kč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na 99,8 mld. Kč.</w:t>
      </w:r>
      <w:r w:rsidRPr="00C30F6B">
        <w:rPr>
          <w:rFonts w:asciiTheme="minorHAnsi" w:hAnsiTheme="minorHAnsi" w:cstheme="minorHAnsi"/>
          <w:sz w:val="26"/>
          <w:szCs w:val="26"/>
        </w:rPr>
        <w:t xml:space="preserve"> Jejich podíl na celkovém objemu výdajů na dávky důchodového pojištění dosáhl 83,5 %.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Výdaje na invalidní důchody</w:t>
      </w:r>
      <w:r w:rsidRPr="00C30F6B">
        <w:rPr>
          <w:rFonts w:asciiTheme="minorHAnsi" w:hAnsiTheme="minorHAnsi" w:cstheme="minorHAnsi"/>
          <w:sz w:val="26"/>
          <w:szCs w:val="26"/>
        </w:rPr>
        <w:t xml:space="preserve"> vzrostly na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12,4 mld. Kč</w:t>
      </w:r>
      <w:r w:rsidRPr="00C30F6B">
        <w:rPr>
          <w:rFonts w:asciiTheme="minorHAnsi" w:hAnsiTheme="minorHAnsi" w:cstheme="minorHAnsi"/>
          <w:sz w:val="26"/>
          <w:szCs w:val="26"/>
        </w:rPr>
        <w:t xml:space="preserve"> (o 0,6 mld. Kč), výdaje na pozůstalostní důchody se zvýšily o 0,3 mld. Kč na 7,3 mld. Kč.</w:t>
      </w:r>
    </w:p>
    <w:p w:rsidR="002E5616" w:rsidRPr="00C30F6B" w:rsidRDefault="002E5616" w:rsidP="002E5616">
      <w:pPr>
        <w:spacing w:after="48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Průměrná výše</w:t>
      </w:r>
      <w:r w:rsidRPr="00C30F6B">
        <w:rPr>
          <w:rFonts w:asciiTheme="minorHAnsi" w:hAnsiTheme="minorHAnsi" w:cstheme="minorHAnsi"/>
          <w:sz w:val="26"/>
          <w:szCs w:val="26"/>
        </w:rPr>
        <w:t xml:space="preserve"> (samostatně vypláceného)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starobního důchodu se v 1. čtvrtletí 2020 meziročně zvýšila</w:t>
      </w:r>
      <w:r w:rsidRPr="00C30F6B">
        <w:rPr>
          <w:rFonts w:asciiTheme="minorHAnsi" w:hAnsiTheme="minorHAnsi" w:cstheme="minorHAnsi"/>
          <w:sz w:val="26"/>
          <w:szCs w:val="26"/>
        </w:rPr>
        <w:t xml:space="preserve"> o 1 023 Kč (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7,6 %</w:t>
      </w:r>
      <w:r w:rsidRPr="00C30F6B">
        <w:rPr>
          <w:rFonts w:asciiTheme="minorHAnsi" w:hAnsiTheme="minorHAnsi" w:cstheme="minorHAnsi"/>
          <w:sz w:val="26"/>
          <w:szCs w:val="26"/>
        </w:rPr>
        <w:t xml:space="preserve">)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na 14 408 Kč,</w:t>
      </w:r>
      <w:r w:rsidRPr="00C30F6B">
        <w:rPr>
          <w:rFonts w:asciiTheme="minorHAnsi" w:hAnsiTheme="minorHAnsi" w:cstheme="minorHAnsi"/>
          <w:sz w:val="26"/>
          <w:szCs w:val="26"/>
        </w:rPr>
        <w:t xml:space="preserve">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 reálném vyjádření</w:t>
      </w:r>
      <w:r w:rsidRPr="00C30F6B">
        <w:rPr>
          <w:rFonts w:asciiTheme="minorHAnsi" w:hAnsiTheme="minorHAnsi" w:cstheme="minorHAnsi"/>
          <w:sz w:val="26"/>
          <w:szCs w:val="26"/>
        </w:rPr>
        <w:t xml:space="preserve"> se zvýšila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3,7 %</w:t>
      </w:r>
      <w:r w:rsidRPr="00C30F6B">
        <w:rPr>
          <w:rFonts w:asciiTheme="minorHAnsi" w:hAnsiTheme="minorHAnsi" w:cstheme="minorHAnsi"/>
          <w:sz w:val="26"/>
          <w:szCs w:val="26"/>
        </w:rPr>
        <w:t xml:space="preserve"> (při použití indexu životních nákladů domácností důchodců 103,8 %).</w:t>
      </w:r>
    </w:p>
    <w:p w:rsidR="002E5616" w:rsidRPr="00C30F6B" w:rsidRDefault="002E5616" w:rsidP="002E5616">
      <w:pPr>
        <w:spacing w:after="24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 březnu 2020:</w:t>
      </w:r>
    </w:p>
    <w:p w:rsidR="002E5616" w:rsidRPr="00C30F6B" w:rsidRDefault="002E5616" w:rsidP="002E5616">
      <w:pPr>
        <w:pStyle w:val="Odstavecseseznamem"/>
        <w:numPr>
          <w:ilvl w:val="0"/>
          <w:numId w:val="49"/>
        </w:numPr>
        <w:spacing w:after="240"/>
        <w:ind w:left="357" w:hanging="357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 xml:space="preserve">pobíralo důchod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2 894,1 tis. osob,</w:t>
      </w:r>
      <w:r w:rsidRPr="00C30F6B">
        <w:rPr>
          <w:rFonts w:asciiTheme="minorHAnsi" w:hAnsiTheme="minorHAnsi" w:cstheme="minorHAnsi"/>
          <w:sz w:val="26"/>
          <w:szCs w:val="26"/>
        </w:rPr>
        <w:t xml:space="preserve"> přičemž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jejich počet se</w:t>
      </w:r>
      <w:r w:rsidRPr="00C30F6B">
        <w:rPr>
          <w:rFonts w:asciiTheme="minorHAnsi" w:hAnsiTheme="minorHAnsi" w:cstheme="minorHAnsi"/>
          <w:sz w:val="26"/>
          <w:szCs w:val="26"/>
        </w:rPr>
        <w:t xml:space="preserve"> meziročně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zvýšil</w:t>
      </w:r>
      <w:r w:rsidRPr="00C30F6B">
        <w:rPr>
          <w:rFonts w:asciiTheme="minorHAnsi" w:hAnsiTheme="minorHAnsi" w:cstheme="minorHAnsi"/>
          <w:sz w:val="26"/>
          <w:szCs w:val="26"/>
        </w:rPr>
        <w:t xml:space="preserve"> o 3,1 tis. (tj. 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0,1 %</w:t>
      </w:r>
      <w:r w:rsidRPr="00C30F6B">
        <w:rPr>
          <w:rFonts w:asciiTheme="minorHAnsi" w:hAnsiTheme="minorHAnsi" w:cstheme="minorHAnsi"/>
          <w:sz w:val="26"/>
          <w:szCs w:val="26"/>
        </w:rPr>
        <w:t xml:space="preserve">).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Počet důchodců se starobním důchodem</w:t>
      </w:r>
      <w:r w:rsidRPr="00C30F6B">
        <w:rPr>
          <w:rFonts w:asciiTheme="minorHAnsi" w:hAnsiTheme="minorHAnsi" w:cstheme="minorHAnsi"/>
          <w:sz w:val="26"/>
          <w:szCs w:val="26"/>
        </w:rPr>
        <w:t xml:space="preserve"> (včetně poměrného starobního) byl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2 412,4 tis.</w:t>
      </w:r>
      <w:r w:rsidRPr="00C30F6B">
        <w:rPr>
          <w:rFonts w:asciiTheme="minorHAnsi" w:hAnsiTheme="minorHAnsi" w:cstheme="minorHAnsi"/>
          <w:sz w:val="26"/>
          <w:szCs w:val="26"/>
        </w:rPr>
        <w:t xml:space="preserve">, tj. o 8,8 tis. vyšší než v březnu 2019, v rámci této skupiny důchodců činil počet osob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 xml:space="preserve">s trvale kráceným důchodem 644,1 tis. </w:t>
      </w:r>
      <w:r w:rsidRPr="00C30F6B">
        <w:rPr>
          <w:rFonts w:asciiTheme="minorHAnsi" w:hAnsiTheme="minorHAnsi" w:cstheme="minorHAnsi"/>
          <w:sz w:val="26"/>
          <w:szCs w:val="26"/>
        </w:rPr>
        <w:lastRenderedPageBreak/>
        <w:t>(oproti stejnému období předchozího roku se zvýšil o 11,7 tis., tj. o 1,9 %). Počet příjemců invalidního důchodu se meziročně snížil o 3,5 tis. (o 0,8 %), počet příjemců pozůstalostních důchodů se snížil, a to vdovského a vdoveckého o 1,7 tis. (o 6,3 %) a sirotčího o 0,5 tis. (o 1,2 %) – viz tabulku č. 9 v příloze,</w:t>
      </w:r>
    </w:p>
    <w:p w:rsidR="002E5616" w:rsidRPr="00C30F6B" w:rsidRDefault="002E5616" w:rsidP="002E5616">
      <w:pPr>
        <w:pStyle w:val="Odstavecseseznamem"/>
        <w:numPr>
          <w:ilvl w:val="0"/>
          <w:numId w:val="49"/>
        </w:numPr>
        <w:spacing w:after="240"/>
        <w:ind w:left="357" w:hanging="357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b/>
          <w:bCs/>
          <w:sz w:val="26"/>
          <w:szCs w:val="26"/>
        </w:rPr>
        <w:t>průměrný</w:t>
      </w:r>
      <w:r w:rsidRPr="00C30F6B">
        <w:rPr>
          <w:rFonts w:asciiTheme="minorHAnsi" w:hAnsiTheme="minorHAnsi" w:cstheme="minorHAnsi"/>
          <w:sz w:val="26"/>
          <w:szCs w:val="26"/>
        </w:rPr>
        <w:t xml:space="preserve"> nominální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starobní důchod</w:t>
      </w:r>
      <w:r w:rsidRPr="00C30F6B">
        <w:rPr>
          <w:rFonts w:asciiTheme="minorHAnsi" w:hAnsiTheme="minorHAnsi" w:cstheme="minorHAnsi"/>
          <w:sz w:val="26"/>
          <w:szCs w:val="26"/>
        </w:rPr>
        <w:t xml:space="preserve"> (vyplácený samostatně)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dosáhl 14 418 Kč</w:t>
      </w:r>
      <w:r w:rsidRPr="00C30F6B">
        <w:rPr>
          <w:rFonts w:asciiTheme="minorHAnsi" w:hAnsiTheme="minorHAnsi" w:cstheme="minorHAnsi"/>
          <w:sz w:val="26"/>
          <w:szCs w:val="26"/>
        </w:rPr>
        <w:t xml:space="preserve"> a 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převýšil</w:t>
      </w:r>
      <w:r w:rsidRPr="00C30F6B">
        <w:rPr>
          <w:rFonts w:asciiTheme="minorHAnsi" w:hAnsiTheme="minorHAnsi" w:cstheme="minorHAnsi"/>
          <w:sz w:val="26"/>
          <w:szCs w:val="26"/>
        </w:rPr>
        <w:t xml:space="preserve"> o 1 023 Kč (tj. 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7,6 %</w:t>
      </w:r>
      <w:r w:rsidRPr="00C30F6B">
        <w:rPr>
          <w:rFonts w:asciiTheme="minorHAnsi" w:hAnsiTheme="minorHAnsi" w:cstheme="minorHAnsi"/>
          <w:sz w:val="26"/>
          <w:szCs w:val="26"/>
        </w:rPr>
        <w:t xml:space="preserve">) skutečnost stejného měsíce roku 2019. U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žen</w:t>
      </w:r>
      <w:r w:rsidRPr="00C30F6B">
        <w:rPr>
          <w:rFonts w:asciiTheme="minorHAnsi" w:hAnsiTheme="minorHAnsi" w:cstheme="minorHAnsi"/>
          <w:sz w:val="26"/>
          <w:szCs w:val="26"/>
        </w:rPr>
        <w:t xml:space="preserve"> činil 13 159 Kč, čímž představoval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83,2 % průměrného důchodu mužů</w:t>
      </w:r>
      <w:r w:rsidRPr="00C30F6B">
        <w:rPr>
          <w:rFonts w:asciiTheme="minorHAnsi" w:hAnsiTheme="minorHAnsi" w:cstheme="minorHAnsi"/>
          <w:sz w:val="26"/>
          <w:szCs w:val="26"/>
        </w:rPr>
        <w:t xml:space="preserve"> (15 807 Kč). Průměrná výše trvale kráceného důchodu byla oproti průměrnému starobnímu důchodu o 1 543 Kč nižší a dosáhla 12 875 Kč (o 927 Kč více než ve srovnatelném období předchozího roku), z toho u mužů 14 186 Kč a u žen 11 698 Kč.</w:t>
      </w:r>
    </w:p>
    <w:p w:rsidR="002E5616" w:rsidRPr="00C30F6B" w:rsidRDefault="002E5616" w:rsidP="002E5616">
      <w:pPr>
        <w:spacing w:after="60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="Arial"/>
          <w:sz w:val="26"/>
          <w:szCs w:val="26"/>
        </w:rPr>
        <w:tab/>
      </w:r>
      <w:r w:rsidRPr="00C30F6B">
        <w:rPr>
          <w:rFonts w:asciiTheme="minorHAnsi" w:hAnsiTheme="minorHAnsi" w:cstheme="minorHAnsi"/>
          <w:sz w:val="26"/>
          <w:szCs w:val="26"/>
        </w:rPr>
        <w:t xml:space="preserve">Na </w:t>
      </w:r>
      <w:r w:rsidRPr="00C30F6B">
        <w:rPr>
          <w:rFonts w:asciiTheme="minorHAnsi" w:hAnsiTheme="minorHAnsi" w:cstheme="minorHAnsi"/>
          <w:b/>
          <w:bCs/>
          <w:sz w:val="26"/>
          <w:szCs w:val="26"/>
          <w:u w:val="single"/>
        </w:rPr>
        <w:t>dávkách státní sociální podpory a dávkách pěstounské péče</w:t>
      </w:r>
      <w:r w:rsidRPr="00C30F6B">
        <w:rPr>
          <w:rFonts w:asciiTheme="minorHAnsi" w:hAnsiTheme="minorHAnsi" w:cstheme="minorHAnsi"/>
          <w:sz w:val="26"/>
          <w:szCs w:val="26"/>
        </w:rPr>
        <w:t xml:space="preserve"> bylo v 1. čtvrtletí 2020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vyplaceno 12,0 mld. Kč</w:t>
      </w:r>
      <w:r w:rsidRPr="00C30F6B">
        <w:rPr>
          <w:rFonts w:asciiTheme="minorHAnsi" w:hAnsiTheme="minorHAnsi" w:cstheme="minorHAnsi"/>
          <w:sz w:val="26"/>
          <w:szCs w:val="26"/>
        </w:rPr>
        <w:t xml:space="preserve">. V hodnoceném období bylo touto formou vyplaceno meziročně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2,3 mld. Kč</w:t>
      </w:r>
      <w:r w:rsidRPr="00C30F6B">
        <w:rPr>
          <w:rFonts w:asciiTheme="minorHAnsi" w:hAnsiTheme="minorHAnsi" w:cstheme="minorHAnsi"/>
          <w:sz w:val="26"/>
          <w:szCs w:val="26"/>
        </w:rPr>
        <w:t xml:space="preserve"> (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23,7 %</w:t>
      </w:r>
      <w:r w:rsidRPr="00C30F6B">
        <w:rPr>
          <w:rFonts w:asciiTheme="minorHAnsi" w:hAnsiTheme="minorHAnsi" w:cstheme="minorHAnsi"/>
          <w:sz w:val="26"/>
          <w:szCs w:val="26"/>
        </w:rPr>
        <w:t xml:space="preserve">)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více</w:t>
      </w:r>
      <w:r w:rsidRPr="00C30F6B">
        <w:rPr>
          <w:rFonts w:asciiTheme="minorHAnsi" w:hAnsiTheme="minorHAnsi" w:cstheme="minorHAnsi"/>
          <w:sz w:val="26"/>
          <w:szCs w:val="26"/>
        </w:rPr>
        <w:t xml:space="preserve"> finančních prostředků než ve stejném období předchozího roku – viz tabulky č. 8 a 14 v příloze.</w:t>
      </w:r>
    </w:p>
    <w:p w:rsidR="002E5616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Výdaje na</w:t>
      </w:r>
      <w:r w:rsidRPr="00C30F6B">
        <w:rPr>
          <w:rFonts w:asciiTheme="minorHAnsi" w:hAnsiTheme="minorHAnsi" w:cstheme="minorHAnsi"/>
          <w:sz w:val="26"/>
          <w:szCs w:val="26"/>
        </w:rPr>
        <w:t xml:space="preserve"> rozhodující dávku tohoto systému –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rodičovský příspěvek</w:t>
      </w:r>
      <w:r w:rsidRPr="00C30F6B">
        <w:rPr>
          <w:rFonts w:asciiTheme="minorHAnsi" w:hAnsiTheme="minorHAnsi" w:cstheme="minorHAnsi"/>
          <w:sz w:val="26"/>
          <w:szCs w:val="26"/>
        </w:rPr>
        <w:t xml:space="preserve"> –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se zvýšily</w:t>
      </w:r>
      <w:r w:rsidRPr="00C30F6B">
        <w:rPr>
          <w:rFonts w:asciiTheme="minorHAnsi" w:hAnsiTheme="minorHAnsi" w:cstheme="minorHAnsi"/>
          <w:sz w:val="26"/>
          <w:szCs w:val="26"/>
        </w:rPr>
        <w:t xml:space="preserve"> o 2,5 mld. Kč (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39,4 %</w:t>
      </w:r>
      <w:r w:rsidRPr="00C30F6B">
        <w:rPr>
          <w:rFonts w:asciiTheme="minorHAnsi" w:hAnsiTheme="minorHAnsi" w:cstheme="minorHAnsi"/>
          <w:sz w:val="26"/>
          <w:szCs w:val="26"/>
        </w:rPr>
        <w:t>) na 8,7 mld. </w:t>
      </w:r>
      <w:r w:rsidRPr="007808E6">
        <w:rPr>
          <w:rFonts w:asciiTheme="minorHAnsi" w:hAnsiTheme="minorHAnsi" w:cstheme="minorHAnsi"/>
          <w:sz w:val="26"/>
          <w:szCs w:val="26"/>
        </w:rPr>
        <w:t xml:space="preserve">Kč. Důvodem je zvýšení celkové částky, kterou mohou rodiče vyčerpat od 1. ledna 2020 (z 220 000 Kč na 300 000 Kč a pro dvojčata a vícerčata byla částka zvýšena z 330 000 Kč na 450 000 Kč) a s tím související nárůst měsíční výše dávky. Průměrný počet měsíčně </w:t>
      </w:r>
      <w:r w:rsidRPr="00C30F6B">
        <w:rPr>
          <w:rFonts w:asciiTheme="minorHAnsi" w:hAnsiTheme="minorHAnsi" w:cstheme="minorHAnsi"/>
          <w:sz w:val="26"/>
          <w:szCs w:val="26"/>
        </w:rPr>
        <w:t>vyplácených rodičovských příspěvků se zvýšil o 9,1 %, tj. o 25,5 tis. na 305,5 tis.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  <w:t>Na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 xml:space="preserve"> příspěvek na bydlení</w:t>
      </w:r>
      <w:r w:rsidRPr="00C30F6B">
        <w:rPr>
          <w:rFonts w:asciiTheme="minorHAnsi" w:hAnsiTheme="minorHAnsi" w:cstheme="minorHAnsi"/>
          <w:sz w:val="26"/>
          <w:szCs w:val="26"/>
        </w:rPr>
        <w:t xml:space="preserve"> bylo ve sledovaném období vynaloženo 1,8 mld. Kč, tj. 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 4,4 %</w:t>
      </w:r>
      <w:r w:rsidRPr="00C30F6B">
        <w:rPr>
          <w:rFonts w:asciiTheme="minorHAnsi" w:hAnsiTheme="minorHAnsi" w:cstheme="minorHAnsi"/>
          <w:sz w:val="26"/>
          <w:szCs w:val="26"/>
        </w:rPr>
        <w:t xml:space="preserve"> (o 82,6 mil. Kč)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méně</w:t>
      </w:r>
      <w:r w:rsidRPr="00C30F6B">
        <w:rPr>
          <w:rFonts w:asciiTheme="minorHAnsi" w:hAnsiTheme="minorHAnsi" w:cstheme="minorHAnsi"/>
          <w:sz w:val="26"/>
          <w:szCs w:val="26"/>
        </w:rPr>
        <w:t xml:space="preserve"> než v 1. čtvrtletí 2019. Počet v průměru měsíčně vyplácených dávek se rovněž snížil, a to o 9,2 % (tj. o 16,3 tis.) na 160,9 tis., naopak průměrná výše příspěvku se zvýšila z 3 550 Kč na 3 735 Kč.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  <w:t xml:space="preserve">Formou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přídavku na dítě</w:t>
      </w:r>
      <w:r w:rsidRPr="00C30F6B">
        <w:rPr>
          <w:rFonts w:asciiTheme="minorHAnsi" w:hAnsiTheme="minorHAnsi" w:cstheme="minorHAnsi"/>
          <w:sz w:val="26"/>
          <w:szCs w:val="26"/>
        </w:rPr>
        <w:t xml:space="preserve"> bylo vyplaceno 0,5 mld. Kč –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 12,2 %</w:t>
      </w:r>
      <w:r w:rsidRPr="00C30F6B">
        <w:rPr>
          <w:rFonts w:asciiTheme="minorHAnsi" w:hAnsiTheme="minorHAnsi" w:cstheme="minorHAnsi"/>
          <w:sz w:val="26"/>
          <w:szCs w:val="26"/>
        </w:rPr>
        <w:t xml:space="preserve"> (o 73,8 mil. Kč)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méně</w:t>
      </w:r>
      <w:r w:rsidRPr="00C30F6B">
        <w:rPr>
          <w:rFonts w:asciiTheme="minorHAnsi" w:hAnsiTheme="minorHAnsi" w:cstheme="minorHAnsi"/>
          <w:sz w:val="26"/>
          <w:szCs w:val="26"/>
        </w:rPr>
        <w:t xml:space="preserve"> než ve stejném období roku 2019. Průměrný počet měsíčně vyplácených dávek klesl ve sledovaném období o 11,4 % na 224,6 tis.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lastRenderedPageBreak/>
        <w:tab/>
        <w:t xml:space="preserve">Na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porodném</w:t>
      </w:r>
      <w:r w:rsidRPr="00C30F6B">
        <w:rPr>
          <w:rFonts w:asciiTheme="minorHAnsi" w:hAnsiTheme="minorHAnsi" w:cstheme="minorHAnsi"/>
          <w:sz w:val="26"/>
          <w:szCs w:val="26"/>
        </w:rPr>
        <w:t xml:space="preserve"> bylo vyplaceno 28,6 mil. Kč, tj.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21,9 %</w:t>
      </w:r>
      <w:r w:rsidRPr="00C30F6B">
        <w:rPr>
          <w:rFonts w:asciiTheme="minorHAnsi" w:hAnsiTheme="minorHAnsi" w:cstheme="minorHAnsi"/>
          <w:sz w:val="26"/>
          <w:szCs w:val="26"/>
        </w:rPr>
        <w:t xml:space="preserve"> (o 8,0 mil. Kč)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méně</w:t>
      </w:r>
      <w:r w:rsidRPr="00C30F6B">
        <w:rPr>
          <w:rFonts w:asciiTheme="minorHAnsi" w:hAnsiTheme="minorHAnsi" w:cstheme="minorHAnsi"/>
          <w:sz w:val="26"/>
          <w:szCs w:val="26"/>
        </w:rPr>
        <w:t xml:space="preserve"> než ve stejném období předchozího roku, na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pohřebném</w:t>
      </w:r>
      <w:r w:rsidRPr="00C30F6B">
        <w:rPr>
          <w:rFonts w:asciiTheme="minorHAnsi" w:hAnsiTheme="minorHAnsi" w:cstheme="minorHAnsi"/>
          <w:sz w:val="26"/>
          <w:szCs w:val="26"/>
        </w:rPr>
        <w:t xml:space="preserve"> pak 3,2 mil. Kč (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0,1 mil. Kč méně</w:t>
      </w:r>
      <w:r w:rsidRPr="00C30F6B">
        <w:rPr>
          <w:rFonts w:asciiTheme="minorHAnsi" w:hAnsiTheme="minorHAnsi" w:cstheme="minorHAnsi"/>
          <w:sz w:val="26"/>
          <w:szCs w:val="26"/>
        </w:rPr>
        <w:t>).</w:t>
      </w:r>
    </w:p>
    <w:p w:rsidR="002E5616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  <w:t xml:space="preserve">Na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dávky pěstounské péče</w:t>
      </w:r>
      <w:r w:rsidRPr="00C30F6B">
        <w:rPr>
          <w:rFonts w:asciiTheme="minorHAnsi" w:hAnsiTheme="minorHAnsi" w:cstheme="minorHAnsi"/>
          <w:sz w:val="26"/>
          <w:szCs w:val="26"/>
        </w:rPr>
        <w:t xml:space="preserve"> bylo vynaloženo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 1,9 %</w:t>
      </w:r>
      <w:r w:rsidRPr="00C30F6B">
        <w:rPr>
          <w:rFonts w:asciiTheme="minorHAnsi" w:hAnsiTheme="minorHAnsi" w:cstheme="minorHAnsi"/>
          <w:sz w:val="26"/>
          <w:szCs w:val="26"/>
        </w:rPr>
        <w:t xml:space="preserve"> (o 18,4 mil. Kč) meziročně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více,</w:t>
      </w:r>
      <w:r w:rsidRPr="00C30F6B">
        <w:rPr>
          <w:rFonts w:asciiTheme="minorHAnsi" w:hAnsiTheme="minorHAnsi" w:cstheme="minorHAnsi"/>
          <w:sz w:val="26"/>
          <w:szCs w:val="26"/>
        </w:rPr>
        <w:t xml:space="preserve"> tedy 1,0 mld. Kč. Jejich průměrný měsíční počet vzrostl o 1,3 % (na 30,8 tis.) – viz tabulky č. 10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C30F6B">
        <w:rPr>
          <w:rFonts w:asciiTheme="minorHAnsi" w:hAnsiTheme="minorHAnsi" w:cstheme="minorHAnsi"/>
          <w:sz w:val="26"/>
          <w:szCs w:val="26"/>
        </w:rPr>
        <w:t>–</w:t>
      </w:r>
      <w:r>
        <w:rPr>
          <w:rFonts w:asciiTheme="minorHAnsi" w:hAnsiTheme="minorHAnsi" w:cstheme="minorHAnsi"/>
          <w:sz w:val="26"/>
          <w:szCs w:val="26"/>
        </w:rPr>
        <w:t> </w:t>
      </w:r>
      <w:r w:rsidRPr="00C30F6B">
        <w:rPr>
          <w:rFonts w:asciiTheme="minorHAnsi" w:hAnsiTheme="minorHAnsi" w:cstheme="minorHAnsi"/>
          <w:sz w:val="26"/>
          <w:szCs w:val="26"/>
        </w:rPr>
        <w:t>13 v příloze.</w:t>
      </w:r>
    </w:p>
    <w:p w:rsidR="002E5616" w:rsidRPr="00C30F6B" w:rsidRDefault="002E5616" w:rsidP="002E5616">
      <w:pPr>
        <w:spacing w:after="60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  <w:t xml:space="preserve">V pořadí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třetí</w:t>
      </w:r>
      <w:r w:rsidRPr="00C30F6B">
        <w:rPr>
          <w:rFonts w:asciiTheme="minorHAnsi" w:hAnsiTheme="minorHAnsi" w:cstheme="minorHAnsi"/>
          <w:sz w:val="26"/>
          <w:szCs w:val="26"/>
        </w:rPr>
        <w:t xml:space="preserve"> objemově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největší položku</w:t>
      </w:r>
      <w:r w:rsidRPr="00C30F6B">
        <w:rPr>
          <w:rFonts w:asciiTheme="minorHAnsi" w:hAnsiTheme="minorHAnsi" w:cstheme="minorHAnsi"/>
          <w:sz w:val="26"/>
          <w:szCs w:val="26"/>
        </w:rPr>
        <w:t xml:space="preserve"> sociálních příjmů domácností tvořily </w:t>
      </w:r>
      <w:r w:rsidRPr="00C30F6B">
        <w:rPr>
          <w:rFonts w:asciiTheme="minorHAnsi" w:hAnsiTheme="minorHAnsi" w:cstheme="minorHAnsi"/>
          <w:b/>
          <w:bCs/>
          <w:sz w:val="26"/>
          <w:szCs w:val="26"/>
          <w:u w:val="single"/>
        </w:rPr>
        <w:t>dávky nemocenského pojištění</w:t>
      </w:r>
      <w:r w:rsidRPr="00C30F6B">
        <w:rPr>
          <w:rFonts w:asciiTheme="minorHAnsi" w:hAnsiTheme="minorHAnsi" w:cstheme="minorHAnsi"/>
          <w:sz w:val="26"/>
          <w:szCs w:val="26"/>
        </w:rPr>
        <w:t xml:space="preserve">. Touto formou bylo v 1. čtvrtletí 2020 poskytnuto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10,9 mld. Kč,</w:t>
      </w:r>
      <w:r w:rsidRPr="00C30F6B">
        <w:rPr>
          <w:rFonts w:asciiTheme="minorHAnsi" w:hAnsiTheme="minorHAnsi" w:cstheme="minorHAnsi"/>
          <w:sz w:val="26"/>
          <w:szCs w:val="26"/>
        </w:rPr>
        <w:t xml:space="preserve"> což bylo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1,0 mld. Kč</w:t>
      </w:r>
      <w:r w:rsidRPr="00C30F6B">
        <w:rPr>
          <w:rFonts w:asciiTheme="minorHAnsi" w:hAnsiTheme="minorHAnsi" w:cstheme="minorHAnsi"/>
          <w:sz w:val="26"/>
          <w:szCs w:val="26"/>
        </w:rPr>
        <w:t xml:space="preserve"> (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10,5 %</w:t>
      </w:r>
      <w:r w:rsidRPr="00C30F6B">
        <w:rPr>
          <w:rFonts w:asciiTheme="minorHAnsi" w:hAnsiTheme="minorHAnsi" w:cstheme="minorHAnsi"/>
          <w:sz w:val="26"/>
          <w:szCs w:val="26"/>
        </w:rPr>
        <w:t xml:space="preserve">)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více</w:t>
      </w:r>
      <w:r w:rsidRPr="00C30F6B">
        <w:rPr>
          <w:rFonts w:asciiTheme="minorHAnsi" w:hAnsiTheme="minorHAnsi" w:cstheme="minorHAnsi"/>
          <w:sz w:val="26"/>
          <w:szCs w:val="26"/>
        </w:rPr>
        <w:t xml:space="preserve"> než ve srovnatelném období předchozího roku – viz tabulku č. 8 v příloze.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  <w:t xml:space="preserve">Rozhodující dávkou bylo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nemocenské</w:t>
      </w:r>
      <w:r w:rsidRPr="00C30F6B">
        <w:rPr>
          <w:rFonts w:asciiTheme="minorHAnsi" w:hAnsiTheme="minorHAnsi" w:cstheme="minorHAnsi"/>
          <w:sz w:val="26"/>
          <w:szCs w:val="26"/>
        </w:rPr>
        <w:t xml:space="preserve">, jehož objem dosáhl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7,6 mld. Kč</w:t>
      </w:r>
      <w:r w:rsidRPr="00C30F6B">
        <w:rPr>
          <w:rFonts w:asciiTheme="minorHAnsi" w:hAnsiTheme="minorHAnsi" w:cstheme="minorHAnsi"/>
          <w:sz w:val="26"/>
          <w:szCs w:val="26"/>
        </w:rPr>
        <w:t>, tj. o 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11,5 %</w:t>
      </w:r>
      <w:r w:rsidRPr="00C30F6B">
        <w:rPr>
          <w:rFonts w:asciiTheme="minorHAnsi" w:hAnsiTheme="minorHAnsi" w:cstheme="minorHAnsi"/>
          <w:sz w:val="26"/>
          <w:szCs w:val="26"/>
        </w:rPr>
        <w:t xml:space="preserve"> (o 0,8 mld. Kč)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více</w:t>
      </w:r>
      <w:r w:rsidRPr="00C30F6B">
        <w:rPr>
          <w:rFonts w:asciiTheme="minorHAnsi" w:hAnsiTheme="minorHAnsi" w:cstheme="minorHAnsi"/>
          <w:sz w:val="26"/>
          <w:szCs w:val="26"/>
        </w:rPr>
        <w:t xml:space="preserve"> než ve stejném období předchozího roku.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  <w:t xml:space="preserve">Na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peněžitou pomoc v mateřství</w:t>
      </w:r>
      <w:r w:rsidRPr="00C30F6B">
        <w:rPr>
          <w:rFonts w:asciiTheme="minorHAnsi" w:hAnsiTheme="minorHAnsi" w:cstheme="minorHAnsi"/>
          <w:sz w:val="26"/>
          <w:szCs w:val="26"/>
        </w:rPr>
        <w:t xml:space="preserve"> bylo za leden až březen 2020 vyplaceno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2,5 mld. Kč,</w:t>
      </w:r>
      <w:r w:rsidRPr="00C30F6B">
        <w:rPr>
          <w:rFonts w:asciiTheme="minorHAnsi" w:hAnsiTheme="minorHAnsi" w:cstheme="minorHAnsi"/>
          <w:sz w:val="26"/>
          <w:szCs w:val="26"/>
        </w:rPr>
        <w:t xml:space="preserve"> což je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7,0 %</w:t>
      </w:r>
      <w:r w:rsidRPr="00C30F6B">
        <w:rPr>
          <w:rFonts w:asciiTheme="minorHAnsi" w:hAnsiTheme="minorHAnsi" w:cstheme="minorHAnsi"/>
          <w:sz w:val="26"/>
          <w:szCs w:val="26"/>
        </w:rPr>
        <w:t xml:space="preserve"> (o 166,4 mil. Kč)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více</w:t>
      </w:r>
      <w:r w:rsidRPr="00C30F6B">
        <w:rPr>
          <w:rFonts w:asciiTheme="minorHAnsi" w:hAnsiTheme="minorHAnsi" w:cstheme="minorHAnsi"/>
          <w:sz w:val="26"/>
          <w:szCs w:val="26"/>
        </w:rPr>
        <w:t xml:space="preserve"> než za 1. čtvrtletí 2019.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  <w:t xml:space="preserve">Objem finančních prostředků poskytnutých na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ošetřovné</w:t>
      </w:r>
      <w:r w:rsidRPr="00C30F6B">
        <w:rPr>
          <w:rFonts w:asciiTheme="minorHAnsi" w:hAnsiTheme="minorHAnsi" w:cstheme="minorHAnsi"/>
          <w:sz w:val="26"/>
          <w:szCs w:val="26"/>
        </w:rPr>
        <w:t xml:space="preserve">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vzrostl na 624,6 mil. Kč</w:t>
      </w:r>
      <w:r w:rsidRPr="00C30F6B">
        <w:rPr>
          <w:rFonts w:asciiTheme="minorHAnsi" w:hAnsiTheme="minorHAnsi" w:cstheme="minorHAnsi"/>
          <w:sz w:val="26"/>
          <w:szCs w:val="26"/>
        </w:rPr>
        <w:t xml:space="preserve"> (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10,7 %</w:t>
      </w:r>
      <w:r w:rsidRPr="00C30F6B">
        <w:rPr>
          <w:rFonts w:asciiTheme="minorHAnsi" w:hAnsiTheme="minorHAnsi" w:cstheme="minorHAnsi"/>
          <w:sz w:val="26"/>
          <w:szCs w:val="26"/>
        </w:rPr>
        <w:t>, tj. o 60,2 mil. Kč).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  <w:t xml:space="preserve">Na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 xml:space="preserve">otcovskou poporodní péči stouply </w:t>
      </w:r>
      <w:r w:rsidRPr="00C30F6B">
        <w:rPr>
          <w:rFonts w:asciiTheme="minorHAnsi" w:hAnsiTheme="minorHAnsi" w:cstheme="minorHAnsi"/>
          <w:sz w:val="26"/>
          <w:szCs w:val="26"/>
        </w:rPr>
        <w:t xml:space="preserve">ve sledovaném období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výdaje o 10,8 %</w:t>
      </w:r>
      <w:r w:rsidRPr="00C30F6B">
        <w:rPr>
          <w:rFonts w:asciiTheme="minorHAnsi" w:hAnsiTheme="minorHAnsi" w:cstheme="minorHAnsi"/>
          <w:sz w:val="26"/>
          <w:szCs w:val="26"/>
        </w:rPr>
        <w:t xml:space="preserve"> (o 6,5 mil. Kč) na 66,9 mil. Kč.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  <w:t xml:space="preserve">Na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dlouhodobé ošetřovné</w:t>
      </w:r>
      <w:r w:rsidRPr="00C30F6B">
        <w:rPr>
          <w:rFonts w:asciiTheme="minorHAnsi" w:hAnsiTheme="minorHAnsi" w:cstheme="minorHAnsi"/>
          <w:sz w:val="26"/>
          <w:szCs w:val="26"/>
        </w:rPr>
        <w:t xml:space="preserve">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 xml:space="preserve">výdaje </w:t>
      </w:r>
      <w:r w:rsidRPr="00C30F6B">
        <w:rPr>
          <w:rFonts w:asciiTheme="minorHAnsi" w:hAnsiTheme="minorHAnsi" w:cstheme="minorHAnsi"/>
          <w:sz w:val="26"/>
          <w:szCs w:val="26"/>
        </w:rPr>
        <w:t>rovněž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 xml:space="preserve"> vzrostly</w:t>
      </w:r>
      <w:r w:rsidRPr="00C30F6B">
        <w:rPr>
          <w:rFonts w:asciiTheme="minorHAnsi" w:hAnsiTheme="minorHAnsi" w:cstheme="minorHAnsi"/>
          <w:sz w:val="26"/>
          <w:szCs w:val="26"/>
        </w:rPr>
        <w:t xml:space="preserve">, a to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 29,3 %</w:t>
      </w:r>
      <w:r w:rsidRPr="00C30F6B">
        <w:rPr>
          <w:rFonts w:asciiTheme="minorHAnsi" w:hAnsiTheme="minorHAnsi" w:cstheme="minorHAnsi"/>
          <w:sz w:val="26"/>
          <w:szCs w:val="26"/>
        </w:rPr>
        <w:t xml:space="preserve"> (o 7,5 mil. Kč) na 32,9 mil. Kč.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  <w:t xml:space="preserve">Na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vyrovnávací příspěvek v těhotenství a mateřství</w:t>
      </w:r>
      <w:r w:rsidRPr="00C30F6B">
        <w:rPr>
          <w:rFonts w:asciiTheme="minorHAnsi" w:hAnsiTheme="minorHAnsi" w:cstheme="minorHAnsi"/>
          <w:sz w:val="26"/>
          <w:szCs w:val="26"/>
        </w:rPr>
        <w:t xml:space="preserve"> bylo poskytnuto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2,2 mil. Kč</w:t>
      </w:r>
      <w:r w:rsidRPr="00C30F6B">
        <w:rPr>
          <w:rFonts w:asciiTheme="minorHAnsi" w:hAnsiTheme="minorHAnsi" w:cstheme="minorHAnsi"/>
          <w:sz w:val="26"/>
          <w:szCs w:val="26"/>
        </w:rPr>
        <w:t xml:space="preserve"> –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 11,6 % více</w:t>
      </w:r>
      <w:r w:rsidRPr="00C30F6B">
        <w:rPr>
          <w:rFonts w:asciiTheme="minorHAnsi" w:hAnsiTheme="minorHAnsi" w:cstheme="minorHAnsi"/>
          <w:sz w:val="26"/>
          <w:szCs w:val="26"/>
        </w:rPr>
        <w:t xml:space="preserve"> než v 1. čtvrtletí 2019.</w:t>
      </w:r>
    </w:p>
    <w:p w:rsidR="002E5616" w:rsidRPr="00C30F6B" w:rsidRDefault="002E5616" w:rsidP="002E5616">
      <w:pPr>
        <w:spacing w:after="48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lastRenderedPageBreak/>
        <w:tab/>
        <w:t xml:space="preserve">Další významnou složkou sociálních příjmů domácností byl </w:t>
      </w:r>
      <w:r w:rsidRPr="00C30F6B">
        <w:rPr>
          <w:rFonts w:asciiTheme="minorHAnsi" w:hAnsiTheme="minorHAnsi" w:cstheme="minorHAnsi"/>
          <w:b/>
          <w:bCs/>
          <w:sz w:val="26"/>
          <w:szCs w:val="26"/>
          <w:u w:val="single"/>
        </w:rPr>
        <w:t>příspěvek na péči</w:t>
      </w:r>
      <w:r w:rsidRPr="00C30F6B">
        <w:rPr>
          <w:rFonts w:asciiTheme="minorHAnsi" w:hAnsiTheme="minorHAnsi" w:cstheme="minorHAnsi"/>
          <w:sz w:val="26"/>
          <w:szCs w:val="26"/>
        </w:rPr>
        <w:t xml:space="preserve">. V hodnoceném období bylo takto vyplaceno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8,2 mld. Kč,</w:t>
      </w:r>
      <w:r w:rsidRPr="00C30F6B">
        <w:rPr>
          <w:rFonts w:asciiTheme="minorHAnsi" w:hAnsiTheme="minorHAnsi" w:cstheme="minorHAnsi"/>
          <w:sz w:val="26"/>
          <w:szCs w:val="26"/>
        </w:rPr>
        <w:t xml:space="preserve"> což bylo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24,9 %</w:t>
      </w:r>
      <w:r w:rsidRPr="00C30F6B">
        <w:rPr>
          <w:rFonts w:asciiTheme="minorHAnsi" w:hAnsiTheme="minorHAnsi" w:cstheme="minorHAnsi"/>
          <w:sz w:val="26"/>
          <w:szCs w:val="26"/>
        </w:rPr>
        <w:t xml:space="preserve"> (o 1,6 mld. Kč) meziročně více – viz tabulku č. 15 v příloze.</w:t>
      </w:r>
    </w:p>
    <w:p w:rsidR="002E5616" w:rsidRPr="00C30F6B" w:rsidRDefault="002E5616" w:rsidP="002E5616">
      <w:pPr>
        <w:spacing w:after="24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 březnu 2020:</w:t>
      </w:r>
    </w:p>
    <w:p w:rsidR="002E5616" w:rsidRPr="00C30F6B" w:rsidRDefault="002E5616" w:rsidP="002E5616">
      <w:pPr>
        <w:pStyle w:val="Odstavecseseznamem"/>
        <w:numPr>
          <w:ilvl w:val="0"/>
          <w:numId w:val="50"/>
        </w:numPr>
        <w:spacing w:after="240"/>
        <w:ind w:left="357" w:hanging="357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>bylo vyplaceno 366,7 tis. dávek, tj. o 4,8 tis. více než v březnu 2019,</w:t>
      </w:r>
    </w:p>
    <w:p w:rsidR="002E5616" w:rsidRPr="00C30F6B" w:rsidRDefault="002E5616" w:rsidP="002E5616">
      <w:pPr>
        <w:pStyle w:val="Odstavecseseznamem"/>
        <w:numPr>
          <w:ilvl w:val="0"/>
          <w:numId w:val="50"/>
        </w:numPr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>příjemcům s I. stupněm závislosti bylo vyplaceno 28,8 % příspěvků, s II. stupněm 32,1 %, se III. stupněm 24,6 % a osobám se IV. stupněm závislosti 14,5 % příspěvků.</w:t>
      </w:r>
    </w:p>
    <w:p w:rsidR="002E5616" w:rsidRDefault="002E5616" w:rsidP="002E5616">
      <w:pPr>
        <w:spacing w:after="600"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="Arial"/>
          <w:sz w:val="26"/>
          <w:szCs w:val="26"/>
        </w:rPr>
        <w:tab/>
      </w:r>
      <w:r w:rsidRPr="00C30F6B">
        <w:rPr>
          <w:rFonts w:asciiTheme="minorHAnsi" w:hAnsiTheme="minorHAnsi" w:cstheme="minorHAnsi"/>
          <w:sz w:val="26"/>
          <w:szCs w:val="26"/>
        </w:rPr>
        <w:t xml:space="preserve">Na prostředky vyplacené formou </w:t>
      </w:r>
      <w:r w:rsidRPr="00C30F6B">
        <w:rPr>
          <w:rFonts w:asciiTheme="minorHAnsi" w:hAnsiTheme="minorHAnsi" w:cstheme="minorHAnsi"/>
          <w:b/>
          <w:bCs/>
          <w:sz w:val="26"/>
          <w:szCs w:val="26"/>
          <w:u w:val="single"/>
        </w:rPr>
        <w:t>podpory v nezaměstnanosti</w:t>
      </w:r>
      <w:r w:rsidRPr="00C30F6B">
        <w:rPr>
          <w:rFonts w:asciiTheme="minorHAnsi" w:hAnsiTheme="minorHAnsi" w:cstheme="minorHAnsi"/>
          <w:sz w:val="26"/>
          <w:szCs w:val="26"/>
        </w:rPr>
        <w:t xml:space="preserve"> bylo v 1. čtvrtletí 2020 vyčerpáno 2,5 mld. Kč při zvýšení o 6,8 % (o 0,2 mld. Kč) – viz tabulku č. 8 v příloze. V uvedeném období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se snížil průměrný podíl nezaměstnaných osob</w:t>
      </w:r>
      <w:r w:rsidRPr="00C30F6B">
        <w:rPr>
          <w:rFonts w:asciiTheme="minorHAnsi" w:hAnsiTheme="minorHAnsi" w:cstheme="minorHAnsi"/>
          <w:sz w:val="26"/>
          <w:szCs w:val="26"/>
        </w:rPr>
        <w:t xml:space="preserve"> (počet dosažitelných uchazečů o zaměstnání ve věku 15 až 64 let k obyvatelstvu stejného věku) z 3,2 % na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3,0 %</w:t>
      </w:r>
      <w:r w:rsidRPr="00C30F6B">
        <w:rPr>
          <w:rFonts w:asciiTheme="minorHAnsi" w:hAnsiTheme="minorHAnsi" w:cstheme="minorHAnsi"/>
          <w:sz w:val="26"/>
          <w:szCs w:val="26"/>
        </w:rPr>
        <w:t>. Průměrný počet evidovaných nezaměstnaných se snížil o 12,6 tis. na 226,0 tis., přičemž průměrný počet evidovaných nezaměstnaných s nárokem na podporu v nezaměstnanosti klesl na 88,6 tis. (o 1,6 tis., tj. o 1,8 %). Podíl žen pobírajících podporu v nezaměstnanosti na celkovém počtu uchazečů s podporou činil 47,4 % (o 1,3 p. b. meziročně méně). Na jedno volné pracovní místo připadalo 0,7 uchazečů (stejně jako v 1. čtvrtletí 2019).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Průměrná měsíční výše podpory v nezaměstnanosti</w:t>
      </w:r>
      <w:r w:rsidRPr="00C30F6B">
        <w:rPr>
          <w:rFonts w:asciiTheme="minorHAnsi" w:hAnsiTheme="minorHAnsi" w:cstheme="minorHAnsi"/>
          <w:sz w:val="26"/>
          <w:szCs w:val="26"/>
        </w:rPr>
        <w:t xml:space="preserve"> se ve sledovaném období zvýšila o 635 Kč na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8 213 Kč.</w:t>
      </w:r>
      <w:r w:rsidRPr="00C30F6B">
        <w:rPr>
          <w:rFonts w:asciiTheme="minorHAnsi" w:hAnsiTheme="minorHAnsi" w:cstheme="minorHAnsi"/>
          <w:sz w:val="26"/>
          <w:szCs w:val="26"/>
        </w:rPr>
        <w:t xml:space="preserve"> Meziroční zvýšení průměrné výše podpory bylo zaznamenáno ve všech krajích ČR – viz tabulku č. 16 v příloze.</w:t>
      </w:r>
    </w:p>
    <w:p w:rsidR="002E5616" w:rsidRPr="00C30F6B" w:rsidRDefault="002E5616" w:rsidP="002E5616">
      <w:pPr>
        <w:rPr>
          <w:strike/>
        </w:rPr>
      </w:pPr>
      <w:r w:rsidRPr="00C30F6B">
        <w:rPr>
          <w:strike/>
        </w:rPr>
        <w:br w:type="page"/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lastRenderedPageBreak/>
        <w:tab/>
      </w:r>
      <w:r w:rsidRPr="00C30F6B">
        <w:rPr>
          <w:rFonts w:asciiTheme="minorHAnsi" w:hAnsiTheme="minorHAnsi" w:cstheme="minorHAnsi"/>
          <w:b/>
          <w:bCs/>
          <w:sz w:val="26"/>
          <w:szCs w:val="26"/>
          <w:u w:val="single"/>
        </w:rPr>
        <w:t>Dávky pomoci v hmotné nouzi</w:t>
      </w:r>
      <w:r w:rsidRPr="00C30F6B">
        <w:rPr>
          <w:rFonts w:asciiTheme="minorHAnsi" w:hAnsiTheme="minorHAnsi" w:cstheme="minorHAnsi"/>
          <w:sz w:val="26"/>
          <w:szCs w:val="26"/>
        </w:rPr>
        <w:t xml:space="preserve"> byly čerpány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ve výši 1,0 mld. Kč</w:t>
      </w:r>
      <w:r w:rsidRPr="00C30F6B">
        <w:rPr>
          <w:rFonts w:asciiTheme="minorHAnsi" w:hAnsiTheme="minorHAnsi" w:cstheme="minorHAnsi"/>
          <w:sz w:val="26"/>
          <w:szCs w:val="26"/>
        </w:rPr>
        <w:t>. V porovnání s objemem prostředků poskytnutý</w:t>
      </w:r>
      <w:r>
        <w:rPr>
          <w:rFonts w:asciiTheme="minorHAnsi" w:hAnsiTheme="minorHAnsi" w:cstheme="minorHAnsi"/>
          <w:sz w:val="26"/>
          <w:szCs w:val="26"/>
        </w:rPr>
        <w:t>ch</w:t>
      </w:r>
      <w:r w:rsidRPr="00C30F6B">
        <w:rPr>
          <w:rFonts w:asciiTheme="minorHAnsi" w:hAnsiTheme="minorHAnsi" w:cstheme="minorHAnsi"/>
          <w:sz w:val="26"/>
          <w:szCs w:val="26"/>
        </w:rPr>
        <w:t xml:space="preserve"> touto formou v 1. čtvrtletí 2019 se jednalo o jejich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snížení</w:t>
      </w:r>
      <w:r w:rsidRPr="00C30F6B">
        <w:rPr>
          <w:rFonts w:asciiTheme="minorHAnsi" w:hAnsiTheme="minorHAnsi" w:cstheme="minorHAnsi"/>
          <w:sz w:val="26"/>
          <w:szCs w:val="26"/>
        </w:rPr>
        <w:t xml:space="preserve"> (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11,0 %,</w:t>
      </w:r>
      <w:r w:rsidRPr="00C30F6B">
        <w:rPr>
          <w:rFonts w:asciiTheme="minorHAnsi" w:hAnsiTheme="minorHAnsi" w:cstheme="minorHAnsi"/>
          <w:sz w:val="26"/>
          <w:szCs w:val="26"/>
        </w:rPr>
        <w:t xml:space="preserve"> tj.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128,4 mil. Kč</w:t>
      </w:r>
      <w:r w:rsidRPr="00C30F6B">
        <w:rPr>
          <w:rFonts w:asciiTheme="minorHAnsi" w:hAnsiTheme="minorHAnsi" w:cstheme="minorHAnsi"/>
          <w:sz w:val="26"/>
          <w:szCs w:val="26"/>
        </w:rPr>
        <w:t>) – viz tabulky č. 8 a 17 v příloze. Tyto dávky se kromě Plzeňského kraje (nárůst o 2,5 %) snížily ve všech krajích ČR. Největší objemy dávek byly vyplaceny v krajích Moravskoslezském (258,3 mil. Kč) a Ústeckém (151,5 mil. Kč).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  <w:t xml:space="preserve">Výdaje na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příspěvek na živobytí</w:t>
      </w:r>
      <w:r w:rsidRPr="00C30F6B">
        <w:rPr>
          <w:rFonts w:asciiTheme="minorHAnsi" w:hAnsiTheme="minorHAnsi" w:cstheme="minorHAnsi"/>
          <w:sz w:val="26"/>
          <w:szCs w:val="26"/>
        </w:rPr>
        <w:t xml:space="preserve"> (jejichž podíl ve sledovaném období činil 62,0 % z úhrnného objemu prostředků na dávky pomoci v hmotné nouzi) klesly na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644,5 mil. Kč</w:t>
      </w:r>
      <w:r w:rsidRPr="00C30F6B">
        <w:rPr>
          <w:rFonts w:asciiTheme="minorHAnsi" w:hAnsiTheme="minorHAnsi" w:cstheme="minorHAnsi"/>
          <w:sz w:val="26"/>
          <w:szCs w:val="26"/>
        </w:rPr>
        <w:t xml:space="preserve"> a byly o 90,7 mil. Kč (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12,3 %</w:t>
      </w:r>
      <w:r w:rsidRPr="00C30F6B">
        <w:rPr>
          <w:rFonts w:asciiTheme="minorHAnsi" w:hAnsiTheme="minorHAnsi" w:cstheme="minorHAnsi"/>
          <w:sz w:val="26"/>
          <w:szCs w:val="26"/>
        </w:rPr>
        <w:t xml:space="preserve">)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nižší</w:t>
      </w:r>
      <w:r w:rsidRPr="00C30F6B">
        <w:rPr>
          <w:rFonts w:asciiTheme="minorHAnsi" w:hAnsiTheme="minorHAnsi" w:cstheme="minorHAnsi"/>
          <w:sz w:val="26"/>
          <w:szCs w:val="26"/>
        </w:rPr>
        <w:t xml:space="preserve"> než ve stejném období předchozího roku. Na stejné úrovni zůstaly v Plzeňském kraji, ve všech ostatních krajích byly nižší.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  <w:t xml:space="preserve">Na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doplatek na bydlení</w:t>
      </w:r>
      <w:r w:rsidRPr="00C30F6B">
        <w:rPr>
          <w:rFonts w:asciiTheme="minorHAnsi" w:hAnsiTheme="minorHAnsi" w:cstheme="minorHAnsi"/>
          <w:sz w:val="26"/>
          <w:szCs w:val="26"/>
        </w:rPr>
        <w:t xml:space="preserve">, který představoval 36,9 % z úhrnu dávek pomoci v hmotné nouzi, bylo vyplaceno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383,9 mil. Kč,</w:t>
      </w:r>
      <w:r w:rsidRPr="00C30F6B">
        <w:rPr>
          <w:rFonts w:asciiTheme="minorHAnsi" w:hAnsiTheme="minorHAnsi" w:cstheme="minorHAnsi"/>
          <w:sz w:val="26"/>
          <w:szCs w:val="26"/>
        </w:rPr>
        <w:t xml:space="preserve"> tj.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8,7 % méně</w:t>
      </w:r>
      <w:r w:rsidRPr="00C30F6B">
        <w:rPr>
          <w:rFonts w:asciiTheme="minorHAnsi" w:hAnsiTheme="minorHAnsi" w:cstheme="minorHAnsi"/>
          <w:sz w:val="26"/>
          <w:szCs w:val="26"/>
        </w:rPr>
        <w:t xml:space="preserve"> než v 1. čtvrtletí 2019. Nejvyšší nárůst objemu prostředků na tuto dávku byl zaznamenán v Plzeňském a Královéhradeckém kraji (shodně 6,9 %), nejvýraznější pokles byl vykázán v Ústeckém kraji (24,7 %).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  <w:t xml:space="preserve">Rovněž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výdaje na mimořádnou okamžitou pomoc</w:t>
      </w:r>
      <w:r w:rsidRPr="00C30F6B">
        <w:rPr>
          <w:rFonts w:asciiTheme="minorHAnsi" w:hAnsiTheme="minorHAnsi" w:cstheme="minorHAnsi"/>
          <w:sz w:val="26"/>
          <w:szCs w:val="26"/>
        </w:rPr>
        <w:t xml:space="preserve"> se proti srovnatelnému období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snížily</w:t>
      </w:r>
      <w:r w:rsidRPr="00C30F6B">
        <w:rPr>
          <w:rFonts w:asciiTheme="minorHAnsi" w:hAnsiTheme="minorHAnsi" w:cstheme="minorHAnsi"/>
          <w:sz w:val="26"/>
          <w:szCs w:val="26"/>
        </w:rPr>
        <w:t xml:space="preserve">. Vyplaceno na ni bylo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11,7 mil. Kč,</w:t>
      </w:r>
      <w:r w:rsidRPr="00C30F6B">
        <w:rPr>
          <w:rFonts w:asciiTheme="minorHAnsi" w:hAnsiTheme="minorHAnsi" w:cstheme="minorHAnsi"/>
          <w:sz w:val="26"/>
          <w:szCs w:val="26"/>
        </w:rPr>
        <w:t xml:space="preserve"> tj.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o 6,4 % méně</w:t>
      </w:r>
      <w:r w:rsidRPr="00C30F6B">
        <w:rPr>
          <w:rFonts w:asciiTheme="minorHAnsi" w:hAnsiTheme="minorHAnsi" w:cstheme="minorHAnsi"/>
          <w:sz w:val="26"/>
          <w:szCs w:val="26"/>
        </w:rPr>
        <w:t xml:space="preserve"> – viz tabulky 17 a 18 v příloze.</w:t>
      </w:r>
    </w:p>
    <w:p w:rsidR="002E5616" w:rsidRPr="00C30F6B" w:rsidRDefault="002E5616" w:rsidP="002E5616">
      <w:pPr>
        <w:spacing w:after="60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0F6B">
        <w:rPr>
          <w:rFonts w:asciiTheme="minorHAnsi" w:hAnsiTheme="minorHAnsi" w:cstheme="minorHAnsi"/>
          <w:sz w:val="26"/>
          <w:szCs w:val="26"/>
        </w:rPr>
        <w:tab/>
      </w:r>
      <w:r w:rsidRPr="00C30F6B">
        <w:rPr>
          <w:rFonts w:asciiTheme="minorHAnsi" w:hAnsiTheme="minorHAnsi" w:cstheme="minorHAnsi"/>
          <w:b/>
          <w:bCs/>
          <w:sz w:val="26"/>
          <w:szCs w:val="26"/>
          <w:u w:val="single"/>
        </w:rPr>
        <w:t>Dávky pro osoby se zdravotním postižením</w:t>
      </w:r>
      <w:r w:rsidRPr="00C30F6B">
        <w:rPr>
          <w:rFonts w:asciiTheme="minorHAnsi" w:hAnsiTheme="minorHAnsi" w:cstheme="minorHAnsi"/>
          <w:sz w:val="26"/>
          <w:szCs w:val="26"/>
        </w:rPr>
        <w:t xml:space="preserve"> se podílely na celkových sociálních příjmech 0,4 %. Bylo na ně vyplaceno </w:t>
      </w:r>
      <w:r w:rsidRPr="00C30F6B">
        <w:rPr>
          <w:rFonts w:asciiTheme="minorHAnsi" w:hAnsiTheme="minorHAnsi" w:cstheme="minorHAnsi"/>
          <w:b/>
          <w:bCs/>
          <w:sz w:val="26"/>
          <w:szCs w:val="26"/>
        </w:rPr>
        <w:t>0,6 mld. Kč</w:t>
      </w:r>
      <w:r w:rsidRPr="00C30F6B">
        <w:rPr>
          <w:rFonts w:asciiTheme="minorHAnsi" w:hAnsiTheme="minorHAnsi" w:cstheme="minorHAnsi"/>
          <w:sz w:val="26"/>
          <w:szCs w:val="26"/>
        </w:rPr>
        <w:t xml:space="preserve"> (o 1,1 % méně než v 1. čtvrtletí 2019). V 1. čtvrtletí 2020 činily příspěvky na mobilitu 434,0 mil. Kč (o 1,1 % více) a příspěvky na zvláštní pomůcku 212,6 mil. Kč (o 5,3 % méně) – viz tabulku č. 19 v příloze.</w:t>
      </w:r>
    </w:p>
    <w:p w:rsidR="002E5616" w:rsidRPr="00C30F6B" w:rsidRDefault="002E5616" w:rsidP="002E5616">
      <w:pPr>
        <w:spacing w:after="240" w:line="360" w:lineRule="auto"/>
        <w:jc w:val="both"/>
        <w:rPr>
          <w:rFonts w:cs="Arial"/>
          <w:szCs w:val="24"/>
        </w:rPr>
      </w:pPr>
    </w:p>
    <w:p w:rsidR="002E5616" w:rsidRPr="00C30F6B" w:rsidRDefault="002E5616" w:rsidP="002E5616">
      <w:pPr>
        <w:rPr>
          <w:strike/>
        </w:rPr>
      </w:pPr>
      <w:r w:rsidRPr="00C30F6B">
        <w:rPr>
          <w:strike/>
        </w:rPr>
        <w:br w:type="page"/>
      </w:r>
    </w:p>
    <w:p w:rsidR="002E5616" w:rsidRPr="00C30F6B" w:rsidRDefault="002E5616" w:rsidP="002E5616">
      <w:pPr>
        <w:rPr>
          <w:rFonts w:asciiTheme="minorHAnsi" w:hAnsiTheme="minorHAnsi" w:cs="Arial"/>
          <w:b/>
          <w:i/>
          <w:iCs/>
          <w:sz w:val="44"/>
          <w:szCs w:val="44"/>
        </w:rPr>
      </w:pPr>
      <w:r w:rsidRPr="00C30F6B">
        <w:rPr>
          <w:rFonts w:asciiTheme="minorHAnsi" w:hAnsiTheme="minorHAnsi" w:cs="Arial"/>
          <w:b/>
          <w:iCs/>
          <w:sz w:val="44"/>
          <w:szCs w:val="44"/>
        </w:rPr>
        <w:lastRenderedPageBreak/>
        <w:t>2.</w:t>
      </w:r>
      <w:r w:rsidRPr="00C30F6B">
        <w:rPr>
          <w:rFonts w:asciiTheme="minorHAnsi" w:hAnsiTheme="minorHAnsi" w:cs="Arial"/>
          <w:b/>
          <w:i/>
          <w:iCs/>
          <w:sz w:val="44"/>
          <w:szCs w:val="44"/>
        </w:rPr>
        <w:t xml:space="preserve"> </w:t>
      </w:r>
      <w:r w:rsidRPr="00C30F6B">
        <w:rPr>
          <w:rFonts w:asciiTheme="minorHAnsi" w:hAnsiTheme="minorHAnsi" w:cs="Arial"/>
          <w:b/>
          <w:iCs/>
          <w:sz w:val="44"/>
          <w:szCs w:val="44"/>
        </w:rPr>
        <w:t>Spotřebitelské ceny a životní náklady</w:t>
      </w:r>
    </w:p>
    <w:p w:rsidR="002E5616" w:rsidRDefault="002E5616" w:rsidP="002E5616">
      <w:pPr>
        <w:spacing w:line="360" w:lineRule="auto"/>
        <w:rPr>
          <w:rFonts w:cs="Arial"/>
          <w:b/>
          <w:szCs w:val="36"/>
        </w:rPr>
      </w:pPr>
    </w:p>
    <w:p w:rsidR="002E5616" w:rsidRPr="007875AB" w:rsidRDefault="002E5616" w:rsidP="002E5616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7875AB">
        <w:rPr>
          <w:rFonts w:asciiTheme="minorHAnsi" w:hAnsiTheme="minorHAnsi" w:cs="Arial"/>
          <w:b/>
          <w:sz w:val="26"/>
          <w:szCs w:val="26"/>
        </w:rPr>
        <w:tab/>
        <w:t>Index</w:t>
      </w:r>
      <w:r w:rsidRPr="007875AB">
        <w:rPr>
          <w:rFonts w:asciiTheme="minorHAnsi" w:hAnsiTheme="minorHAnsi"/>
          <w:b/>
          <w:bCs/>
          <w:sz w:val="26"/>
          <w:szCs w:val="26"/>
        </w:rPr>
        <w:t xml:space="preserve"> spotřebitelských cen</w:t>
      </w:r>
      <w:r w:rsidRPr="007875AB">
        <w:rPr>
          <w:rFonts w:asciiTheme="minorHAnsi" w:hAnsiTheme="minorHAnsi"/>
          <w:sz w:val="26"/>
          <w:szCs w:val="26"/>
        </w:rPr>
        <w:t xml:space="preserve"> a životních nákladů domácností </w:t>
      </w:r>
      <w:r w:rsidRPr="007875AB">
        <w:rPr>
          <w:rFonts w:asciiTheme="minorHAnsi" w:hAnsiTheme="minorHAnsi"/>
          <w:b/>
          <w:sz w:val="26"/>
          <w:szCs w:val="26"/>
        </w:rPr>
        <w:t>byl</w:t>
      </w:r>
      <w:r w:rsidRPr="007875AB">
        <w:rPr>
          <w:rFonts w:asciiTheme="minorHAnsi" w:hAnsiTheme="minorHAnsi"/>
          <w:sz w:val="26"/>
          <w:szCs w:val="26"/>
        </w:rPr>
        <w:t xml:space="preserve"> letos </w:t>
      </w:r>
      <w:r w:rsidRPr="007875AB">
        <w:rPr>
          <w:rFonts w:asciiTheme="minorHAnsi" w:hAnsiTheme="minorHAnsi"/>
          <w:b/>
          <w:sz w:val="26"/>
          <w:szCs w:val="26"/>
        </w:rPr>
        <w:t>v lednu až</w:t>
      </w:r>
      <w:r>
        <w:rPr>
          <w:rFonts w:asciiTheme="minorHAnsi" w:hAnsiTheme="minorHAnsi"/>
          <w:b/>
          <w:sz w:val="26"/>
          <w:szCs w:val="26"/>
        </w:rPr>
        <w:t> </w:t>
      </w:r>
      <w:r w:rsidRPr="007875AB">
        <w:rPr>
          <w:rFonts w:asciiTheme="minorHAnsi" w:hAnsiTheme="minorHAnsi"/>
          <w:b/>
          <w:sz w:val="26"/>
          <w:szCs w:val="26"/>
        </w:rPr>
        <w:t>březnu vyšší než ve stejném období minulého roku a</w:t>
      </w:r>
      <w:r w:rsidRPr="007875AB">
        <w:rPr>
          <w:rFonts w:asciiTheme="minorHAnsi" w:hAnsiTheme="minorHAnsi"/>
          <w:sz w:val="26"/>
          <w:szCs w:val="26"/>
        </w:rPr>
        <w:t xml:space="preserve"> u domácností celkem </w:t>
      </w:r>
      <w:r w:rsidRPr="007875AB">
        <w:rPr>
          <w:rFonts w:asciiTheme="minorHAnsi" w:hAnsiTheme="minorHAnsi"/>
          <w:b/>
          <w:sz w:val="26"/>
          <w:szCs w:val="26"/>
        </w:rPr>
        <w:t>činil</w:t>
      </w:r>
      <w:r w:rsidRPr="007875AB">
        <w:rPr>
          <w:rFonts w:asciiTheme="minorHAnsi" w:hAnsiTheme="minorHAnsi"/>
          <w:sz w:val="26"/>
          <w:szCs w:val="26"/>
        </w:rPr>
        <w:t xml:space="preserve"> meziročně </w:t>
      </w:r>
      <w:r>
        <w:rPr>
          <w:rFonts w:asciiTheme="minorHAnsi" w:hAnsiTheme="minorHAnsi"/>
          <w:b/>
          <w:sz w:val="26"/>
          <w:szCs w:val="26"/>
        </w:rPr>
        <w:t>3</w:t>
      </w:r>
      <w:r w:rsidRPr="007875AB">
        <w:rPr>
          <w:rFonts w:asciiTheme="minorHAnsi" w:hAnsiTheme="minorHAnsi"/>
          <w:b/>
          <w:sz w:val="26"/>
          <w:szCs w:val="26"/>
        </w:rPr>
        <w:t>,</w:t>
      </w:r>
      <w:r>
        <w:rPr>
          <w:rFonts w:asciiTheme="minorHAnsi" w:hAnsiTheme="minorHAnsi"/>
          <w:b/>
          <w:sz w:val="26"/>
          <w:szCs w:val="26"/>
        </w:rPr>
        <w:t>6</w:t>
      </w:r>
      <w:r w:rsidRPr="007875AB">
        <w:rPr>
          <w:rFonts w:asciiTheme="minorHAnsi" w:hAnsiTheme="minorHAnsi"/>
          <w:b/>
          <w:sz w:val="26"/>
          <w:szCs w:val="26"/>
        </w:rPr>
        <w:t> %</w:t>
      </w:r>
      <w:r w:rsidRPr="007875A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7875AB">
        <w:rPr>
          <w:rFonts w:asciiTheme="minorHAnsi" w:hAnsiTheme="minorHAnsi"/>
          <w:sz w:val="26"/>
          <w:szCs w:val="26"/>
        </w:rPr>
        <w:t>(ve stejném období let 201</w:t>
      </w:r>
      <w:r>
        <w:rPr>
          <w:rFonts w:asciiTheme="minorHAnsi" w:hAnsiTheme="minorHAnsi"/>
          <w:sz w:val="26"/>
          <w:szCs w:val="26"/>
        </w:rPr>
        <w:t>7</w:t>
      </w:r>
      <w:r w:rsidRPr="007875AB">
        <w:rPr>
          <w:rFonts w:asciiTheme="minorHAnsi" w:hAnsiTheme="minorHAnsi"/>
          <w:sz w:val="26"/>
          <w:szCs w:val="26"/>
        </w:rPr>
        <w:t>, 201</w:t>
      </w:r>
      <w:r>
        <w:rPr>
          <w:rFonts w:asciiTheme="minorHAnsi" w:hAnsiTheme="minorHAnsi"/>
          <w:sz w:val="26"/>
          <w:szCs w:val="26"/>
        </w:rPr>
        <w:t>8</w:t>
      </w:r>
      <w:r w:rsidRPr="007875AB">
        <w:rPr>
          <w:rFonts w:asciiTheme="minorHAnsi" w:hAnsiTheme="minorHAnsi"/>
          <w:sz w:val="26"/>
          <w:szCs w:val="26"/>
        </w:rPr>
        <w:t xml:space="preserve"> a 201</w:t>
      </w:r>
      <w:r>
        <w:rPr>
          <w:rFonts w:asciiTheme="minorHAnsi" w:hAnsiTheme="minorHAnsi"/>
          <w:sz w:val="26"/>
          <w:szCs w:val="26"/>
        </w:rPr>
        <w:t>9</w:t>
      </w:r>
      <w:r w:rsidRPr="007875AB">
        <w:rPr>
          <w:rFonts w:asciiTheme="minorHAnsi" w:hAnsiTheme="minorHAnsi"/>
          <w:sz w:val="26"/>
          <w:szCs w:val="26"/>
        </w:rPr>
        <w:t xml:space="preserve"> to bylo </w:t>
      </w:r>
      <w:r>
        <w:rPr>
          <w:rFonts w:asciiTheme="minorHAnsi" w:hAnsiTheme="minorHAnsi"/>
          <w:sz w:val="26"/>
          <w:szCs w:val="26"/>
        </w:rPr>
        <w:t>2</w:t>
      </w:r>
      <w:r w:rsidRPr="007875AB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>4</w:t>
      </w:r>
      <w:r w:rsidRPr="007875AB">
        <w:rPr>
          <w:rFonts w:asciiTheme="minorHAnsi" w:hAnsiTheme="minorHAnsi"/>
          <w:sz w:val="26"/>
          <w:szCs w:val="26"/>
        </w:rPr>
        <w:t xml:space="preserve"> %, </w:t>
      </w:r>
      <w:r>
        <w:rPr>
          <w:rFonts w:asciiTheme="minorHAnsi" w:hAnsiTheme="minorHAnsi"/>
          <w:sz w:val="26"/>
          <w:szCs w:val="26"/>
        </w:rPr>
        <w:t>1</w:t>
      </w:r>
      <w:r w:rsidRPr="007875AB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>9</w:t>
      </w:r>
      <w:r w:rsidRPr="007875AB">
        <w:rPr>
          <w:rFonts w:asciiTheme="minorHAnsi" w:hAnsiTheme="minorHAnsi"/>
          <w:sz w:val="26"/>
          <w:szCs w:val="26"/>
        </w:rPr>
        <w:t> %, resp.</w:t>
      </w:r>
      <w:r>
        <w:rPr>
          <w:rFonts w:asciiTheme="minorHAnsi" w:hAnsiTheme="minorHAnsi"/>
          <w:sz w:val="26"/>
          <w:szCs w:val="26"/>
        </w:rPr>
        <w:t> 2</w:t>
      </w:r>
      <w:r w:rsidRPr="007875AB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>7</w:t>
      </w:r>
      <w:r w:rsidRPr="007875AB">
        <w:rPr>
          <w:rFonts w:asciiTheme="minorHAnsi" w:hAnsiTheme="minorHAnsi"/>
          <w:sz w:val="26"/>
          <w:szCs w:val="26"/>
        </w:rPr>
        <w:t> %).</w:t>
      </w:r>
    </w:p>
    <w:p w:rsidR="002E5616" w:rsidRPr="00A36132" w:rsidRDefault="002E5616" w:rsidP="002E5616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40085D">
        <w:rPr>
          <w:rFonts w:asciiTheme="minorHAnsi" w:hAnsiTheme="minorHAnsi"/>
          <w:sz w:val="26"/>
          <w:szCs w:val="26"/>
        </w:rPr>
        <w:tab/>
      </w:r>
      <w:r w:rsidRPr="0040085D">
        <w:rPr>
          <w:rFonts w:asciiTheme="minorHAnsi" w:hAnsiTheme="minorHAnsi"/>
          <w:b/>
          <w:sz w:val="26"/>
          <w:szCs w:val="26"/>
        </w:rPr>
        <w:t>V prvním čtvrtletí 2020 vzrostly spotřebitelské ceny proti předchozímu čtvrtletí o 1,8 %.</w:t>
      </w:r>
      <w:r w:rsidRPr="0040085D">
        <w:rPr>
          <w:rFonts w:asciiTheme="minorHAnsi" w:hAnsiTheme="minorHAnsi"/>
          <w:sz w:val="26"/>
          <w:szCs w:val="26"/>
        </w:rPr>
        <w:t xml:space="preserve"> Mezičtvrtletní dynamika tak byla vyšší než v prvním čtvrtletí roku 2019 (kdy růst dosáhl hodnoty 1,2 %). </w:t>
      </w:r>
      <w:r w:rsidRPr="00A36132">
        <w:rPr>
          <w:rFonts w:asciiTheme="minorHAnsi" w:hAnsiTheme="minorHAnsi"/>
          <w:sz w:val="26"/>
          <w:szCs w:val="26"/>
        </w:rPr>
        <w:t xml:space="preserve">Významnou roli měl tradičně zejména růst cen v lednu, kdy došlo k meziměsíčnímu zvýšení spotřebitelských cen o 1,5 %. </w:t>
      </w:r>
      <w:r w:rsidRPr="00A36132">
        <w:rPr>
          <w:rFonts w:asciiTheme="minorHAnsi" w:hAnsiTheme="minorHAnsi"/>
          <w:b/>
          <w:sz w:val="26"/>
          <w:szCs w:val="26"/>
        </w:rPr>
        <w:t>Mezičtvrtletní</w:t>
      </w:r>
      <w:r w:rsidRPr="00A36132">
        <w:rPr>
          <w:rFonts w:asciiTheme="minorHAnsi" w:hAnsiTheme="minorHAnsi"/>
          <w:sz w:val="26"/>
          <w:szCs w:val="26"/>
        </w:rPr>
        <w:t xml:space="preserve"> </w:t>
      </w:r>
      <w:r w:rsidRPr="00A36132">
        <w:rPr>
          <w:rFonts w:asciiTheme="minorHAnsi" w:hAnsiTheme="minorHAnsi"/>
          <w:b/>
          <w:sz w:val="26"/>
          <w:szCs w:val="26"/>
        </w:rPr>
        <w:t xml:space="preserve">přírůstek spotřebitelských </w:t>
      </w:r>
      <w:r w:rsidRPr="00A36132">
        <w:rPr>
          <w:rFonts w:asciiTheme="minorHAnsi" w:hAnsiTheme="minorHAnsi"/>
          <w:b/>
          <w:bCs/>
          <w:sz w:val="26"/>
          <w:szCs w:val="26"/>
        </w:rPr>
        <w:t>nákladů</w:t>
      </w:r>
      <w:r w:rsidRPr="00A36132">
        <w:rPr>
          <w:rFonts w:asciiTheme="minorHAnsi" w:hAnsiTheme="minorHAnsi"/>
          <w:bCs/>
          <w:sz w:val="26"/>
          <w:szCs w:val="26"/>
        </w:rPr>
        <w:t xml:space="preserve"> domácností</w:t>
      </w:r>
      <w:r w:rsidRPr="00A36132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A36132">
        <w:rPr>
          <w:rFonts w:asciiTheme="minorHAnsi" w:hAnsiTheme="minorHAnsi"/>
          <w:b/>
          <w:sz w:val="26"/>
          <w:szCs w:val="26"/>
        </w:rPr>
        <w:t>ovlivnily</w:t>
      </w:r>
      <w:r w:rsidRPr="00A36132">
        <w:rPr>
          <w:rFonts w:asciiTheme="minorHAnsi" w:hAnsiTheme="minorHAnsi"/>
          <w:sz w:val="26"/>
          <w:szCs w:val="26"/>
        </w:rPr>
        <w:t xml:space="preserve"> </w:t>
      </w:r>
      <w:r w:rsidRPr="00A36132">
        <w:rPr>
          <w:rFonts w:asciiTheme="minorHAnsi" w:hAnsiTheme="minorHAnsi"/>
          <w:b/>
          <w:sz w:val="26"/>
          <w:szCs w:val="26"/>
        </w:rPr>
        <w:t xml:space="preserve">rostoucí ceny </w:t>
      </w:r>
      <w:r w:rsidRPr="00A36132">
        <w:rPr>
          <w:rFonts w:asciiTheme="minorHAnsi" w:hAnsiTheme="minorHAnsi"/>
          <w:sz w:val="26"/>
          <w:szCs w:val="26"/>
        </w:rPr>
        <w:t>v oddílech</w:t>
      </w:r>
      <w:r w:rsidRPr="00A36132">
        <w:rPr>
          <w:rFonts w:asciiTheme="minorHAnsi" w:hAnsiTheme="minorHAnsi"/>
          <w:b/>
          <w:sz w:val="26"/>
          <w:szCs w:val="26"/>
        </w:rPr>
        <w:t xml:space="preserve"> „potraviny a nealkoholické nápoje“ </w:t>
      </w:r>
      <w:r w:rsidRPr="00A36132">
        <w:rPr>
          <w:rFonts w:asciiTheme="minorHAnsi" w:hAnsiTheme="minorHAnsi"/>
          <w:sz w:val="26"/>
          <w:szCs w:val="26"/>
        </w:rPr>
        <w:t xml:space="preserve">(největší </w:t>
      </w:r>
      <w:r>
        <w:rPr>
          <w:rFonts w:asciiTheme="minorHAnsi" w:hAnsiTheme="minorHAnsi"/>
          <w:sz w:val="26"/>
          <w:szCs w:val="26"/>
        </w:rPr>
        <w:t>podíl</w:t>
      </w:r>
      <w:r w:rsidRPr="00A36132">
        <w:rPr>
          <w:rFonts w:asciiTheme="minorHAnsi" w:hAnsiTheme="minorHAnsi"/>
          <w:sz w:val="26"/>
          <w:szCs w:val="26"/>
        </w:rPr>
        <w:t xml:space="preserve"> měla zelenina, ovoce, maso, pekárenské výrobky a obiloviny),</w:t>
      </w:r>
      <w:r w:rsidRPr="00A36132">
        <w:rPr>
          <w:rFonts w:asciiTheme="minorHAnsi" w:hAnsiTheme="minorHAnsi"/>
          <w:b/>
          <w:sz w:val="26"/>
          <w:szCs w:val="26"/>
        </w:rPr>
        <w:t xml:space="preserve"> „bydlení“ </w:t>
      </w:r>
      <w:r w:rsidRPr="00A36132">
        <w:rPr>
          <w:rFonts w:asciiTheme="minorHAnsi" w:hAnsiTheme="minorHAnsi"/>
          <w:sz w:val="26"/>
          <w:szCs w:val="26"/>
        </w:rPr>
        <w:t xml:space="preserve">(dražší nájemné z bytu, elektřina, zemní plyn, vodné a stočné), </w:t>
      </w:r>
      <w:r w:rsidRPr="00A36132">
        <w:rPr>
          <w:rFonts w:asciiTheme="minorHAnsi" w:hAnsiTheme="minorHAnsi"/>
          <w:b/>
          <w:bCs/>
          <w:sz w:val="26"/>
          <w:szCs w:val="26"/>
        </w:rPr>
        <w:t>„alkoholické nápoje, tabák“</w:t>
      </w:r>
      <w:r w:rsidRPr="00A36132">
        <w:rPr>
          <w:rFonts w:asciiTheme="minorHAnsi" w:hAnsiTheme="minorHAnsi"/>
          <w:sz w:val="26"/>
          <w:szCs w:val="26"/>
        </w:rPr>
        <w:t xml:space="preserve"> a ve výdajovém oddíle </w:t>
      </w:r>
      <w:r w:rsidRPr="00A36132">
        <w:rPr>
          <w:rFonts w:asciiTheme="minorHAnsi" w:hAnsiTheme="minorHAnsi"/>
          <w:b/>
          <w:sz w:val="26"/>
          <w:szCs w:val="26"/>
        </w:rPr>
        <w:t>„rekreace a kultura“</w:t>
      </w:r>
      <w:r w:rsidRPr="00A36132">
        <w:rPr>
          <w:rFonts w:asciiTheme="minorHAnsi" w:hAnsiTheme="minorHAnsi"/>
          <w:sz w:val="26"/>
          <w:szCs w:val="26"/>
        </w:rPr>
        <w:t xml:space="preserve"> (růst cen nastal ve skupině dovolených s komplexními službami). </w:t>
      </w:r>
      <w:r w:rsidRPr="00A36132">
        <w:rPr>
          <w:rFonts w:asciiTheme="minorHAnsi" w:hAnsiTheme="minorHAnsi"/>
          <w:b/>
          <w:sz w:val="26"/>
          <w:szCs w:val="26"/>
        </w:rPr>
        <w:t xml:space="preserve">Opačným směrem působil cenový pokles v oddíle „pošty a telekomunikace“ </w:t>
      </w:r>
      <w:r w:rsidRPr="00A36132">
        <w:rPr>
          <w:rFonts w:asciiTheme="minorHAnsi" w:hAnsiTheme="minorHAnsi"/>
          <w:sz w:val="26"/>
          <w:szCs w:val="26"/>
        </w:rPr>
        <w:t>(pokles cen telefonních a faxových služeb).</w:t>
      </w:r>
    </w:p>
    <w:p w:rsidR="002E5616" w:rsidRPr="006E477A" w:rsidRDefault="002E5616" w:rsidP="002E5616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AB4AA4">
        <w:rPr>
          <w:rFonts w:asciiTheme="minorHAnsi" w:hAnsiTheme="minorHAnsi"/>
          <w:sz w:val="26"/>
          <w:szCs w:val="26"/>
        </w:rPr>
        <w:tab/>
      </w:r>
      <w:r w:rsidRPr="00AB4AA4">
        <w:rPr>
          <w:rFonts w:asciiTheme="minorHAnsi" w:hAnsiTheme="minorHAnsi"/>
          <w:b/>
          <w:sz w:val="26"/>
          <w:szCs w:val="26"/>
        </w:rPr>
        <w:t>V meziročním vyjádření</w:t>
      </w:r>
      <w:r w:rsidRPr="00AB4AA4">
        <w:rPr>
          <w:rFonts w:asciiTheme="minorHAnsi" w:hAnsiTheme="minorHAnsi"/>
          <w:sz w:val="26"/>
          <w:szCs w:val="26"/>
        </w:rPr>
        <w:t xml:space="preserve"> byla dynamika růstu spotřebitelských cen v prvním čtvrtletí vyšší než ve kterémkoliv z jednotlivých čtvrtletí minulého roku. V průměru za </w:t>
      </w:r>
      <w:r w:rsidRPr="00AB4AA4">
        <w:rPr>
          <w:rFonts w:asciiTheme="minorHAnsi" w:hAnsiTheme="minorHAnsi"/>
          <w:b/>
          <w:bCs/>
          <w:sz w:val="26"/>
          <w:szCs w:val="26"/>
        </w:rPr>
        <w:t>první čtvrtletí</w:t>
      </w:r>
      <w:r>
        <w:rPr>
          <w:rFonts w:asciiTheme="minorHAnsi" w:hAnsiTheme="minorHAnsi"/>
          <w:b/>
          <w:bCs/>
          <w:sz w:val="26"/>
          <w:szCs w:val="26"/>
        </w:rPr>
        <w:t xml:space="preserve"> letošního roku</w:t>
      </w:r>
      <w:r w:rsidRPr="00AB4AA4">
        <w:rPr>
          <w:rFonts w:asciiTheme="minorHAnsi" w:hAnsiTheme="minorHAnsi"/>
          <w:b/>
          <w:bCs/>
          <w:sz w:val="26"/>
          <w:szCs w:val="26"/>
        </w:rPr>
        <w:t xml:space="preserve"> vzrostly náklady domácností o 3,6 %, </w:t>
      </w:r>
      <w:r w:rsidRPr="00AB4AA4">
        <w:rPr>
          <w:rFonts w:asciiTheme="minorHAnsi" w:hAnsiTheme="minorHAnsi"/>
          <w:sz w:val="26"/>
          <w:szCs w:val="26"/>
        </w:rPr>
        <w:t>což</w:t>
      </w:r>
      <w:r>
        <w:rPr>
          <w:rFonts w:asciiTheme="minorHAnsi" w:hAnsiTheme="minorHAnsi"/>
          <w:sz w:val="26"/>
          <w:szCs w:val="26"/>
        </w:rPr>
        <w:t> </w:t>
      </w:r>
      <w:r w:rsidRPr="00AB4AA4">
        <w:rPr>
          <w:rFonts w:asciiTheme="minorHAnsi" w:hAnsiTheme="minorHAnsi"/>
          <w:sz w:val="26"/>
          <w:szCs w:val="26"/>
        </w:rPr>
        <w:t xml:space="preserve">bylo o 0,9 p. b. více než ve stejném období předchozího roku, resp. o 0,6 p. b. více než ve čtvrtém </w:t>
      </w:r>
      <w:r w:rsidRPr="006D4B48">
        <w:rPr>
          <w:rFonts w:asciiTheme="minorHAnsi" w:hAnsiTheme="minorHAnsi"/>
          <w:sz w:val="26"/>
          <w:szCs w:val="26"/>
        </w:rPr>
        <w:t>čtvrtletí 2019.</w:t>
      </w:r>
      <w:r w:rsidRPr="006D4B48">
        <w:rPr>
          <w:sz w:val="26"/>
          <w:szCs w:val="26"/>
        </w:rPr>
        <w:t xml:space="preserve"> </w:t>
      </w:r>
      <w:r w:rsidRPr="006D4B48">
        <w:rPr>
          <w:rFonts w:asciiTheme="minorHAnsi" w:hAnsiTheme="minorHAnsi"/>
          <w:sz w:val="26"/>
          <w:szCs w:val="26"/>
        </w:rPr>
        <w:t xml:space="preserve">Příčinou bylo </w:t>
      </w:r>
      <w:r w:rsidRPr="006D4B48">
        <w:rPr>
          <w:rFonts w:asciiTheme="minorHAnsi" w:hAnsiTheme="minorHAnsi"/>
          <w:b/>
          <w:sz w:val="26"/>
          <w:szCs w:val="26"/>
        </w:rPr>
        <w:t>zrychlení růstu cen v oddíle „potraviny a</w:t>
      </w:r>
      <w:r>
        <w:rPr>
          <w:rFonts w:asciiTheme="minorHAnsi" w:hAnsiTheme="minorHAnsi"/>
          <w:b/>
          <w:sz w:val="26"/>
          <w:szCs w:val="26"/>
        </w:rPr>
        <w:t> </w:t>
      </w:r>
      <w:r w:rsidRPr="006D4B48">
        <w:rPr>
          <w:rFonts w:asciiTheme="minorHAnsi" w:hAnsiTheme="minorHAnsi"/>
          <w:b/>
          <w:sz w:val="26"/>
          <w:szCs w:val="26"/>
        </w:rPr>
        <w:t xml:space="preserve">nealkoholické nápoje“, </w:t>
      </w:r>
      <w:r w:rsidRPr="006D4B48">
        <w:rPr>
          <w:rFonts w:asciiTheme="minorHAnsi" w:hAnsiTheme="minorHAnsi"/>
          <w:sz w:val="26"/>
          <w:szCs w:val="26"/>
        </w:rPr>
        <w:t>kde se výrazně zvýšily náklady například ve spotřebních třídách maso</w:t>
      </w:r>
      <w:r>
        <w:rPr>
          <w:rFonts w:asciiTheme="minorHAnsi" w:hAnsiTheme="minorHAnsi"/>
          <w:sz w:val="26"/>
          <w:szCs w:val="26"/>
        </w:rPr>
        <w:t>,</w:t>
      </w:r>
      <w:r w:rsidRPr="006D4B48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či </w:t>
      </w:r>
      <w:r w:rsidRPr="006D4B48">
        <w:rPr>
          <w:rFonts w:asciiTheme="minorHAnsi" w:hAnsiTheme="minorHAnsi"/>
          <w:sz w:val="26"/>
          <w:szCs w:val="26"/>
        </w:rPr>
        <w:t xml:space="preserve">ovoce. Tempo růstu cen vzrostlo v oddíle </w:t>
      </w:r>
      <w:r w:rsidRPr="006D4B48">
        <w:rPr>
          <w:rFonts w:asciiTheme="minorHAnsi" w:hAnsiTheme="minorHAnsi"/>
          <w:b/>
          <w:sz w:val="26"/>
          <w:szCs w:val="26"/>
        </w:rPr>
        <w:t xml:space="preserve">„doprava“ </w:t>
      </w:r>
      <w:r w:rsidRPr="006D4B48">
        <w:rPr>
          <w:rFonts w:asciiTheme="minorHAnsi" w:hAnsiTheme="minorHAnsi"/>
          <w:bCs/>
          <w:sz w:val="26"/>
          <w:szCs w:val="26"/>
        </w:rPr>
        <w:t xml:space="preserve">a přechod z cenového poklesu v růst byl zaznamenán u oddílu </w:t>
      </w:r>
      <w:r w:rsidRPr="006D4B48">
        <w:rPr>
          <w:rFonts w:asciiTheme="minorHAnsi" w:hAnsiTheme="minorHAnsi"/>
          <w:b/>
          <w:sz w:val="26"/>
          <w:szCs w:val="26"/>
        </w:rPr>
        <w:t>„odívání a obuv“</w:t>
      </w:r>
      <w:r w:rsidRPr="00850FE6">
        <w:rPr>
          <w:rFonts w:asciiTheme="minorHAnsi" w:hAnsiTheme="minorHAnsi"/>
          <w:b/>
          <w:bCs/>
          <w:sz w:val="26"/>
          <w:szCs w:val="26"/>
        </w:rPr>
        <w:t>.</w:t>
      </w:r>
      <w:r w:rsidRPr="006D4B48">
        <w:rPr>
          <w:rFonts w:asciiTheme="minorHAnsi" w:hAnsiTheme="minorHAnsi"/>
          <w:sz w:val="26"/>
          <w:szCs w:val="26"/>
        </w:rPr>
        <w:t xml:space="preserve"> </w:t>
      </w:r>
      <w:r w:rsidRPr="00850FE6">
        <w:rPr>
          <w:rFonts w:asciiTheme="minorHAnsi" w:hAnsiTheme="minorHAnsi"/>
          <w:sz w:val="26"/>
          <w:szCs w:val="26"/>
        </w:rPr>
        <w:t>N</w:t>
      </w:r>
      <w:r w:rsidRPr="006D4B48">
        <w:rPr>
          <w:rFonts w:asciiTheme="minorHAnsi" w:hAnsiTheme="minorHAnsi"/>
          <w:sz w:val="26"/>
          <w:szCs w:val="26"/>
        </w:rPr>
        <w:t xml:space="preserve">adále výrazně </w:t>
      </w:r>
      <w:r w:rsidRPr="006D4B48">
        <w:rPr>
          <w:rFonts w:asciiTheme="minorHAnsi" w:hAnsiTheme="minorHAnsi"/>
          <w:bCs/>
          <w:sz w:val="26"/>
          <w:szCs w:val="26"/>
        </w:rPr>
        <w:t>rostly ceny</w:t>
      </w:r>
      <w:r w:rsidRPr="006D4B48">
        <w:rPr>
          <w:rFonts w:asciiTheme="minorHAnsi" w:hAnsiTheme="minorHAnsi"/>
          <w:sz w:val="26"/>
          <w:szCs w:val="26"/>
        </w:rPr>
        <w:t xml:space="preserve"> v oddílech </w:t>
      </w:r>
      <w:r w:rsidRPr="006D4B48">
        <w:rPr>
          <w:rFonts w:asciiTheme="minorHAnsi" w:hAnsiTheme="minorHAnsi"/>
          <w:b/>
          <w:sz w:val="26"/>
          <w:szCs w:val="26"/>
        </w:rPr>
        <w:t>„alkoholické nápoje, tabák“,</w:t>
      </w:r>
      <w:r w:rsidRPr="006D4B48">
        <w:rPr>
          <w:rFonts w:asciiTheme="minorHAnsi" w:hAnsiTheme="minorHAnsi"/>
          <w:sz w:val="26"/>
          <w:szCs w:val="26"/>
        </w:rPr>
        <w:t xml:space="preserve"> </w:t>
      </w:r>
      <w:r w:rsidRPr="006D4B48">
        <w:rPr>
          <w:rFonts w:asciiTheme="minorHAnsi" w:hAnsiTheme="minorHAnsi"/>
          <w:b/>
          <w:sz w:val="26"/>
          <w:szCs w:val="26"/>
        </w:rPr>
        <w:t xml:space="preserve">„bytové vybavení, </w:t>
      </w:r>
      <w:r w:rsidRPr="006E477A">
        <w:rPr>
          <w:rFonts w:asciiTheme="minorHAnsi" w:hAnsiTheme="minorHAnsi"/>
          <w:b/>
          <w:sz w:val="26"/>
          <w:szCs w:val="26"/>
        </w:rPr>
        <w:t>zařízení domácnosti“, „vzdělávání“, „stravování a ubytování“ a „ostatní zboží a služby“. Tržní ceny vzrostly</w:t>
      </w:r>
      <w:r w:rsidRPr="006E477A">
        <w:rPr>
          <w:rFonts w:asciiTheme="minorHAnsi" w:hAnsiTheme="minorHAnsi"/>
          <w:sz w:val="26"/>
          <w:szCs w:val="26"/>
        </w:rPr>
        <w:t xml:space="preserve"> meziročně o 3,5 % a u </w:t>
      </w:r>
      <w:r w:rsidRPr="006E477A">
        <w:rPr>
          <w:rFonts w:asciiTheme="minorHAnsi" w:hAnsiTheme="minorHAnsi"/>
          <w:b/>
          <w:sz w:val="26"/>
          <w:szCs w:val="26"/>
        </w:rPr>
        <w:t xml:space="preserve">regulovaných cen </w:t>
      </w:r>
      <w:r w:rsidRPr="006E477A">
        <w:rPr>
          <w:rFonts w:asciiTheme="minorHAnsi" w:hAnsiTheme="minorHAnsi"/>
          <w:sz w:val="26"/>
          <w:szCs w:val="26"/>
        </w:rPr>
        <w:t>o 4,2 % – viz tabulku č. 20 v příloze.</w:t>
      </w:r>
    </w:p>
    <w:p w:rsidR="002E5616" w:rsidRPr="006E477A" w:rsidRDefault="002E5616" w:rsidP="002E5616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C91A1B">
        <w:rPr>
          <w:rFonts w:asciiTheme="minorHAnsi" w:hAnsiTheme="minorHAnsi"/>
          <w:b/>
          <w:bCs/>
          <w:color w:val="FF0000"/>
          <w:sz w:val="26"/>
          <w:szCs w:val="26"/>
        </w:rPr>
        <w:lastRenderedPageBreak/>
        <w:tab/>
      </w:r>
      <w:r w:rsidRPr="00554A25">
        <w:rPr>
          <w:rFonts w:asciiTheme="minorHAnsi" w:hAnsiTheme="minorHAnsi"/>
          <w:b/>
          <w:bCs/>
          <w:sz w:val="26"/>
          <w:szCs w:val="26"/>
        </w:rPr>
        <w:t>Životní náklady domácností důchodců</w:t>
      </w:r>
      <w:r w:rsidRPr="00554A25">
        <w:rPr>
          <w:rFonts w:asciiTheme="minorHAnsi" w:hAnsiTheme="minorHAnsi"/>
          <w:bCs/>
          <w:sz w:val="26"/>
          <w:szCs w:val="26"/>
        </w:rPr>
        <w:t xml:space="preserve"> ve srovnání s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554A25">
        <w:rPr>
          <w:rFonts w:asciiTheme="minorHAnsi" w:hAnsiTheme="minorHAnsi"/>
          <w:bCs/>
          <w:sz w:val="26"/>
          <w:szCs w:val="26"/>
        </w:rPr>
        <w:t xml:space="preserve">domácnostmi celkem </w:t>
      </w:r>
      <w:r w:rsidRPr="00554A25">
        <w:rPr>
          <w:rFonts w:asciiTheme="minorHAnsi" w:hAnsiTheme="minorHAnsi"/>
          <w:b/>
          <w:bCs/>
          <w:sz w:val="26"/>
          <w:szCs w:val="26"/>
        </w:rPr>
        <w:t>rostly</w:t>
      </w:r>
      <w:r w:rsidRPr="00554A25">
        <w:rPr>
          <w:rFonts w:asciiTheme="minorHAnsi" w:hAnsiTheme="minorHAnsi"/>
          <w:bCs/>
          <w:sz w:val="26"/>
          <w:szCs w:val="26"/>
        </w:rPr>
        <w:t xml:space="preserve"> o 0,2 p. b. </w:t>
      </w:r>
      <w:r w:rsidRPr="00654B79">
        <w:rPr>
          <w:rFonts w:asciiTheme="minorHAnsi" w:hAnsiTheme="minorHAnsi"/>
          <w:b/>
          <w:sz w:val="26"/>
          <w:szCs w:val="26"/>
        </w:rPr>
        <w:t>rychleji</w:t>
      </w:r>
      <w:r w:rsidRPr="00554A25">
        <w:rPr>
          <w:rFonts w:asciiTheme="minorHAnsi" w:hAnsiTheme="minorHAnsi"/>
          <w:bCs/>
          <w:sz w:val="26"/>
          <w:szCs w:val="26"/>
        </w:rPr>
        <w:t xml:space="preserve"> (tzn. o 3,8 % meziročně)</w:t>
      </w:r>
      <w:r w:rsidRPr="006E477A">
        <w:rPr>
          <w:rFonts w:asciiTheme="minorHAnsi" w:hAnsiTheme="minorHAnsi"/>
          <w:bCs/>
          <w:sz w:val="26"/>
          <w:szCs w:val="26"/>
        </w:rPr>
        <w:t>.</w:t>
      </w:r>
      <w:r w:rsidRPr="00554A25">
        <w:rPr>
          <w:rFonts w:asciiTheme="minorHAnsi" w:hAnsiTheme="minorHAnsi"/>
          <w:bCs/>
          <w:sz w:val="26"/>
          <w:szCs w:val="26"/>
        </w:rPr>
        <w:t xml:space="preserve"> </w:t>
      </w:r>
      <w:r w:rsidRPr="00654B79">
        <w:rPr>
          <w:rFonts w:asciiTheme="minorHAnsi" w:hAnsiTheme="minorHAnsi"/>
          <w:b/>
          <w:bCs/>
          <w:sz w:val="26"/>
          <w:szCs w:val="26"/>
        </w:rPr>
        <w:t>Hlavním proinflačním faktorem byly stejně jako u domácností celkem rostoucí náklady v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654B79">
        <w:rPr>
          <w:rFonts w:asciiTheme="minorHAnsi" w:hAnsiTheme="minorHAnsi"/>
          <w:b/>
          <w:bCs/>
          <w:sz w:val="26"/>
          <w:szCs w:val="26"/>
        </w:rPr>
        <w:t>oddíle „potraviny a nealkoholické nápoje“,</w:t>
      </w:r>
      <w:r w:rsidRPr="00654B79">
        <w:rPr>
          <w:rFonts w:asciiTheme="minorHAnsi" w:hAnsiTheme="minorHAnsi"/>
          <w:sz w:val="26"/>
          <w:szCs w:val="26"/>
        </w:rPr>
        <w:t xml:space="preserve"> u domácností důchodců činil meziroční index za 1.</w:t>
      </w:r>
      <w:r>
        <w:rPr>
          <w:rFonts w:asciiTheme="minorHAnsi" w:hAnsiTheme="minorHAnsi"/>
          <w:sz w:val="26"/>
          <w:szCs w:val="26"/>
        </w:rPr>
        <w:t> </w:t>
      </w:r>
      <w:r w:rsidRPr="00654B79">
        <w:rPr>
          <w:rFonts w:asciiTheme="minorHAnsi" w:hAnsiTheme="minorHAnsi"/>
          <w:sz w:val="26"/>
          <w:szCs w:val="26"/>
        </w:rPr>
        <w:t xml:space="preserve">čtvrtletí </w:t>
      </w:r>
      <w:r>
        <w:rPr>
          <w:rFonts w:asciiTheme="minorHAnsi" w:hAnsiTheme="minorHAnsi"/>
          <w:sz w:val="26"/>
          <w:szCs w:val="26"/>
        </w:rPr>
        <w:t xml:space="preserve">letošního roku </w:t>
      </w:r>
      <w:r w:rsidRPr="00654B79">
        <w:rPr>
          <w:rFonts w:asciiTheme="minorHAnsi" w:hAnsiTheme="minorHAnsi"/>
          <w:sz w:val="26"/>
          <w:szCs w:val="26"/>
        </w:rPr>
        <w:t xml:space="preserve">106,2 %. Rozdíl oproti cenovému </w:t>
      </w:r>
      <w:r w:rsidRPr="006E477A">
        <w:rPr>
          <w:rFonts w:asciiTheme="minorHAnsi" w:hAnsiTheme="minorHAnsi"/>
          <w:sz w:val="26"/>
          <w:szCs w:val="26"/>
        </w:rPr>
        <w:t>indexu celkem byl zejména zaznamenán v oddílech zdraví (o 1,0 p. b. nižší růst), pošty a telekomunikace (o</w:t>
      </w:r>
      <w:r>
        <w:rPr>
          <w:rFonts w:asciiTheme="minorHAnsi" w:hAnsiTheme="minorHAnsi"/>
          <w:sz w:val="26"/>
          <w:szCs w:val="26"/>
        </w:rPr>
        <w:t> </w:t>
      </w:r>
      <w:r w:rsidRPr="006E477A">
        <w:rPr>
          <w:rFonts w:asciiTheme="minorHAnsi" w:hAnsiTheme="minorHAnsi"/>
          <w:sz w:val="26"/>
          <w:szCs w:val="26"/>
        </w:rPr>
        <w:t xml:space="preserve">1,0 p. b. nižší pokles) a vzdělávání (o 1,8 p. b. nižší růst). </w:t>
      </w:r>
    </w:p>
    <w:p w:rsidR="002E5616" w:rsidRDefault="002E5616" w:rsidP="002E5616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6E477A">
        <w:rPr>
          <w:rFonts w:asciiTheme="minorHAnsi" w:hAnsiTheme="minorHAnsi"/>
          <w:bCs/>
          <w:sz w:val="26"/>
          <w:szCs w:val="26"/>
        </w:rPr>
        <w:tab/>
        <w:t xml:space="preserve">Ještě </w:t>
      </w:r>
      <w:r w:rsidRPr="006E477A">
        <w:rPr>
          <w:rFonts w:asciiTheme="minorHAnsi" w:hAnsiTheme="minorHAnsi"/>
          <w:b/>
          <w:sz w:val="26"/>
          <w:szCs w:val="26"/>
        </w:rPr>
        <w:t>rychleji rostly</w:t>
      </w:r>
      <w:r w:rsidRPr="006E477A">
        <w:rPr>
          <w:rFonts w:asciiTheme="minorHAnsi" w:hAnsiTheme="minorHAnsi"/>
          <w:bCs/>
          <w:sz w:val="26"/>
          <w:szCs w:val="26"/>
        </w:rPr>
        <w:t xml:space="preserve"> v 1. čtvrtletí </w:t>
      </w:r>
      <w:r>
        <w:rPr>
          <w:rFonts w:asciiTheme="minorHAnsi" w:hAnsiTheme="minorHAnsi"/>
          <w:bCs/>
          <w:sz w:val="26"/>
          <w:szCs w:val="26"/>
        </w:rPr>
        <w:t xml:space="preserve">2020 </w:t>
      </w:r>
      <w:r w:rsidRPr="006E477A">
        <w:rPr>
          <w:rFonts w:asciiTheme="minorHAnsi" w:hAnsiTheme="minorHAnsi"/>
          <w:b/>
          <w:bCs/>
          <w:sz w:val="26"/>
          <w:szCs w:val="26"/>
        </w:rPr>
        <w:t>životní náklady domácností žijících v hl. m. Praze</w:t>
      </w:r>
      <w:r w:rsidRPr="006E477A">
        <w:rPr>
          <w:rFonts w:asciiTheme="minorHAnsi" w:hAnsiTheme="minorHAnsi"/>
          <w:bCs/>
          <w:sz w:val="26"/>
          <w:szCs w:val="26"/>
        </w:rPr>
        <w:t xml:space="preserve"> (index 103,9</w:t>
      </w:r>
      <w:r w:rsidRPr="006E477A">
        <w:rPr>
          <w:rFonts w:asciiTheme="minorHAnsi" w:hAnsiTheme="minorHAnsi"/>
          <w:b/>
          <w:bCs/>
          <w:sz w:val="26"/>
          <w:szCs w:val="26"/>
        </w:rPr>
        <w:t> %</w:t>
      </w:r>
      <w:r w:rsidRPr="006E477A">
        <w:rPr>
          <w:rFonts w:asciiTheme="minorHAnsi" w:hAnsiTheme="minorHAnsi"/>
          <w:bCs/>
          <w:sz w:val="26"/>
          <w:szCs w:val="26"/>
        </w:rPr>
        <w:t xml:space="preserve">), kde byl zaznamenán </w:t>
      </w:r>
      <w:r w:rsidRPr="00CA065D">
        <w:rPr>
          <w:rFonts w:asciiTheme="minorHAnsi" w:hAnsiTheme="minorHAnsi"/>
          <w:bCs/>
          <w:sz w:val="26"/>
          <w:szCs w:val="26"/>
        </w:rPr>
        <w:t xml:space="preserve">vyšší cenový index u většiny cenových oddílů. </w:t>
      </w:r>
      <w:r w:rsidRPr="001F6EFA">
        <w:rPr>
          <w:rFonts w:asciiTheme="minorHAnsi" w:hAnsiTheme="minorHAnsi"/>
          <w:b/>
          <w:sz w:val="26"/>
          <w:szCs w:val="26"/>
        </w:rPr>
        <w:t>Značně odlišný cenový vývoj nastal</w:t>
      </w:r>
      <w:r w:rsidRPr="00CA065D">
        <w:rPr>
          <w:rFonts w:asciiTheme="minorHAnsi" w:hAnsiTheme="minorHAnsi"/>
          <w:bCs/>
          <w:sz w:val="26"/>
          <w:szCs w:val="26"/>
        </w:rPr>
        <w:t xml:space="preserve"> </w:t>
      </w:r>
      <w:r w:rsidRPr="00CA065D">
        <w:rPr>
          <w:rFonts w:asciiTheme="minorHAnsi" w:hAnsiTheme="minorHAnsi"/>
          <w:b/>
          <w:bCs/>
          <w:sz w:val="26"/>
          <w:szCs w:val="26"/>
        </w:rPr>
        <w:t>v oddělení „odívání a obuv“.</w:t>
      </w:r>
      <w:r w:rsidRPr="00CA065D">
        <w:rPr>
          <w:rFonts w:asciiTheme="minorHAnsi" w:hAnsiTheme="minorHAnsi"/>
          <w:bCs/>
          <w:sz w:val="26"/>
          <w:szCs w:val="26"/>
        </w:rPr>
        <w:t xml:space="preserve"> Zatímco v</w:t>
      </w:r>
      <w:r>
        <w:rPr>
          <w:rFonts w:asciiTheme="minorHAnsi" w:hAnsiTheme="minorHAnsi"/>
          <w:bCs/>
          <w:sz w:val="26"/>
          <w:szCs w:val="26"/>
        </w:rPr>
        <w:t xml:space="preserve"> cenové</w:t>
      </w:r>
      <w:r w:rsidRPr="00CA065D">
        <w:rPr>
          <w:rFonts w:asciiTheme="minorHAnsi" w:hAnsiTheme="minorHAnsi"/>
          <w:bCs/>
          <w:sz w:val="26"/>
          <w:szCs w:val="26"/>
        </w:rPr>
        <w:t xml:space="preserve"> skupině odívání byly ceny o 6,5 % meziročně vyšší (o 2,7 p. b. více než u domácností celkem), tak v případě obuvi </w:t>
      </w:r>
      <w:r>
        <w:rPr>
          <w:rFonts w:asciiTheme="minorHAnsi" w:hAnsiTheme="minorHAnsi"/>
          <w:bCs/>
          <w:sz w:val="26"/>
          <w:szCs w:val="26"/>
        </w:rPr>
        <w:t>naopak</w:t>
      </w:r>
      <w:r w:rsidRPr="00CA065D">
        <w:rPr>
          <w:rFonts w:asciiTheme="minorHAnsi" w:hAnsiTheme="minorHAnsi"/>
          <w:bCs/>
          <w:sz w:val="26"/>
          <w:szCs w:val="26"/>
        </w:rPr>
        <w:t xml:space="preserve"> došlo k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CA065D">
        <w:rPr>
          <w:rFonts w:asciiTheme="minorHAnsi" w:hAnsiTheme="minorHAnsi"/>
          <w:bCs/>
          <w:sz w:val="26"/>
          <w:szCs w:val="26"/>
        </w:rPr>
        <w:t>poklesu o 0,5 % (o</w:t>
      </w:r>
      <w:r>
        <w:rPr>
          <w:rFonts w:asciiTheme="minorHAnsi" w:hAnsiTheme="minorHAnsi"/>
          <w:bCs/>
          <w:sz w:val="26"/>
          <w:szCs w:val="26"/>
        </w:rPr>
        <w:t> </w:t>
      </w:r>
      <w:r w:rsidRPr="00CA065D">
        <w:rPr>
          <w:rFonts w:asciiTheme="minorHAnsi" w:hAnsiTheme="minorHAnsi"/>
          <w:bCs/>
          <w:sz w:val="26"/>
          <w:szCs w:val="26"/>
        </w:rPr>
        <w:t>3,4</w:t>
      </w:r>
      <w:r>
        <w:rPr>
          <w:rFonts w:asciiTheme="minorHAnsi" w:hAnsiTheme="minorHAnsi"/>
          <w:bCs/>
          <w:sz w:val="26"/>
          <w:szCs w:val="26"/>
        </w:rPr>
        <w:t> </w:t>
      </w:r>
      <w:r w:rsidRPr="00CA065D">
        <w:rPr>
          <w:rFonts w:asciiTheme="minorHAnsi" w:hAnsiTheme="minorHAnsi"/>
          <w:bCs/>
          <w:sz w:val="26"/>
          <w:szCs w:val="26"/>
        </w:rPr>
        <w:t>p. b. méně než u domácností celkem</w:t>
      </w:r>
      <w:r w:rsidRPr="001F6EFA">
        <w:rPr>
          <w:rFonts w:asciiTheme="minorHAnsi" w:hAnsiTheme="minorHAnsi"/>
          <w:bCs/>
          <w:sz w:val="26"/>
          <w:szCs w:val="26"/>
        </w:rPr>
        <w:t xml:space="preserve">). </w:t>
      </w:r>
      <w:r w:rsidRPr="001F6EFA">
        <w:rPr>
          <w:rFonts w:asciiTheme="minorHAnsi" w:hAnsiTheme="minorHAnsi"/>
          <w:b/>
          <w:sz w:val="26"/>
          <w:szCs w:val="26"/>
        </w:rPr>
        <w:t>Náklady na bydlení rostly domácnostem v Praze</w:t>
      </w:r>
      <w:r w:rsidRPr="001F6EFA">
        <w:rPr>
          <w:rFonts w:asciiTheme="minorHAnsi" w:hAnsiTheme="minorHAnsi"/>
          <w:bCs/>
          <w:sz w:val="26"/>
          <w:szCs w:val="26"/>
        </w:rPr>
        <w:t xml:space="preserve"> o 0,2 p. b. </w:t>
      </w:r>
      <w:r w:rsidRPr="001F6EFA">
        <w:rPr>
          <w:rFonts w:asciiTheme="minorHAnsi" w:hAnsiTheme="minorHAnsi"/>
          <w:b/>
          <w:sz w:val="26"/>
          <w:szCs w:val="26"/>
        </w:rPr>
        <w:t>rychleji,</w:t>
      </w:r>
      <w:r w:rsidRPr="001F6EFA">
        <w:rPr>
          <w:rFonts w:asciiTheme="minorHAnsi" w:hAnsiTheme="minorHAnsi"/>
          <w:bCs/>
          <w:sz w:val="26"/>
          <w:szCs w:val="26"/>
        </w:rPr>
        <w:t xml:space="preserve"> ale v jejich rámci byl oproti domácnostem celkem stejně jako minulý rok nadále nižší růst cen ve skupině zahrnující elektrickou energii, tepelnou energii, plyn a paliva – blíže ke struktuře růstu životních nákladů vykazovaných typů domácností viz tabulku č. 21 v příloze.</w:t>
      </w:r>
    </w:p>
    <w:p w:rsidR="002E5616" w:rsidRPr="00347F51" w:rsidRDefault="002E5616" w:rsidP="002E5616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ab/>
      </w:r>
      <w:r w:rsidRPr="00347F51">
        <w:rPr>
          <w:rFonts w:asciiTheme="minorHAnsi" w:hAnsiTheme="minorHAnsi"/>
          <w:b/>
          <w:bCs/>
          <w:sz w:val="26"/>
          <w:szCs w:val="26"/>
        </w:rPr>
        <w:t>Harmonizovaný index</w:t>
      </w:r>
      <w:r w:rsidRPr="00347F51">
        <w:rPr>
          <w:rFonts w:asciiTheme="minorHAnsi" w:hAnsiTheme="minorHAnsi"/>
          <w:sz w:val="26"/>
          <w:szCs w:val="26"/>
        </w:rPr>
        <w:t xml:space="preserve"> </w:t>
      </w:r>
      <w:r w:rsidRPr="00347F51">
        <w:rPr>
          <w:rFonts w:asciiTheme="minorHAnsi" w:hAnsiTheme="minorHAnsi"/>
          <w:b/>
          <w:sz w:val="26"/>
          <w:szCs w:val="26"/>
        </w:rPr>
        <w:t>spotřebitelských</w:t>
      </w:r>
      <w:r w:rsidRPr="00347F51">
        <w:rPr>
          <w:rFonts w:asciiTheme="minorHAnsi" w:hAnsiTheme="minorHAnsi"/>
          <w:sz w:val="26"/>
          <w:szCs w:val="26"/>
        </w:rPr>
        <w:t xml:space="preserve"> </w:t>
      </w:r>
      <w:r w:rsidRPr="00347F51">
        <w:rPr>
          <w:rFonts w:asciiTheme="minorHAnsi" w:hAnsiTheme="minorHAnsi"/>
          <w:b/>
          <w:bCs/>
          <w:sz w:val="26"/>
          <w:szCs w:val="26"/>
        </w:rPr>
        <w:t xml:space="preserve">cen </w:t>
      </w:r>
      <w:r w:rsidRPr="00347F51">
        <w:rPr>
          <w:rFonts w:asciiTheme="minorHAnsi" w:hAnsiTheme="minorHAnsi"/>
          <w:sz w:val="26"/>
          <w:szCs w:val="26"/>
        </w:rPr>
        <w:t xml:space="preserve">(cenový index propočtený podle metodiky Eurostatu pro potřeby porovnání inflace v jednotlivých členských zemích EU) </w:t>
      </w:r>
      <w:r w:rsidRPr="00347F51">
        <w:rPr>
          <w:rFonts w:asciiTheme="minorHAnsi" w:hAnsiTheme="minorHAnsi"/>
          <w:b/>
          <w:sz w:val="26"/>
          <w:szCs w:val="26"/>
        </w:rPr>
        <w:t xml:space="preserve">v ČR </w:t>
      </w:r>
      <w:r w:rsidRPr="00347F51">
        <w:rPr>
          <w:rFonts w:asciiTheme="minorHAnsi" w:hAnsiTheme="minorHAnsi"/>
          <w:b/>
          <w:bCs/>
          <w:sz w:val="26"/>
          <w:szCs w:val="26"/>
        </w:rPr>
        <w:t xml:space="preserve">činil meziročně v lednu 103,8 %, v únoru 103,7 % a v březnu 103,6 %. </w:t>
      </w:r>
      <w:r w:rsidRPr="00347F51">
        <w:rPr>
          <w:rFonts w:asciiTheme="minorHAnsi" w:hAnsiTheme="minorHAnsi"/>
          <w:bCs/>
          <w:sz w:val="26"/>
          <w:szCs w:val="26"/>
        </w:rPr>
        <w:t>V EU 27 byly meziroční hodnoty HICP v těchto měsících 101,7 %, 101,6 % a 101,1 %.</w:t>
      </w:r>
      <w:r w:rsidRPr="00347F51">
        <w:rPr>
          <w:rFonts w:asciiTheme="minorHAnsi" w:hAnsiTheme="minorHAnsi"/>
          <w:sz w:val="26"/>
          <w:szCs w:val="26"/>
        </w:rPr>
        <w:t xml:space="preserve"> Nejvyšší úroveň tohoto ukazatele vykázaly v prvních třech měsících roku 2020 Maďarsko, Polsko a Česko, nejnižší kladný přírůstek měla naopak Itálie a Portugalsko.</w:t>
      </w:r>
    </w:p>
    <w:p w:rsidR="002E5616" w:rsidRPr="00C30F6B" w:rsidRDefault="002E5616" w:rsidP="002E5616">
      <w:pPr>
        <w:spacing w:line="360" w:lineRule="auto"/>
        <w:rPr>
          <w:rFonts w:cs="Arial"/>
          <w:b/>
          <w:szCs w:val="36"/>
        </w:rPr>
      </w:pPr>
    </w:p>
    <w:p w:rsidR="002E5616" w:rsidRPr="00C30F6B" w:rsidRDefault="002E5616" w:rsidP="002E5616">
      <w:pPr>
        <w:rPr>
          <w:strike/>
        </w:rPr>
      </w:pPr>
      <w:r w:rsidRPr="00C30F6B">
        <w:rPr>
          <w:strike/>
        </w:rPr>
        <w:br w:type="page"/>
      </w:r>
    </w:p>
    <w:p w:rsidR="002E5616" w:rsidRPr="00C30F6B" w:rsidRDefault="002E5616" w:rsidP="002E5616">
      <w:pPr>
        <w:jc w:val="both"/>
        <w:rPr>
          <w:rFonts w:asciiTheme="minorHAnsi" w:hAnsiTheme="minorHAnsi"/>
          <w:b/>
          <w:bCs/>
          <w:sz w:val="44"/>
          <w:szCs w:val="44"/>
        </w:rPr>
      </w:pPr>
      <w:r w:rsidRPr="00C30F6B">
        <w:rPr>
          <w:rFonts w:asciiTheme="minorHAnsi" w:hAnsiTheme="minorHAnsi"/>
          <w:b/>
          <w:bCs/>
          <w:sz w:val="44"/>
          <w:szCs w:val="44"/>
        </w:rPr>
        <w:lastRenderedPageBreak/>
        <w:t>3. Peněžní výdaje, úvěry a úspory domácností</w:t>
      </w:r>
    </w:p>
    <w:p w:rsidR="002E5616" w:rsidRPr="00C30F6B" w:rsidRDefault="002E5616" w:rsidP="002E5616">
      <w:pPr>
        <w:spacing w:line="480" w:lineRule="auto"/>
        <w:jc w:val="both"/>
        <w:rPr>
          <w:rFonts w:asciiTheme="minorHAnsi" w:hAnsiTheme="minorHAnsi"/>
          <w:sz w:val="26"/>
          <w:szCs w:val="26"/>
        </w:rPr>
      </w:pPr>
    </w:p>
    <w:p w:rsidR="002E5616" w:rsidRPr="00C30F6B" w:rsidRDefault="002E5616" w:rsidP="002E5616">
      <w:p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bookmarkStart w:id="0" w:name="_Hlk44597522"/>
      <w:r w:rsidRPr="00C30F6B">
        <w:rPr>
          <w:rFonts w:asciiTheme="minorHAnsi" w:hAnsiTheme="minorHAnsi"/>
          <w:sz w:val="26"/>
          <w:szCs w:val="26"/>
        </w:rPr>
        <w:tab/>
        <w:t xml:space="preserve">Ze statistiky národních účtů ČSÚ vyplývá, že </w:t>
      </w:r>
      <w:r w:rsidRPr="00C30F6B">
        <w:rPr>
          <w:rFonts w:asciiTheme="minorHAnsi" w:hAnsiTheme="minorHAnsi"/>
          <w:b/>
          <w:sz w:val="26"/>
          <w:szCs w:val="26"/>
        </w:rPr>
        <w:t xml:space="preserve">výdaje na konečnou spotřebu domácností měly </w:t>
      </w:r>
      <w:r w:rsidRPr="00C30F6B">
        <w:rPr>
          <w:rFonts w:asciiTheme="minorHAnsi" w:hAnsiTheme="minorHAnsi"/>
          <w:sz w:val="26"/>
          <w:szCs w:val="26"/>
        </w:rPr>
        <w:t>v 1. čtvrtletí</w:t>
      </w:r>
      <w:r>
        <w:rPr>
          <w:rFonts w:asciiTheme="minorHAnsi" w:hAnsiTheme="minorHAnsi"/>
          <w:sz w:val="26"/>
          <w:szCs w:val="26"/>
        </w:rPr>
        <w:t xml:space="preserve"> 2020</w:t>
      </w:r>
      <w:r w:rsidRPr="00C30F6B">
        <w:rPr>
          <w:rFonts w:asciiTheme="minorHAnsi" w:hAnsiTheme="minorHAnsi"/>
          <w:sz w:val="26"/>
          <w:szCs w:val="26"/>
        </w:rPr>
        <w:t xml:space="preserve"> k</w:t>
      </w:r>
      <w:r w:rsidRPr="00C30F6B">
        <w:rPr>
          <w:rFonts w:asciiTheme="minorHAnsi" w:hAnsiTheme="minorHAnsi"/>
          <w:b/>
          <w:sz w:val="26"/>
          <w:szCs w:val="26"/>
        </w:rPr>
        <w:t xml:space="preserve"> vývoji ekonomiky mírně kladný příspěvek</w:t>
      </w:r>
      <w:r w:rsidRPr="00C30F6B">
        <w:rPr>
          <w:rFonts w:asciiTheme="minorHAnsi" w:hAnsiTheme="minorHAnsi"/>
          <w:b/>
          <w:bCs/>
          <w:sz w:val="26"/>
          <w:szCs w:val="26"/>
        </w:rPr>
        <w:t>,</w:t>
      </w:r>
      <w:r w:rsidRPr="00C30F6B">
        <w:rPr>
          <w:rFonts w:asciiTheme="minorHAnsi" w:hAnsiTheme="minorHAnsi"/>
          <w:sz w:val="26"/>
          <w:szCs w:val="26"/>
        </w:rPr>
        <w:t xml:space="preserve"> </w:t>
      </w:r>
      <w:r w:rsidRPr="00C30F6B">
        <w:rPr>
          <w:rFonts w:asciiTheme="minorHAnsi" w:hAnsiTheme="minorHAnsi"/>
          <w:b/>
          <w:sz w:val="26"/>
          <w:szCs w:val="26"/>
        </w:rPr>
        <w:t>pandemií však byla negativně zasažena pouze část tohoto období:</w:t>
      </w:r>
    </w:p>
    <w:p w:rsidR="002E5616" w:rsidRPr="00C30F6B" w:rsidRDefault="002E5616" w:rsidP="002E5616">
      <w:pPr>
        <w:numPr>
          <w:ilvl w:val="0"/>
          <w:numId w:val="5"/>
        </w:numPr>
        <w:tabs>
          <w:tab w:val="clear" w:pos="130"/>
          <w:tab w:val="num" w:pos="-1266"/>
        </w:tabs>
        <w:spacing w:after="240" w:line="360" w:lineRule="auto"/>
        <w:ind w:left="709"/>
        <w:jc w:val="both"/>
        <w:rPr>
          <w:rFonts w:asciiTheme="minorHAnsi" w:hAnsiTheme="minorHAnsi"/>
          <w:b/>
          <w:bCs/>
          <w:sz w:val="26"/>
          <w:szCs w:val="26"/>
        </w:rPr>
      </w:pPr>
      <w:r w:rsidRPr="00C30F6B">
        <w:rPr>
          <w:rFonts w:asciiTheme="minorHAnsi" w:hAnsiTheme="minorHAnsi"/>
          <w:b/>
          <w:sz w:val="26"/>
          <w:szCs w:val="26"/>
        </w:rPr>
        <w:t>sektor domácností vynaložil celkem 653,1 m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ld. Kč na výdaje spojené s individuální spotřebou </w:t>
      </w:r>
      <w:r w:rsidRPr="00C30F6B">
        <w:rPr>
          <w:rFonts w:asciiTheme="minorHAnsi" w:hAnsiTheme="minorHAnsi"/>
          <w:bCs/>
          <w:sz w:val="26"/>
          <w:szCs w:val="26"/>
        </w:rPr>
        <w:t>(</w:t>
      </w:r>
      <w:r w:rsidRPr="00C30F6B">
        <w:rPr>
          <w:rFonts w:asciiTheme="minorHAnsi" w:hAnsiTheme="minorHAnsi"/>
          <w:sz w:val="26"/>
          <w:szCs w:val="26"/>
        </w:rPr>
        <w:t>o 4</w:t>
      </w:r>
      <w:r w:rsidRPr="00F951E3">
        <w:rPr>
          <w:rFonts w:asciiTheme="minorHAnsi" w:hAnsiTheme="minorHAnsi"/>
          <w:sz w:val="26"/>
          <w:szCs w:val="26"/>
        </w:rPr>
        <w:t>,0 % více než o rok dříve)</w:t>
      </w:r>
      <w:r w:rsidRPr="00F951E3">
        <w:rPr>
          <w:rFonts w:asciiTheme="minorHAnsi" w:hAnsiTheme="minorHAnsi"/>
          <w:bCs/>
          <w:sz w:val="26"/>
          <w:szCs w:val="26"/>
        </w:rPr>
        <w:t>;</w:t>
      </w:r>
      <w:r w:rsidRPr="00F951E3">
        <w:rPr>
          <w:rFonts w:asciiTheme="minorHAnsi" w:hAnsiTheme="minorHAnsi"/>
          <w:sz w:val="26"/>
          <w:szCs w:val="26"/>
        </w:rPr>
        <w:t xml:space="preserve"> </w:t>
      </w:r>
      <w:r w:rsidRPr="00F951E3">
        <w:rPr>
          <w:rFonts w:asciiTheme="minorHAnsi" w:hAnsiTheme="minorHAnsi"/>
          <w:b/>
          <w:sz w:val="26"/>
          <w:szCs w:val="26"/>
        </w:rPr>
        <w:t>domácnosti</w:t>
      </w:r>
      <w:r w:rsidRPr="00F951E3">
        <w:rPr>
          <w:rFonts w:asciiTheme="minorHAnsi" w:hAnsiTheme="minorHAnsi"/>
          <w:sz w:val="26"/>
          <w:szCs w:val="26"/>
        </w:rPr>
        <w:t xml:space="preserve"> tak – po</w:t>
      </w:r>
      <w:r>
        <w:rPr>
          <w:rFonts w:asciiTheme="minorHAnsi" w:hAnsiTheme="minorHAnsi"/>
          <w:sz w:val="26"/>
          <w:szCs w:val="26"/>
        </w:rPr>
        <w:t> </w:t>
      </w:r>
      <w:r w:rsidRPr="00F951E3">
        <w:rPr>
          <w:rFonts w:asciiTheme="minorHAnsi" w:hAnsiTheme="minorHAnsi"/>
          <w:sz w:val="26"/>
          <w:szCs w:val="26"/>
        </w:rPr>
        <w:t xml:space="preserve">zohlednění vyšší cenové inflace – </w:t>
      </w:r>
      <w:r w:rsidRPr="00F951E3">
        <w:rPr>
          <w:rFonts w:asciiTheme="minorHAnsi" w:hAnsiTheme="minorHAnsi"/>
          <w:b/>
          <w:sz w:val="26"/>
          <w:szCs w:val="26"/>
        </w:rPr>
        <w:t>nakoupily zboží a služeb</w:t>
      </w:r>
      <w:r w:rsidRPr="00F951E3">
        <w:rPr>
          <w:rFonts w:asciiTheme="minorHAnsi" w:hAnsiTheme="minorHAnsi"/>
          <w:sz w:val="26"/>
          <w:szCs w:val="26"/>
        </w:rPr>
        <w:t xml:space="preserve"> reálně pouze v objemu o cca 2,5 mld. Kč </w:t>
      </w:r>
      <w:r w:rsidRPr="00F951E3">
        <w:rPr>
          <w:rFonts w:asciiTheme="minorHAnsi" w:hAnsiTheme="minorHAnsi"/>
          <w:b/>
          <w:sz w:val="26"/>
          <w:szCs w:val="26"/>
        </w:rPr>
        <w:t xml:space="preserve">vyšším </w:t>
      </w:r>
      <w:r w:rsidRPr="00C30F6B">
        <w:rPr>
          <w:rFonts w:asciiTheme="minorHAnsi" w:hAnsiTheme="minorHAnsi"/>
          <w:sz w:val="26"/>
          <w:szCs w:val="26"/>
        </w:rPr>
        <w:t>než před rokem (viz tabulku č. 1 v příloze).</w:t>
      </w:r>
    </w:p>
    <w:bookmarkEnd w:id="0"/>
    <w:p w:rsidR="002E5616" w:rsidRPr="00C30F6B" w:rsidRDefault="002E5616" w:rsidP="002E5616">
      <w:p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C30F6B">
        <w:rPr>
          <w:rFonts w:asciiTheme="minorHAnsi" w:hAnsiTheme="minorHAnsi"/>
          <w:sz w:val="26"/>
          <w:szCs w:val="26"/>
        </w:rPr>
        <w:tab/>
      </w:r>
      <w:r w:rsidRPr="00C30F6B">
        <w:rPr>
          <w:rFonts w:asciiTheme="minorHAnsi" w:hAnsiTheme="minorHAnsi"/>
          <w:b/>
          <w:sz w:val="26"/>
          <w:szCs w:val="26"/>
        </w:rPr>
        <w:t>Mírně pomaleji</w:t>
      </w:r>
      <w:r w:rsidRPr="00C30F6B">
        <w:rPr>
          <w:rFonts w:asciiTheme="minorHAnsi" w:hAnsiTheme="minorHAnsi"/>
          <w:bCs/>
          <w:sz w:val="26"/>
          <w:szCs w:val="26"/>
        </w:rPr>
        <w:t xml:space="preserve"> než v předchozích třech letech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 pokračoval trend růstu zadlužení domácností, </w:t>
      </w:r>
      <w:r w:rsidRPr="00C30F6B">
        <w:rPr>
          <w:rFonts w:asciiTheme="minorHAnsi" w:hAnsiTheme="minorHAnsi"/>
          <w:bCs/>
          <w:sz w:val="26"/>
          <w:szCs w:val="26"/>
        </w:rPr>
        <w:t>kdy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C30F6B">
        <w:rPr>
          <w:rFonts w:asciiTheme="minorHAnsi" w:hAnsiTheme="minorHAnsi"/>
          <w:sz w:val="26"/>
          <w:szCs w:val="26"/>
        </w:rPr>
        <w:t xml:space="preserve">podle údajů ČNB činil 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úhrnný objem půjček domácností </w:t>
      </w:r>
      <w:r w:rsidRPr="00C30F6B">
        <w:rPr>
          <w:rFonts w:asciiTheme="minorHAnsi" w:hAnsiTheme="minorHAnsi"/>
          <w:sz w:val="26"/>
          <w:szCs w:val="26"/>
        </w:rPr>
        <w:t xml:space="preserve">k 31. březnu 2020 celkem </w:t>
      </w:r>
      <w:r w:rsidRPr="00C30F6B">
        <w:rPr>
          <w:rFonts w:asciiTheme="minorHAnsi" w:hAnsiTheme="minorHAnsi"/>
          <w:b/>
          <w:sz w:val="26"/>
          <w:szCs w:val="26"/>
        </w:rPr>
        <w:t>1 768,2 </w:t>
      </w:r>
      <w:r w:rsidRPr="00C30F6B">
        <w:rPr>
          <w:rFonts w:asciiTheme="minorHAnsi" w:hAnsiTheme="minorHAnsi"/>
          <w:b/>
          <w:bCs/>
          <w:sz w:val="26"/>
          <w:szCs w:val="26"/>
        </w:rPr>
        <w:t>mld. Kč,</w:t>
      </w:r>
      <w:r w:rsidRPr="00C30F6B">
        <w:rPr>
          <w:rFonts w:asciiTheme="minorHAnsi" w:hAnsiTheme="minorHAnsi"/>
          <w:sz w:val="26"/>
          <w:szCs w:val="26"/>
        </w:rPr>
        <w:t xml:space="preserve"> </w:t>
      </w:r>
      <w:r w:rsidRPr="00C30F6B">
        <w:rPr>
          <w:rFonts w:asciiTheme="minorHAnsi" w:hAnsiTheme="minorHAnsi"/>
          <w:bCs/>
          <w:sz w:val="26"/>
          <w:szCs w:val="26"/>
        </w:rPr>
        <w:t>což bylo</w:t>
      </w:r>
      <w:r w:rsidRPr="00C30F6B">
        <w:rPr>
          <w:rFonts w:asciiTheme="minorHAnsi" w:hAnsiTheme="minorHAnsi"/>
          <w:sz w:val="26"/>
          <w:szCs w:val="26"/>
        </w:rPr>
        <w:t xml:space="preserve"> </w:t>
      </w:r>
      <w:r w:rsidRPr="00C30F6B">
        <w:rPr>
          <w:rFonts w:asciiTheme="minorHAnsi" w:hAnsiTheme="minorHAnsi"/>
          <w:b/>
          <w:bCs/>
          <w:sz w:val="26"/>
          <w:szCs w:val="26"/>
        </w:rPr>
        <w:t>o 106,0 mld. Kč (6,4 %) více než</w:t>
      </w:r>
      <w:r w:rsidRPr="00C30F6B">
        <w:rPr>
          <w:rFonts w:asciiTheme="minorHAnsi" w:hAnsiTheme="minorHAnsi"/>
          <w:bCs/>
          <w:sz w:val="26"/>
          <w:szCs w:val="26"/>
        </w:rPr>
        <w:t xml:space="preserve"> </w:t>
      </w:r>
      <w:r w:rsidRPr="00C30F6B">
        <w:rPr>
          <w:rFonts w:asciiTheme="minorHAnsi" w:hAnsiTheme="minorHAnsi"/>
          <w:b/>
          <w:bCs/>
          <w:sz w:val="26"/>
          <w:szCs w:val="26"/>
        </w:rPr>
        <w:t>ke stejnému datu roku 2019.</w:t>
      </w:r>
      <w:r w:rsidRPr="00C30F6B">
        <w:rPr>
          <w:rFonts w:asciiTheme="minorHAnsi" w:hAnsiTheme="minorHAnsi"/>
          <w:bCs/>
          <w:sz w:val="26"/>
          <w:szCs w:val="26"/>
        </w:rPr>
        <w:t xml:space="preserve"> Mezičtvrtletně vzrostly úvěry domácností o 20,1 mld. Kč, jedná se však o dlouhodobý sezónní jev, kdy je přírůstek úvěrů v prvním čtvrtletí nižší než ve zbytku roku (viz tabulku č. 22 v příloze):</w:t>
      </w:r>
    </w:p>
    <w:p w:rsidR="002E5616" w:rsidRPr="00C30F6B" w:rsidRDefault="002E5616" w:rsidP="002E5616">
      <w:pPr>
        <w:numPr>
          <w:ilvl w:val="0"/>
          <w:numId w:val="4"/>
        </w:num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C30F6B">
        <w:rPr>
          <w:rFonts w:asciiTheme="minorHAnsi" w:hAnsiTheme="minorHAnsi"/>
          <w:b/>
          <w:bCs/>
          <w:sz w:val="26"/>
          <w:szCs w:val="26"/>
        </w:rPr>
        <w:t>rozhodující část</w:t>
      </w:r>
      <w:r w:rsidRPr="00C30F6B">
        <w:rPr>
          <w:rFonts w:asciiTheme="minorHAnsi" w:hAnsiTheme="minorHAnsi"/>
          <w:sz w:val="26"/>
          <w:szCs w:val="26"/>
        </w:rPr>
        <w:t xml:space="preserve"> meziročního 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vzestupu objemu </w:t>
      </w:r>
      <w:r w:rsidRPr="00C30F6B">
        <w:rPr>
          <w:rFonts w:asciiTheme="minorHAnsi" w:hAnsiTheme="minorHAnsi"/>
          <w:sz w:val="26"/>
          <w:szCs w:val="26"/>
        </w:rPr>
        <w:t xml:space="preserve">bankovních peněžních </w:t>
      </w:r>
      <w:r w:rsidRPr="00C30F6B">
        <w:rPr>
          <w:rFonts w:asciiTheme="minorHAnsi" w:hAnsiTheme="minorHAnsi"/>
          <w:b/>
          <w:bCs/>
          <w:sz w:val="26"/>
          <w:szCs w:val="26"/>
        </w:rPr>
        <w:t>půjček</w:t>
      </w:r>
      <w:r w:rsidRPr="00C30F6B">
        <w:rPr>
          <w:rFonts w:asciiTheme="minorHAnsi" w:hAnsiTheme="minorHAnsi"/>
          <w:sz w:val="26"/>
          <w:szCs w:val="26"/>
        </w:rPr>
        <w:t xml:space="preserve"> </w:t>
      </w:r>
      <w:r w:rsidRPr="00C30F6B">
        <w:rPr>
          <w:rFonts w:asciiTheme="minorHAnsi" w:hAnsiTheme="minorHAnsi"/>
          <w:b/>
          <w:bCs/>
          <w:sz w:val="26"/>
          <w:szCs w:val="26"/>
        </w:rPr>
        <w:t>představovaly úvěry spojené s bydlením</w:t>
      </w:r>
      <w:r w:rsidRPr="00C30F6B">
        <w:rPr>
          <w:rFonts w:asciiTheme="minorHAnsi" w:hAnsiTheme="minorHAnsi"/>
          <w:b/>
          <w:sz w:val="26"/>
          <w:szCs w:val="26"/>
        </w:rPr>
        <w:t>,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C30F6B">
        <w:rPr>
          <w:rFonts w:asciiTheme="minorHAnsi" w:hAnsiTheme="minorHAnsi"/>
          <w:sz w:val="26"/>
          <w:szCs w:val="26"/>
        </w:rPr>
        <w:t xml:space="preserve">jejichž </w:t>
      </w:r>
      <w:r w:rsidRPr="00C30F6B">
        <w:rPr>
          <w:rFonts w:asciiTheme="minorHAnsi" w:hAnsiTheme="minorHAnsi"/>
          <w:b/>
          <w:sz w:val="26"/>
          <w:szCs w:val="26"/>
        </w:rPr>
        <w:t>celkový objem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 1 349,1 mld. Kč </w:t>
      </w:r>
      <w:r w:rsidRPr="00C30F6B">
        <w:rPr>
          <w:rFonts w:asciiTheme="minorHAnsi" w:hAnsiTheme="minorHAnsi"/>
          <w:sz w:val="26"/>
          <w:szCs w:val="26"/>
        </w:rPr>
        <w:t>byl o 89</w:t>
      </w:r>
      <w:r w:rsidRPr="00C30F6B">
        <w:rPr>
          <w:rFonts w:asciiTheme="minorHAnsi" w:hAnsiTheme="minorHAnsi"/>
          <w:bCs/>
          <w:sz w:val="26"/>
          <w:szCs w:val="26"/>
        </w:rPr>
        <w:t xml:space="preserve">,0 mld. Kč </w:t>
      </w:r>
      <w:r w:rsidRPr="00C30F6B">
        <w:rPr>
          <w:rFonts w:asciiTheme="minorHAnsi" w:hAnsiTheme="minorHAnsi"/>
          <w:sz w:val="26"/>
          <w:szCs w:val="26"/>
        </w:rPr>
        <w:t>vyšší (7,1 %) než o rok dříve. Dynamika růstu půjček na bydlení byla v prvním čtvrtletí meziročně mírně nižší než v minulém roce,</w:t>
      </w:r>
    </w:p>
    <w:p w:rsidR="002E5616" w:rsidRPr="00C30F6B" w:rsidRDefault="002E5616" w:rsidP="002E5616">
      <w:pPr>
        <w:numPr>
          <w:ilvl w:val="0"/>
          <w:numId w:val="4"/>
        </w:num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C30F6B">
        <w:rPr>
          <w:rFonts w:asciiTheme="minorHAnsi" w:hAnsiTheme="minorHAnsi"/>
          <w:b/>
          <w:bCs/>
          <w:sz w:val="26"/>
          <w:szCs w:val="26"/>
        </w:rPr>
        <w:t>objem</w:t>
      </w:r>
      <w:r w:rsidRPr="00C30F6B">
        <w:rPr>
          <w:rFonts w:asciiTheme="minorHAnsi" w:hAnsiTheme="minorHAnsi"/>
          <w:sz w:val="26"/>
          <w:szCs w:val="26"/>
        </w:rPr>
        <w:t xml:space="preserve"> </w:t>
      </w:r>
      <w:r w:rsidRPr="00C30F6B">
        <w:rPr>
          <w:rFonts w:asciiTheme="minorHAnsi" w:hAnsiTheme="minorHAnsi"/>
          <w:b/>
          <w:sz w:val="26"/>
          <w:szCs w:val="26"/>
        </w:rPr>
        <w:t xml:space="preserve">ostatních 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úvěrů meziročně vzrostl o 17,0 mld. Kč </w:t>
      </w:r>
      <w:r w:rsidRPr="00C30F6B">
        <w:rPr>
          <w:rFonts w:asciiTheme="minorHAnsi" w:hAnsiTheme="minorHAnsi"/>
          <w:bCs/>
          <w:sz w:val="26"/>
          <w:szCs w:val="26"/>
        </w:rPr>
        <w:t xml:space="preserve">(celkem 419,1 mld. Kč). </w:t>
      </w:r>
      <w:r w:rsidRPr="00C30F6B">
        <w:rPr>
          <w:rFonts w:asciiTheme="minorHAnsi" w:hAnsiTheme="minorHAnsi"/>
          <w:b/>
          <w:bCs/>
          <w:sz w:val="26"/>
          <w:szCs w:val="26"/>
        </w:rPr>
        <w:t>Od začátku roku se celkový objem ostatních úvěrů zvýšil o 0,7 mld. Kč.</w:t>
      </w:r>
      <w:r w:rsidRPr="00C30F6B">
        <w:rPr>
          <w:rFonts w:asciiTheme="minorHAnsi" w:hAnsiTheme="minorHAnsi"/>
          <w:bCs/>
          <w:sz w:val="26"/>
          <w:szCs w:val="26"/>
        </w:rPr>
        <w:t xml:space="preserve"> Výdaje na spotřebu domácností byly ve sledovaném období pokrývány převážně z disponibilních příjmů či úspor,</w:t>
      </w:r>
    </w:p>
    <w:p w:rsidR="002E5616" w:rsidRPr="00C30F6B" w:rsidRDefault="002E5616" w:rsidP="002E5616">
      <w:pPr>
        <w:numPr>
          <w:ilvl w:val="0"/>
          <w:numId w:val="4"/>
        </w:num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C30F6B">
        <w:rPr>
          <w:rFonts w:asciiTheme="minorHAnsi" w:hAnsiTheme="minorHAnsi"/>
          <w:b/>
          <w:bCs/>
          <w:sz w:val="26"/>
          <w:szCs w:val="26"/>
        </w:rPr>
        <w:t xml:space="preserve">podíl nevýkonných úvěrů domácností </w:t>
      </w:r>
      <w:r w:rsidRPr="00C30F6B">
        <w:rPr>
          <w:rFonts w:asciiTheme="minorHAnsi" w:hAnsiTheme="minorHAnsi"/>
          <w:sz w:val="26"/>
          <w:szCs w:val="26"/>
        </w:rPr>
        <w:t>(nesplaceny tři po sobě jdoucí splátky úvěru, či došlo k zesplatnění)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 klesl na úroveň 1,7 %, </w:t>
      </w:r>
      <w:r w:rsidRPr="00C30F6B">
        <w:rPr>
          <w:rFonts w:asciiTheme="minorHAnsi" w:hAnsiTheme="minorHAnsi"/>
          <w:sz w:val="26"/>
          <w:szCs w:val="26"/>
        </w:rPr>
        <w:t>což je o 0,3 p. </w:t>
      </w:r>
      <w:r w:rsidRPr="00C30F6B">
        <w:rPr>
          <w:rFonts w:asciiTheme="minorHAnsi" w:hAnsiTheme="minorHAnsi"/>
          <w:bCs/>
          <w:sz w:val="26"/>
          <w:szCs w:val="26"/>
        </w:rPr>
        <w:t>b. méně než minulý rok. V prvním čtvrtletí 2020 však ještě nešlo očekávat případný nárůst tohoto indikátoru související s hospodářským poklesem.</w:t>
      </w:r>
    </w:p>
    <w:p w:rsidR="002E5616" w:rsidRPr="00C30F6B" w:rsidRDefault="002E5616" w:rsidP="002E5616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C30F6B">
        <w:rPr>
          <w:rFonts w:asciiTheme="minorHAnsi" w:hAnsiTheme="minorHAnsi"/>
          <w:sz w:val="26"/>
          <w:szCs w:val="26"/>
        </w:rPr>
        <w:lastRenderedPageBreak/>
        <w:tab/>
      </w:r>
      <w:r w:rsidRPr="00C30F6B">
        <w:rPr>
          <w:rFonts w:asciiTheme="minorHAnsi" w:hAnsiTheme="minorHAnsi"/>
          <w:b/>
          <w:bCs/>
          <w:sz w:val="26"/>
          <w:szCs w:val="26"/>
        </w:rPr>
        <w:t>Domácnosti</w:t>
      </w:r>
      <w:r w:rsidRPr="00C30F6B">
        <w:rPr>
          <w:rFonts w:asciiTheme="minorHAnsi" w:hAnsiTheme="minorHAnsi"/>
          <w:bCs/>
          <w:sz w:val="26"/>
          <w:szCs w:val="26"/>
        </w:rPr>
        <w:t xml:space="preserve"> </w:t>
      </w:r>
      <w:r w:rsidRPr="00C30F6B">
        <w:rPr>
          <w:rFonts w:asciiTheme="minorHAnsi" w:hAnsiTheme="minorHAnsi"/>
          <w:b/>
          <w:bCs/>
          <w:sz w:val="26"/>
          <w:szCs w:val="26"/>
        </w:rPr>
        <w:t>pokračovaly</w:t>
      </w:r>
      <w:r w:rsidRPr="00C30F6B">
        <w:rPr>
          <w:rFonts w:asciiTheme="minorHAnsi" w:hAnsiTheme="minorHAnsi"/>
          <w:bCs/>
          <w:sz w:val="26"/>
          <w:szCs w:val="26"/>
        </w:rPr>
        <w:t xml:space="preserve"> v prvních třech měsících roku 2020 </w:t>
      </w:r>
      <w:r w:rsidRPr="00C30F6B">
        <w:rPr>
          <w:rFonts w:asciiTheme="minorHAnsi" w:hAnsiTheme="minorHAnsi"/>
          <w:b/>
          <w:bCs/>
          <w:sz w:val="26"/>
          <w:szCs w:val="26"/>
        </w:rPr>
        <w:t>v tvorbě nových úspor</w:t>
      </w:r>
      <w:r w:rsidRPr="00C30F6B">
        <w:rPr>
          <w:rFonts w:asciiTheme="minorHAnsi" w:hAnsiTheme="minorHAnsi"/>
          <w:b/>
          <w:bCs/>
          <w:sz w:val="26"/>
          <w:szCs w:val="26"/>
          <w:lang w:val="en-US"/>
        </w:rPr>
        <w:t>.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F951E3">
        <w:rPr>
          <w:rFonts w:asciiTheme="minorHAnsi" w:hAnsiTheme="minorHAnsi"/>
          <w:bCs/>
          <w:sz w:val="26"/>
          <w:szCs w:val="26"/>
        </w:rPr>
        <w:t xml:space="preserve">Jednalo se zejména </w:t>
      </w:r>
      <w:r w:rsidRPr="00C30F6B">
        <w:rPr>
          <w:rFonts w:asciiTheme="minorHAnsi" w:hAnsiTheme="minorHAnsi"/>
          <w:bCs/>
          <w:sz w:val="26"/>
          <w:szCs w:val="26"/>
        </w:rPr>
        <w:t>o netermínované vklady v podobě peněz na běžných nebo spořicích účtech, což by mohlo být důsledkem poklesu důvěry v ekonomiku a následné snahy domácností tvořit více likvidní úspory:</w:t>
      </w:r>
    </w:p>
    <w:p w:rsidR="002E5616" w:rsidRPr="00C30F6B" w:rsidRDefault="002E5616" w:rsidP="002E5616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/>
          <w:b/>
          <w:bCs/>
          <w:sz w:val="26"/>
          <w:szCs w:val="26"/>
        </w:rPr>
      </w:pPr>
      <w:r w:rsidRPr="00C30F6B">
        <w:rPr>
          <w:rFonts w:asciiTheme="minorHAnsi" w:hAnsiTheme="minorHAnsi"/>
          <w:b/>
          <w:bCs/>
          <w:sz w:val="26"/>
          <w:szCs w:val="26"/>
        </w:rPr>
        <w:t>celkový objem</w:t>
      </w:r>
      <w:r w:rsidRPr="00C30F6B">
        <w:rPr>
          <w:rFonts w:asciiTheme="minorHAnsi" w:hAnsiTheme="minorHAnsi"/>
          <w:sz w:val="26"/>
          <w:szCs w:val="26"/>
        </w:rPr>
        <w:t xml:space="preserve"> bankovních </w:t>
      </w:r>
      <w:r w:rsidRPr="00C30F6B">
        <w:rPr>
          <w:rFonts w:asciiTheme="minorHAnsi" w:hAnsiTheme="minorHAnsi"/>
          <w:b/>
          <w:bCs/>
          <w:sz w:val="26"/>
          <w:szCs w:val="26"/>
        </w:rPr>
        <w:t>úspor domácností</w:t>
      </w:r>
      <w:r w:rsidRPr="00C30F6B">
        <w:rPr>
          <w:rFonts w:asciiTheme="minorHAnsi" w:hAnsiTheme="minorHAnsi"/>
          <w:sz w:val="26"/>
          <w:szCs w:val="26"/>
        </w:rPr>
        <w:t xml:space="preserve"> </w:t>
      </w:r>
      <w:r w:rsidRPr="00C30F6B">
        <w:rPr>
          <w:rFonts w:asciiTheme="minorHAnsi" w:hAnsiTheme="minorHAnsi"/>
          <w:b/>
          <w:sz w:val="26"/>
          <w:szCs w:val="26"/>
        </w:rPr>
        <w:t>činil</w:t>
      </w:r>
      <w:r w:rsidRPr="00C30F6B">
        <w:rPr>
          <w:rFonts w:asciiTheme="minorHAnsi" w:hAnsiTheme="minorHAnsi"/>
          <w:sz w:val="26"/>
          <w:szCs w:val="26"/>
        </w:rPr>
        <w:t xml:space="preserve"> ke konci března 2020 </w:t>
      </w:r>
      <w:r w:rsidRPr="00C30F6B">
        <w:rPr>
          <w:rFonts w:asciiTheme="minorHAnsi" w:hAnsiTheme="minorHAnsi"/>
          <w:b/>
          <w:sz w:val="26"/>
          <w:szCs w:val="26"/>
        </w:rPr>
        <w:t>2 799,7 mld. Kč a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C30F6B">
        <w:rPr>
          <w:rFonts w:asciiTheme="minorHAnsi" w:hAnsiTheme="minorHAnsi"/>
          <w:sz w:val="26"/>
          <w:szCs w:val="26"/>
        </w:rPr>
        <w:t xml:space="preserve">podle dostupných údajů ČNB meziročně </w:t>
      </w:r>
      <w:r w:rsidRPr="00C30F6B">
        <w:rPr>
          <w:rFonts w:asciiTheme="minorHAnsi" w:hAnsiTheme="minorHAnsi"/>
          <w:b/>
          <w:sz w:val="26"/>
          <w:szCs w:val="26"/>
        </w:rPr>
        <w:t>vzrostl</w:t>
      </w:r>
      <w:r w:rsidRPr="00C30F6B">
        <w:rPr>
          <w:rFonts w:asciiTheme="minorHAnsi" w:hAnsiTheme="minorHAnsi"/>
          <w:sz w:val="26"/>
          <w:szCs w:val="26"/>
        </w:rPr>
        <w:t xml:space="preserve"> </w:t>
      </w:r>
      <w:r w:rsidRPr="00C30F6B">
        <w:rPr>
          <w:rFonts w:asciiTheme="minorHAnsi" w:hAnsiTheme="minorHAnsi"/>
          <w:b/>
          <w:bCs/>
          <w:sz w:val="26"/>
          <w:szCs w:val="26"/>
        </w:rPr>
        <w:t xml:space="preserve">o 200,7 mld. Kč </w:t>
      </w:r>
      <w:r w:rsidRPr="00C30F6B">
        <w:rPr>
          <w:rFonts w:asciiTheme="minorHAnsi" w:hAnsiTheme="minorHAnsi"/>
          <w:bCs/>
          <w:sz w:val="26"/>
          <w:szCs w:val="26"/>
        </w:rPr>
        <w:t>(7,7 %). Od začátku roku do konce prvního čtvrtletí se vklady zvýšily o 74,2 mld. Kč, což bylo více než ve stejném období předchozího roku (nárůst o 40,</w:t>
      </w:r>
      <w:r>
        <w:rPr>
          <w:rFonts w:asciiTheme="minorHAnsi" w:hAnsiTheme="minorHAnsi"/>
          <w:bCs/>
          <w:sz w:val="26"/>
          <w:szCs w:val="26"/>
        </w:rPr>
        <w:t>5</w:t>
      </w:r>
      <w:r w:rsidRPr="00C30F6B">
        <w:rPr>
          <w:rFonts w:asciiTheme="minorHAnsi" w:hAnsiTheme="minorHAnsi"/>
          <w:bCs/>
          <w:sz w:val="26"/>
          <w:szCs w:val="26"/>
        </w:rPr>
        <w:t xml:space="preserve"> mld. Kč), </w:t>
      </w:r>
    </w:p>
    <w:p w:rsidR="002E5616" w:rsidRPr="00C30F6B" w:rsidRDefault="002E5616" w:rsidP="002E5616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/>
          <w:b/>
          <w:bCs/>
          <w:sz w:val="26"/>
          <w:szCs w:val="26"/>
        </w:rPr>
      </w:pPr>
      <w:r w:rsidRPr="00C30F6B">
        <w:rPr>
          <w:rFonts w:asciiTheme="minorHAnsi" w:hAnsiTheme="minorHAnsi"/>
          <w:b/>
          <w:sz w:val="26"/>
          <w:szCs w:val="26"/>
        </w:rPr>
        <w:t>netermínované vklady</w:t>
      </w:r>
      <w:r w:rsidRPr="00C30F6B">
        <w:rPr>
          <w:rFonts w:asciiTheme="minorHAnsi" w:hAnsiTheme="minorHAnsi"/>
          <w:sz w:val="26"/>
          <w:szCs w:val="26"/>
        </w:rPr>
        <w:t xml:space="preserve"> na konci března celkem </w:t>
      </w:r>
      <w:r w:rsidRPr="00C30F6B">
        <w:rPr>
          <w:rFonts w:asciiTheme="minorHAnsi" w:hAnsiTheme="minorHAnsi"/>
          <w:b/>
          <w:sz w:val="26"/>
          <w:szCs w:val="26"/>
        </w:rPr>
        <w:t>meziročně vzrostly o 192,8 mld. Kč</w:t>
      </w:r>
      <w:r w:rsidRPr="00C30F6B">
        <w:rPr>
          <w:rFonts w:asciiTheme="minorHAnsi" w:hAnsiTheme="minorHAnsi"/>
          <w:sz w:val="26"/>
          <w:szCs w:val="26"/>
        </w:rPr>
        <w:t xml:space="preserve"> </w:t>
      </w:r>
      <w:r w:rsidRPr="00C30F6B">
        <w:rPr>
          <w:rFonts w:asciiTheme="minorHAnsi" w:hAnsiTheme="minorHAnsi"/>
          <w:bCs/>
          <w:sz w:val="26"/>
          <w:szCs w:val="26"/>
        </w:rPr>
        <w:t xml:space="preserve">a </w:t>
      </w:r>
      <w:r w:rsidRPr="00C30F6B">
        <w:rPr>
          <w:rFonts w:asciiTheme="minorHAnsi" w:hAnsiTheme="minorHAnsi"/>
          <w:b/>
          <w:bCs/>
          <w:sz w:val="26"/>
          <w:szCs w:val="26"/>
        </w:rPr>
        <w:t>t</w:t>
      </w:r>
      <w:r w:rsidRPr="00C30F6B">
        <w:rPr>
          <w:rFonts w:asciiTheme="minorHAnsi" w:hAnsiTheme="minorHAnsi"/>
          <w:b/>
          <w:sz w:val="26"/>
          <w:szCs w:val="26"/>
        </w:rPr>
        <w:t xml:space="preserve">ermínové vklady se zvýšily </w:t>
      </w:r>
      <w:r w:rsidRPr="00C30F6B">
        <w:rPr>
          <w:rFonts w:asciiTheme="minorHAnsi" w:hAnsiTheme="minorHAnsi"/>
          <w:bCs/>
          <w:sz w:val="26"/>
          <w:szCs w:val="26"/>
        </w:rPr>
        <w:t>pouze</w:t>
      </w:r>
      <w:r w:rsidRPr="00C30F6B">
        <w:rPr>
          <w:rFonts w:asciiTheme="minorHAnsi" w:hAnsiTheme="minorHAnsi"/>
          <w:b/>
          <w:sz w:val="26"/>
          <w:szCs w:val="26"/>
        </w:rPr>
        <w:t xml:space="preserve"> o 7,9 mld. Kč,</w:t>
      </w:r>
    </w:p>
    <w:p w:rsidR="002E5616" w:rsidRPr="00C30F6B" w:rsidRDefault="002E5616" w:rsidP="002E5616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/>
          <w:b/>
          <w:bCs/>
          <w:sz w:val="26"/>
          <w:szCs w:val="26"/>
        </w:rPr>
      </w:pPr>
      <w:r w:rsidRPr="00C30F6B">
        <w:rPr>
          <w:rFonts w:asciiTheme="minorHAnsi" w:hAnsiTheme="minorHAnsi"/>
          <w:sz w:val="26"/>
          <w:szCs w:val="26"/>
        </w:rPr>
        <w:t xml:space="preserve">domácnosti využívaly pro vklady převážně domácí měnu. Na konci prvního čtvrtletí roku 2020 činila podle ČNB </w:t>
      </w:r>
      <w:r w:rsidRPr="00C30F6B">
        <w:rPr>
          <w:rFonts w:asciiTheme="minorHAnsi" w:hAnsiTheme="minorHAnsi"/>
          <w:b/>
          <w:sz w:val="26"/>
          <w:szCs w:val="26"/>
        </w:rPr>
        <w:t>výše cizoměnových vkladů 102,9 mld. Kč</w:t>
      </w:r>
      <w:r w:rsidRPr="00C30F6B">
        <w:rPr>
          <w:rFonts w:asciiTheme="minorHAnsi" w:hAnsiTheme="minorHAnsi"/>
          <w:sz w:val="26"/>
          <w:szCs w:val="26"/>
        </w:rPr>
        <w:t xml:space="preserve"> a meziročně došlo k jejich zvýšení o 18,1 mld. Kč.</w:t>
      </w:r>
    </w:p>
    <w:p w:rsidR="002E5616" w:rsidRPr="00C30F6B" w:rsidRDefault="002E5616" w:rsidP="002E5616"/>
    <w:p w:rsidR="002E5616" w:rsidRPr="00C30F6B" w:rsidRDefault="002E5616" w:rsidP="002E5616">
      <w:pPr>
        <w:spacing w:after="240"/>
        <w:jc w:val="both"/>
        <w:rPr>
          <w:rFonts w:asciiTheme="minorHAnsi" w:hAnsiTheme="minorHAnsi" w:cstheme="minorHAnsi"/>
        </w:rPr>
      </w:pPr>
    </w:p>
    <w:p w:rsidR="00586BE7" w:rsidRPr="00AE7317" w:rsidRDefault="00586BE7">
      <w:bookmarkStart w:id="1" w:name="_GoBack"/>
      <w:bookmarkEnd w:id="1"/>
    </w:p>
    <w:sectPr w:rsidR="00586BE7" w:rsidRPr="00AE7317" w:rsidSect="002E5616">
      <w:footerReference w:type="default" r:id="rId10"/>
      <w:pgSz w:w="11906" w:h="16838"/>
      <w:pgMar w:top="1417" w:right="1417" w:bottom="1417" w:left="1417" w:header="708" w:footer="708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E0" w:rsidRDefault="004A1DE0">
      <w:r>
        <w:separator/>
      </w:r>
    </w:p>
  </w:endnote>
  <w:endnote w:type="continuationSeparator" w:id="0">
    <w:p w:rsidR="004A1DE0" w:rsidRDefault="004A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616" w:rsidRDefault="002E5616" w:rsidP="009D61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5616" w:rsidRDefault="002E5616" w:rsidP="009D61E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616" w:rsidRDefault="002E5616" w:rsidP="009D61EF">
    <w:pPr>
      <w:pStyle w:val="Zpat"/>
      <w:framePr w:wrap="around" w:vAnchor="text" w:hAnchor="margin" w:xAlign="center" w:y="1"/>
      <w:ind w:right="360"/>
      <w:rPr>
        <w:rStyle w:val="slostrnky"/>
      </w:rPr>
    </w:pPr>
  </w:p>
  <w:p w:rsidR="002E5616" w:rsidRDefault="002E5616" w:rsidP="0012791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EE8" w:rsidRPr="00A96EE8" w:rsidRDefault="00A96EE8">
    <w:pPr>
      <w:pStyle w:val="Zpat"/>
      <w:jc w:val="center"/>
    </w:pPr>
    <w:r w:rsidRPr="00A96EE8">
      <w:fldChar w:fldCharType="begin"/>
    </w:r>
    <w:r w:rsidRPr="00A96EE8">
      <w:instrText>PAGE   \* MERGEFORMAT</w:instrText>
    </w:r>
    <w:r w:rsidRPr="00A96EE8">
      <w:fldChar w:fldCharType="separate"/>
    </w:r>
    <w:r w:rsidR="00F9388B">
      <w:rPr>
        <w:noProof/>
      </w:rPr>
      <w:t>1</w:t>
    </w:r>
    <w:r w:rsidRPr="00A96EE8">
      <w:fldChar w:fldCharType="end"/>
    </w:r>
  </w:p>
  <w:p w:rsidR="00A96EE8" w:rsidRDefault="00A96EE8" w:rsidP="009D61EF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E0" w:rsidRDefault="004A1DE0">
      <w:r>
        <w:separator/>
      </w:r>
    </w:p>
  </w:footnote>
  <w:footnote w:type="continuationSeparator" w:id="0">
    <w:p w:rsidR="004A1DE0" w:rsidRDefault="004A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502"/>
    <w:multiLevelType w:val="hybridMultilevel"/>
    <w:tmpl w:val="1D00D456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781A"/>
    <w:multiLevelType w:val="hybridMultilevel"/>
    <w:tmpl w:val="A57026E2"/>
    <w:lvl w:ilvl="0" w:tplc="4340610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FC22C6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75E5A62"/>
    <w:multiLevelType w:val="hybridMultilevel"/>
    <w:tmpl w:val="71FAFD9C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3944"/>
    <w:multiLevelType w:val="hybridMultilevel"/>
    <w:tmpl w:val="57B8BD6C"/>
    <w:lvl w:ilvl="0" w:tplc="43406100">
      <w:start w:val="1"/>
      <w:numFmt w:val="bullet"/>
      <w:lvlText w:val="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CDC08D0"/>
    <w:multiLevelType w:val="hybridMultilevel"/>
    <w:tmpl w:val="C7964F78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2D7D"/>
    <w:multiLevelType w:val="hybridMultilevel"/>
    <w:tmpl w:val="B8F648E6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62A49"/>
    <w:multiLevelType w:val="hybridMultilevel"/>
    <w:tmpl w:val="C9205FB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F5332"/>
    <w:multiLevelType w:val="hybridMultilevel"/>
    <w:tmpl w:val="C2A83A96"/>
    <w:lvl w:ilvl="0" w:tplc="8DD49488">
      <w:start w:val="1"/>
      <w:numFmt w:val="bullet"/>
      <w:lvlText w:val=""/>
      <w:lvlJc w:val="left"/>
      <w:pPr>
        <w:tabs>
          <w:tab w:val="num" w:pos="-138"/>
        </w:tabs>
        <w:ind w:left="-13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9" w15:restartNumberingAfterBreak="0">
    <w:nsid w:val="129C318E"/>
    <w:multiLevelType w:val="hybridMultilevel"/>
    <w:tmpl w:val="C4C09478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86A4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22E8D"/>
    <w:multiLevelType w:val="hybridMultilevel"/>
    <w:tmpl w:val="0818E5EE"/>
    <w:lvl w:ilvl="0" w:tplc="B3069C9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20D21"/>
    <w:multiLevelType w:val="hybridMultilevel"/>
    <w:tmpl w:val="9D7ACCBA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D26A8"/>
    <w:multiLevelType w:val="hybridMultilevel"/>
    <w:tmpl w:val="7182FF5A"/>
    <w:lvl w:ilvl="0" w:tplc="0986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06488"/>
    <w:multiLevelType w:val="hybridMultilevel"/>
    <w:tmpl w:val="FBAEDE52"/>
    <w:lvl w:ilvl="0" w:tplc="43406100">
      <w:start w:val="1"/>
      <w:numFmt w:val="bullet"/>
      <w:lvlText w:val=""/>
      <w:lvlJc w:val="left"/>
      <w:pPr>
        <w:tabs>
          <w:tab w:val="num" w:pos="130"/>
        </w:tabs>
        <w:ind w:left="13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680"/>
        </w:tabs>
        <w:ind w:left="-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"/>
        </w:tabs>
        <w:ind w:left="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</w:abstractNum>
  <w:abstractNum w:abstractNumId="14" w15:restartNumberingAfterBreak="0">
    <w:nsid w:val="1F680B7A"/>
    <w:multiLevelType w:val="hybridMultilevel"/>
    <w:tmpl w:val="ECDC3790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B147B"/>
    <w:multiLevelType w:val="hybridMultilevel"/>
    <w:tmpl w:val="F05CB9B8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A2001"/>
    <w:multiLevelType w:val="hybridMultilevel"/>
    <w:tmpl w:val="0C28C9FE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14034A"/>
    <w:multiLevelType w:val="hybridMultilevel"/>
    <w:tmpl w:val="994EC4B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B4D76"/>
    <w:multiLevelType w:val="hybridMultilevel"/>
    <w:tmpl w:val="C0D2C048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14D35"/>
    <w:multiLevelType w:val="hybridMultilevel"/>
    <w:tmpl w:val="45A88F2A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881E22"/>
    <w:multiLevelType w:val="hybridMultilevel"/>
    <w:tmpl w:val="DB328FF8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0636F"/>
    <w:multiLevelType w:val="hybridMultilevel"/>
    <w:tmpl w:val="A950F9FC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0047D3"/>
    <w:multiLevelType w:val="hybridMultilevel"/>
    <w:tmpl w:val="75246BB6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644EB"/>
    <w:multiLevelType w:val="hybridMultilevel"/>
    <w:tmpl w:val="5610351C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0406B"/>
    <w:multiLevelType w:val="hybridMultilevel"/>
    <w:tmpl w:val="39CEED66"/>
    <w:lvl w:ilvl="0" w:tplc="8DD49488">
      <w:start w:val="1"/>
      <w:numFmt w:val="bullet"/>
      <w:lvlText w:val="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color w:val="auto"/>
      </w:rPr>
    </w:lvl>
    <w:lvl w:ilvl="1" w:tplc="0986A486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5" w15:restartNumberingAfterBreak="0">
    <w:nsid w:val="397E63E9"/>
    <w:multiLevelType w:val="hybridMultilevel"/>
    <w:tmpl w:val="3C723678"/>
    <w:lvl w:ilvl="0" w:tplc="D6D66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8398E"/>
    <w:multiLevelType w:val="hybridMultilevel"/>
    <w:tmpl w:val="20389024"/>
    <w:lvl w:ilvl="0" w:tplc="BC7A09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675C8"/>
    <w:multiLevelType w:val="hybridMultilevel"/>
    <w:tmpl w:val="8CD69554"/>
    <w:lvl w:ilvl="0" w:tplc="4340610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4A64DC9"/>
    <w:multiLevelType w:val="hybridMultilevel"/>
    <w:tmpl w:val="C8447A5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C6970"/>
    <w:multiLevelType w:val="hybridMultilevel"/>
    <w:tmpl w:val="7C58D846"/>
    <w:lvl w:ilvl="0" w:tplc="B3069C9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E49DD"/>
    <w:multiLevelType w:val="hybridMultilevel"/>
    <w:tmpl w:val="4D0295B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A4F5E"/>
    <w:multiLevelType w:val="hybridMultilevel"/>
    <w:tmpl w:val="3A7AE7A6"/>
    <w:lvl w:ilvl="0" w:tplc="6504B1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4A044C61"/>
    <w:multiLevelType w:val="hybridMultilevel"/>
    <w:tmpl w:val="B8981C4E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14411"/>
    <w:multiLevelType w:val="hybridMultilevel"/>
    <w:tmpl w:val="48A0B058"/>
    <w:lvl w:ilvl="0" w:tplc="28046BB6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245788E"/>
    <w:multiLevelType w:val="hybridMultilevel"/>
    <w:tmpl w:val="240C3C3E"/>
    <w:lvl w:ilvl="0" w:tplc="B3069C9E">
      <w:start w:val="1"/>
      <w:numFmt w:val="bullet"/>
      <w:lvlText w:val="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532E4D63"/>
    <w:multiLevelType w:val="hybridMultilevel"/>
    <w:tmpl w:val="228CADD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84496"/>
    <w:multiLevelType w:val="hybridMultilevel"/>
    <w:tmpl w:val="07BAD74A"/>
    <w:lvl w:ilvl="0" w:tplc="4340610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C7C7D"/>
    <w:multiLevelType w:val="hybridMultilevel"/>
    <w:tmpl w:val="54D60CBC"/>
    <w:lvl w:ilvl="0" w:tplc="C7F0B58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621168CD"/>
    <w:multiLevelType w:val="hybridMultilevel"/>
    <w:tmpl w:val="8E2A4E8E"/>
    <w:lvl w:ilvl="0" w:tplc="4340610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8F414C8"/>
    <w:multiLevelType w:val="hybridMultilevel"/>
    <w:tmpl w:val="02F4A36E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05A48"/>
    <w:multiLevelType w:val="hybridMultilevel"/>
    <w:tmpl w:val="93A21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A7031"/>
    <w:multiLevelType w:val="hybridMultilevel"/>
    <w:tmpl w:val="C86E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9288C"/>
    <w:multiLevelType w:val="hybridMultilevel"/>
    <w:tmpl w:val="E5BE4558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61ACE"/>
    <w:multiLevelType w:val="hybridMultilevel"/>
    <w:tmpl w:val="2542C554"/>
    <w:lvl w:ilvl="0" w:tplc="C7F0B5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4CC01D2"/>
    <w:multiLevelType w:val="hybridMultilevel"/>
    <w:tmpl w:val="278EBF52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524CE6"/>
    <w:multiLevelType w:val="hybridMultilevel"/>
    <w:tmpl w:val="A19421A6"/>
    <w:lvl w:ilvl="0" w:tplc="0986A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9EC21E7"/>
    <w:multiLevelType w:val="hybridMultilevel"/>
    <w:tmpl w:val="C47EC03C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F27AC"/>
    <w:multiLevelType w:val="hybridMultilevel"/>
    <w:tmpl w:val="790065DE"/>
    <w:lvl w:ilvl="0" w:tplc="DC343C08">
      <w:start w:val="1"/>
      <w:numFmt w:val="bullet"/>
      <w:lvlText w:val="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15776"/>
    <w:multiLevelType w:val="hybridMultilevel"/>
    <w:tmpl w:val="26D4DDC8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19"/>
  </w:num>
  <w:num w:numId="5">
    <w:abstractNumId w:val="13"/>
  </w:num>
  <w:num w:numId="6">
    <w:abstractNumId w:val="31"/>
  </w:num>
  <w:num w:numId="7">
    <w:abstractNumId w:val="37"/>
  </w:num>
  <w:num w:numId="8">
    <w:abstractNumId w:val="43"/>
  </w:num>
  <w:num w:numId="9">
    <w:abstractNumId w:val="7"/>
  </w:num>
  <w:num w:numId="10">
    <w:abstractNumId w:val="30"/>
  </w:num>
  <w:num w:numId="11">
    <w:abstractNumId w:val="8"/>
  </w:num>
  <w:num w:numId="12">
    <w:abstractNumId w:val="12"/>
  </w:num>
  <w:num w:numId="13">
    <w:abstractNumId w:val="27"/>
  </w:num>
  <w:num w:numId="14">
    <w:abstractNumId w:val="4"/>
  </w:num>
  <w:num w:numId="15">
    <w:abstractNumId w:val="1"/>
  </w:num>
  <w:num w:numId="16">
    <w:abstractNumId w:val="5"/>
  </w:num>
  <w:num w:numId="17">
    <w:abstractNumId w:val="0"/>
  </w:num>
  <w:num w:numId="18">
    <w:abstractNumId w:val="46"/>
  </w:num>
  <w:num w:numId="19">
    <w:abstractNumId w:val="17"/>
  </w:num>
  <w:num w:numId="20">
    <w:abstractNumId w:val="14"/>
  </w:num>
  <w:num w:numId="21">
    <w:abstractNumId w:val="6"/>
  </w:num>
  <w:num w:numId="22">
    <w:abstractNumId w:val="39"/>
  </w:num>
  <w:num w:numId="23">
    <w:abstractNumId w:val="44"/>
  </w:num>
  <w:num w:numId="24">
    <w:abstractNumId w:val="16"/>
  </w:num>
  <w:num w:numId="25">
    <w:abstractNumId w:val="21"/>
  </w:num>
  <w:num w:numId="26">
    <w:abstractNumId w:val="22"/>
  </w:num>
  <w:num w:numId="27">
    <w:abstractNumId w:val="32"/>
  </w:num>
  <w:num w:numId="28">
    <w:abstractNumId w:val="33"/>
  </w:num>
  <w:num w:numId="29">
    <w:abstractNumId w:val="47"/>
  </w:num>
  <w:num w:numId="30">
    <w:abstractNumId w:val="34"/>
  </w:num>
  <w:num w:numId="31">
    <w:abstractNumId w:val="45"/>
  </w:num>
  <w:num w:numId="32">
    <w:abstractNumId w:val="24"/>
  </w:num>
  <w:num w:numId="33">
    <w:abstractNumId w:val="9"/>
  </w:num>
  <w:num w:numId="34">
    <w:abstractNumId w:val="38"/>
  </w:num>
  <w:num w:numId="35">
    <w:abstractNumId w:val="41"/>
  </w:num>
  <w:num w:numId="36">
    <w:abstractNumId w:val="46"/>
  </w:num>
  <w:num w:numId="37">
    <w:abstractNumId w:val="3"/>
  </w:num>
  <w:num w:numId="38">
    <w:abstractNumId w:val="42"/>
  </w:num>
  <w:num w:numId="39">
    <w:abstractNumId w:val="29"/>
  </w:num>
  <w:num w:numId="40">
    <w:abstractNumId w:val="10"/>
  </w:num>
  <w:num w:numId="41">
    <w:abstractNumId w:val="48"/>
  </w:num>
  <w:num w:numId="42">
    <w:abstractNumId w:val="15"/>
  </w:num>
  <w:num w:numId="43">
    <w:abstractNumId w:val="11"/>
  </w:num>
  <w:num w:numId="44">
    <w:abstractNumId w:val="23"/>
  </w:num>
  <w:num w:numId="45">
    <w:abstractNumId w:val="25"/>
  </w:num>
  <w:num w:numId="46">
    <w:abstractNumId w:val="26"/>
  </w:num>
  <w:num w:numId="47">
    <w:abstractNumId w:val="35"/>
  </w:num>
  <w:num w:numId="48">
    <w:abstractNumId w:val="40"/>
  </w:num>
  <w:num w:numId="49">
    <w:abstractNumId w:val="18"/>
  </w:num>
  <w:num w:numId="50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43"/>
    <w:rsid w:val="000000EB"/>
    <w:rsid w:val="00002D09"/>
    <w:rsid w:val="00005478"/>
    <w:rsid w:val="00006EB7"/>
    <w:rsid w:val="00010CDA"/>
    <w:rsid w:val="00010F96"/>
    <w:rsid w:val="0001234D"/>
    <w:rsid w:val="00014108"/>
    <w:rsid w:val="00014B1B"/>
    <w:rsid w:val="00016405"/>
    <w:rsid w:val="0001665E"/>
    <w:rsid w:val="00023279"/>
    <w:rsid w:val="00023B53"/>
    <w:rsid w:val="00024DB4"/>
    <w:rsid w:val="00026922"/>
    <w:rsid w:val="00027377"/>
    <w:rsid w:val="000328D2"/>
    <w:rsid w:val="00034073"/>
    <w:rsid w:val="000346F9"/>
    <w:rsid w:val="00034F71"/>
    <w:rsid w:val="00035DAA"/>
    <w:rsid w:val="00035DBA"/>
    <w:rsid w:val="000369D6"/>
    <w:rsid w:val="000440BF"/>
    <w:rsid w:val="0004595A"/>
    <w:rsid w:val="000500B2"/>
    <w:rsid w:val="000502BC"/>
    <w:rsid w:val="000504EF"/>
    <w:rsid w:val="00053578"/>
    <w:rsid w:val="00056EE9"/>
    <w:rsid w:val="00057478"/>
    <w:rsid w:val="00060C4C"/>
    <w:rsid w:val="000661B2"/>
    <w:rsid w:val="0006719E"/>
    <w:rsid w:val="0006792F"/>
    <w:rsid w:val="00067C1D"/>
    <w:rsid w:val="00067E16"/>
    <w:rsid w:val="000701AD"/>
    <w:rsid w:val="000726C6"/>
    <w:rsid w:val="00073B40"/>
    <w:rsid w:val="00074F34"/>
    <w:rsid w:val="000762FD"/>
    <w:rsid w:val="00076EC4"/>
    <w:rsid w:val="00077160"/>
    <w:rsid w:val="00081885"/>
    <w:rsid w:val="00081987"/>
    <w:rsid w:val="000826CF"/>
    <w:rsid w:val="000836FA"/>
    <w:rsid w:val="00083A69"/>
    <w:rsid w:val="00084795"/>
    <w:rsid w:val="0008481A"/>
    <w:rsid w:val="000854E7"/>
    <w:rsid w:val="00086F29"/>
    <w:rsid w:val="0008744E"/>
    <w:rsid w:val="00087F32"/>
    <w:rsid w:val="00092543"/>
    <w:rsid w:val="0009468A"/>
    <w:rsid w:val="00094C4B"/>
    <w:rsid w:val="0009519D"/>
    <w:rsid w:val="000955E9"/>
    <w:rsid w:val="00096186"/>
    <w:rsid w:val="00096434"/>
    <w:rsid w:val="000967B3"/>
    <w:rsid w:val="00096A7F"/>
    <w:rsid w:val="000A1BD3"/>
    <w:rsid w:val="000A2D06"/>
    <w:rsid w:val="000A49DF"/>
    <w:rsid w:val="000A51B8"/>
    <w:rsid w:val="000A78CB"/>
    <w:rsid w:val="000B040F"/>
    <w:rsid w:val="000B146B"/>
    <w:rsid w:val="000B2C7E"/>
    <w:rsid w:val="000B2D06"/>
    <w:rsid w:val="000B3FEE"/>
    <w:rsid w:val="000B4160"/>
    <w:rsid w:val="000B4596"/>
    <w:rsid w:val="000B544B"/>
    <w:rsid w:val="000B5B59"/>
    <w:rsid w:val="000B5DDB"/>
    <w:rsid w:val="000B63CD"/>
    <w:rsid w:val="000B65FB"/>
    <w:rsid w:val="000C1FB7"/>
    <w:rsid w:val="000C2543"/>
    <w:rsid w:val="000C47CB"/>
    <w:rsid w:val="000C7AE9"/>
    <w:rsid w:val="000D1E70"/>
    <w:rsid w:val="000D1F1D"/>
    <w:rsid w:val="000D22CA"/>
    <w:rsid w:val="000D2643"/>
    <w:rsid w:val="000D2D91"/>
    <w:rsid w:val="000D795E"/>
    <w:rsid w:val="000E250B"/>
    <w:rsid w:val="000E2B1C"/>
    <w:rsid w:val="000E511A"/>
    <w:rsid w:val="000E5736"/>
    <w:rsid w:val="000E5CDF"/>
    <w:rsid w:val="000F100F"/>
    <w:rsid w:val="000F2E55"/>
    <w:rsid w:val="000F4D5D"/>
    <w:rsid w:val="000F61B6"/>
    <w:rsid w:val="000F74BA"/>
    <w:rsid w:val="000F7E02"/>
    <w:rsid w:val="0010018E"/>
    <w:rsid w:val="0010283B"/>
    <w:rsid w:val="00106D26"/>
    <w:rsid w:val="00110817"/>
    <w:rsid w:val="00110C58"/>
    <w:rsid w:val="0011361B"/>
    <w:rsid w:val="001153B4"/>
    <w:rsid w:val="00115B02"/>
    <w:rsid w:val="00120A88"/>
    <w:rsid w:val="00120BA1"/>
    <w:rsid w:val="0012342A"/>
    <w:rsid w:val="0012791D"/>
    <w:rsid w:val="00130524"/>
    <w:rsid w:val="00132392"/>
    <w:rsid w:val="00132B48"/>
    <w:rsid w:val="00133E09"/>
    <w:rsid w:val="00135798"/>
    <w:rsid w:val="001367A5"/>
    <w:rsid w:val="00137FE0"/>
    <w:rsid w:val="00140D80"/>
    <w:rsid w:val="001428A0"/>
    <w:rsid w:val="00143504"/>
    <w:rsid w:val="00143E97"/>
    <w:rsid w:val="00145D4A"/>
    <w:rsid w:val="00145F26"/>
    <w:rsid w:val="001477AF"/>
    <w:rsid w:val="00147B50"/>
    <w:rsid w:val="00147D8B"/>
    <w:rsid w:val="00151010"/>
    <w:rsid w:val="001510AF"/>
    <w:rsid w:val="001517E9"/>
    <w:rsid w:val="00152475"/>
    <w:rsid w:val="00153554"/>
    <w:rsid w:val="00156FD4"/>
    <w:rsid w:val="0015735E"/>
    <w:rsid w:val="001606C1"/>
    <w:rsid w:val="00161574"/>
    <w:rsid w:val="00161EFC"/>
    <w:rsid w:val="00165FA8"/>
    <w:rsid w:val="00167FBB"/>
    <w:rsid w:val="00171413"/>
    <w:rsid w:val="00171D7C"/>
    <w:rsid w:val="00172938"/>
    <w:rsid w:val="0017383F"/>
    <w:rsid w:val="00180012"/>
    <w:rsid w:val="00180982"/>
    <w:rsid w:val="00181966"/>
    <w:rsid w:val="00181ABD"/>
    <w:rsid w:val="00182E4A"/>
    <w:rsid w:val="00185755"/>
    <w:rsid w:val="00187C6B"/>
    <w:rsid w:val="00190F8C"/>
    <w:rsid w:val="00191E64"/>
    <w:rsid w:val="001920B8"/>
    <w:rsid w:val="0019239A"/>
    <w:rsid w:val="001931AC"/>
    <w:rsid w:val="00194236"/>
    <w:rsid w:val="001966D7"/>
    <w:rsid w:val="001968B0"/>
    <w:rsid w:val="001A09FA"/>
    <w:rsid w:val="001A2454"/>
    <w:rsid w:val="001A2EFC"/>
    <w:rsid w:val="001A3D6D"/>
    <w:rsid w:val="001A408C"/>
    <w:rsid w:val="001A4B38"/>
    <w:rsid w:val="001A6B10"/>
    <w:rsid w:val="001B1157"/>
    <w:rsid w:val="001B128E"/>
    <w:rsid w:val="001B53E1"/>
    <w:rsid w:val="001B5575"/>
    <w:rsid w:val="001B658E"/>
    <w:rsid w:val="001C00DC"/>
    <w:rsid w:val="001C27D9"/>
    <w:rsid w:val="001C6544"/>
    <w:rsid w:val="001D0DF4"/>
    <w:rsid w:val="001D2A62"/>
    <w:rsid w:val="001D374E"/>
    <w:rsid w:val="001D58C4"/>
    <w:rsid w:val="001D5B7B"/>
    <w:rsid w:val="001D6C57"/>
    <w:rsid w:val="001E1680"/>
    <w:rsid w:val="001E252D"/>
    <w:rsid w:val="001E2B3F"/>
    <w:rsid w:val="001E336C"/>
    <w:rsid w:val="001E3F11"/>
    <w:rsid w:val="001E43C5"/>
    <w:rsid w:val="001E5077"/>
    <w:rsid w:val="001E5C7D"/>
    <w:rsid w:val="001E7439"/>
    <w:rsid w:val="001F0111"/>
    <w:rsid w:val="001F14A5"/>
    <w:rsid w:val="001F3E7B"/>
    <w:rsid w:val="001F459A"/>
    <w:rsid w:val="001F5296"/>
    <w:rsid w:val="0020140E"/>
    <w:rsid w:val="00201826"/>
    <w:rsid w:val="00205E50"/>
    <w:rsid w:val="0020644C"/>
    <w:rsid w:val="0020740A"/>
    <w:rsid w:val="002137FC"/>
    <w:rsid w:val="0021527E"/>
    <w:rsid w:val="00215776"/>
    <w:rsid w:val="00215C3E"/>
    <w:rsid w:val="0021651C"/>
    <w:rsid w:val="00216DE1"/>
    <w:rsid w:val="0022177B"/>
    <w:rsid w:val="00222F2A"/>
    <w:rsid w:val="0022352C"/>
    <w:rsid w:val="00225A56"/>
    <w:rsid w:val="00225CEB"/>
    <w:rsid w:val="002260E9"/>
    <w:rsid w:val="00227B36"/>
    <w:rsid w:val="0023028A"/>
    <w:rsid w:val="00235872"/>
    <w:rsid w:val="00235DC0"/>
    <w:rsid w:val="00236559"/>
    <w:rsid w:val="0024166C"/>
    <w:rsid w:val="00241A60"/>
    <w:rsid w:val="002449FA"/>
    <w:rsid w:val="0024630B"/>
    <w:rsid w:val="00252F44"/>
    <w:rsid w:val="00256E24"/>
    <w:rsid w:val="00262743"/>
    <w:rsid w:val="002632A7"/>
    <w:rsid w:val="002632B5"/>
    <w:rsid w:val="00263534"/>
    <w:rsid w:val="00263617"/>
    <w:rsid w:val="002641B2"/>
    <w:rsid w:val="0026455F"/>
    <w:rsid w:val="00265AE4"/>
    <w:rsid w:val="00266116"/>
    <w:rsid w:val="00266CD3"/>
    <w:rsid w:val="00272630"/>
    <w:rsid w:val="00273F73"/>
    <w:rsid w:val="0027649D"/>
    <w:rsid w:val="002774A7"/>
    <w:rsid w:val="0027763A"/>
    <w:rsid w:val="00280FA1"/>
    <w:rsid w:val="002811A6"/>
    <w:rsid w:val="00282C9F"/>
    <w:rsid w:val="002870FA"/>
    <w:rsid w:val="002906EE"/>
    <w:rsid w:val="00292417"/>
    <w:rsid w:val="00292F9B"/>
    <w:rsid w:val="00293309"/>
    <w:rsid w:val="002962F8"/>
    <w:rsid w:val="00297482"/>
    <w:rsid w:val="002975AF"/>
    <w:rsid w:val="00297944"/>
    <w:rsid w:val="002A06EE"/>
    <w:rsid w:val="002A27E1"/>
    <w:rsid w:val="002A2DA4"/>
    <w:rsid w:val="002A5D35"/>
    <w:rsid w:val="002B04E3"/>
    <w:rsid w:val="002B0520"/>
    <w:rsid w:val="002B0DA2"/>
    <w:rsid w:val="002B3C16"/>
    <w:rsid w:val="002B4927"/>
    <w:rsid w:val="002B49B5"/>
    <w:rsid w:val="002B4FAD"/>
    <w:rsid w:val="002B5737"/>
    <w:rsid w:val="002B5F67"/>
    <w:rsid w:val="002B6B13"/>
    <w:rsid w:val="002C1344"/>
    <w:rsid w:val="002C349C"/>
    <w:rsid w:val="002C4F03"/>
    <w:rsid w:val="002C5635"/>
    <w:rsid w:val="002D0513"/>
    <w:rsid w:val="002D2480"/>
    <w:rsid w:val="002D3148"/>
    <w:rsid w:val="002D6851"/>
    <w:rsid w:val="002D784C"/>
    <w:rsid w:val="002E16FC"/>
    <w:rsid w:val="002E2198"/>
    <w:rsid w:val="002E5616"/>
    <w:rsid w:val="002E577C"/>
    <w:rsid w:val="002E6107"/>
    <w:rsid w:val="002E6A48"/>
    <w:rsid w:val="002E6E34"/>
    <w:rsid w:val="002E72EE"/>
    <w:rsid w:val="002F0A3D"/>
    <w:rsid w:val="002F2A13"/>
    <w:rsid w:val="002F2A17"/>
    <w:rsid w:val="002F484C"/>
    <w:rsid w:val="002F48B8"/>
    <w:rsid w:val="002F7979"/>
    <w:rsid w:val="00300114"/>
    <w:rsid w:val="00301681"/>
    <w:rsid w:val="00302A17"/>
    <w:rsid w:val="00304AB9"/>
    <w:rsid w:val="003071AC"/>
    <w:rsid w:val="00307756"/>
    <w:rsid w:val="0031187B"/>
    <w:rsid w:val="00312156"/>
    <w:rsid w:val="00312CEF"/>
    <w:rsid w:val="003160DB"/>
    <w:rsid w:val="003201D6"/>
    <w:rsid w:val="00321CB8"/>
    <w:rsid w:val="00322690"/>
    <w:rsid w:val="003233CB"/>
    <w:rsid w:val="00323B0B"/>
    <w:rsid w:val="00323C5F"/>
    <w:rsid w:val="00323FC6"/>
    <w:rsid w:val="00324CFC"/>
    <w:rsid w:val="003326DF"/>
    <w:rsid w:val="00332E16"/>
    <w:rsid w:val="003331C6"/>
    <w:rsid w:val="003334BB"/>
    <w:rsid w:val="00333BDB"/>
    <w:rsid w:val="00335422"/>
    <w:rsid w:val="00335876"/>
    <w:rsid w:val="00335FCC"/>
    <w:rsid w:val="00336B98"/>
    <w:rsid w:val="003402F3"/>
    <w:rsid w:val="00340D55"/>
    <w:rsid w:val="00341F6A"/>
    <w:rsid w:val="003448C2"/>
    <w:rsid w:val="00344A16"/>
    <w:rsid w:val="003460E9"/>
    <w:rsid w:val="00346852"/>
    <w:rsid w:val="00347013"/>
    <w:rsid w:val="00352002"/>
    <w:rsid w:val="00352572"/>
    <w:rsid w:val="00353ED1"/>
    <w:rsid w:val="00355C21"/>
    <w:rsid w:val="00357EA8"/>
    <w:rsid w:val="00360495"/>
    <w:rsid w:val="0036224E"/>
    <w:rsid w:val="003632E9"/>
    <w:rsid w:val="003639C8"/>
    <w:rsid w:val="0036666D"/>
    <w:rsid w:val="00366B48"/>
    <w:rsid w:val="00367104"/>
    <w:rsid w:val="0037030C"/>
    <w:rsid w:val="00371419"/>
    <w:rsid w:val="00373A15"/>
    <w:rsid w:val="00373F59"/>
    <w:rsid w:val="0037489B"/>
    <w:rsid w:val="00374E47"/>
    <w:rsid w:val="003765A0"/>
    <w:rsid w:val="0037747C"/>
    <w:rsid w:val="0037789C"/>
    <w:rsid w:val="00377D70"/>
    <w:rsid w:val="00381122"/>
    <w:rsid w:val="00381A67"/>
    <w:rsid w:val="00381E4A"/>
    <w:rsid w:val="00382F48"/>
    <w:rsid w:val="00390B45"/>
    <w:rsid w:val="0039170A"/>
    <w:rsid w:val="003939D2"/>
    <w:rsid w:val="003948AB"/>
    <w:rsid w:val="00394EC5"/>
    <w:rsid w:val="00397E8F"/>
    <w:rsid w:val="003A18D1"/>
    <w:rsid w:val="003A1C1B"/>
    <w:rsid w:val="003A5FF3"/>
    <w:rsid w:val="003A726A"/>
    <w:rsid w:val="003B0FD0"/>
    <w:rsid w:val="003B18D4"/>
    <w:rsid w:val="003B1911"/>
    <w:rsid w:val="003B1C3F"/>
    <w:rsid w:val="003B25DB"/>
    <w:rsid w:val="003B2934"/>
    <w:rsid w:val="003B5B55"/>
    <w:rsid w:val="003C126B"/>
    <w:rsid w:val="003C1513"/>
    <w:rsid w:val="003C1AD7"/>
    <w:rsid w:val="003C25A9"/>
    <w:rsid w:val="003C2A0B"/>
    <w:rsid w:val="003C36AA"/>
    <w:rsid w:val="003C37B1"/>
    <w:rsid w:val="003C3E2F"/>
    <w:rsid w:val="003C5A78"/>
    <w:rsid w:val="003C5FE0"/>
    <w:rsid w:val="003D0781"/>
    <w:rsid w:val="003D679C"/>
    <w:rsid w:val="003D6FEE"/>
    <w:rsid w:val="003D7AD8"/>
    <w:rsid w:val="003E0230"/>
    <w:rsid w:val="003E0F95"/>
    <w:rsid w:val="003E1D08"/>
    <w:rsid w:val="003E2F2B"/>
    <w:rsid w:val="003E3400"/>
    <w:rsid w:val="003E5052"/>
    <w:rsid w:val="003E54CE"/>
    <w:rsid w:val="003E5BD4"/>
    <w:rsid w:val="003E6081"/>
    <w:rsid w:val="003E6C1F"/>
    <w:rsid w:val="003E7BC5"/>
    <w:rsid w:val="003F0B13"/>
    <w:rsid w:val="003F0BF7"/>
    <w:rsid w:val="003F0ED3"/>
    <w:rsid w:val="003F1A7F"/>
    <w:rsid w:val="003F2A46"/>
    <w:rsid w:val="003F3BED"/>
    <w:rsid w:val="003F42DF"/>
    <w:rsid w:val="003F4E28"/>
    <w:rsid w:val="003F51E5"/>
    <w:rsid w:val="003F5656"/>
    <w:rsid w:val="003F6B21"/>
    <w:rsid w:val="003F6CC1"/>
    <w:rsid w:val="003F70E9"/>
    <w:rsid w:val="003F71D8"/>
    <w:rsid w:val="00400B00"/>
    <w:rsid w:val="004042A6"/>
    <w:rsid w:val="00405F2E"/>
    <w:rsid w:val="004075F3"/>
    <w:rsid w:val="00410CC3"/>
    <w:rsid w:val="004114D2"/>
    <w:rsid w:val="004118C0"/>
    <w:rsid w:val="00411A9D"/>
    <w:rsid w:val="00412803"/>
    <w:rsid w:val="00413CAB"/>
    <w:rsid w:val="00415A64"/>
    <w:rsid w:val="004165A9"/>
    <w:rsid w:val="00420D2D"/>
    <w:rsid w:val="0042117A"/>
    <w:rsid w:val="004218BD"/>
    <w:rsid w:val="004222BE"/>
    <w:rsid w:val="00422785"/>
    <w:rsid w:val="00423244"/>
    <w:rsid w:val="00423BC2"/>
    <w:rsid w:val="00423EE0"/>
    <w:rsid w:val="0042410B"/>
    <w:rsid w:val="004268E2"/>
    <w:rsid w:val="004270DF"/>
    <w:rsid w:val="00427F15"/>
    <w:rsid w:val="00430582"/>
    <w:rsid w:val="004311C4"/>
    <w:rsid w:val="00431CCA"/>
    <w:rsid w:val="004340F6"/>
    <w:rsid w:val="004348C8"/>
    <w:rsid w:val="00441AE6"/>
    <w:rsid w:val="004423E3"/>
    <w:rsid w:val="00445218"/>
    <w:rsid w:val="004452EB"/>
    <w:rsid w:val="0044610D"/>
    <w:rsid w:val="00446D1B"/>
    <w:rsid w:val="00451255"/>
    <w:rsid w:val="0045165C"/>
    <w:rsid w:val="00451986"/>
    <w:rsid w:val="004519FC"/>
    <w:rsid w:val="00452544"/>
    <w:rsid w:val="00454EBE"/>
    <w:rsid w:val="00455F7F"/>
    <w:rsid w:val="0045602D"/>
    <w:rsid w:val="004564DE"/>
    <w:rsid w:val="0045768D"/>
    <w:rsid w:val="00460545"/>
    <w:rsid w:val="004621C0"/>
    <w:rsid w:val="00462BB2"/>
    <w:rsid w:val="00462D7E"/>
    <w:rsid w:val="00467B5F"/>
    <w:rsid w:val="00470505"/>
    <w:rsid w:val="00472764"/>
    <w:rsid w:val="00474014"/>
    <w:rsid w:val="00475AEE"/>
    <w:rsid w:val="004824CD"/>
    <w:rsid w:val="00483D70"/>
    <w:rsid w:val="004852E1"/>
    <w:rsid w:val="00486161"/>
    <w:rsid w:val="004910D4"/>
    <w:rsid w:val="004913F9"/>
    <w:rsid w:val="0049246E"/>
    <w:rsid w:val="00492CD6"/>
    <w:rsid w:val="00492FAD"/>
    <w:rsid w:val="00493FBD"/>
    <w:rsid w:val="0049472C"/>
    <w:rsid w:val="00494D51"/>
    <w:rsid w:val="00494FB1"/>
    <w:rsid w:val="00496576"/>
    <w:rsid w:val="00496638"/>
    <w:rsid w:val="00497659"/>
    <w:rsid w:val="004A045F"/>
    <w:rsid w:val="004A1DE0"/>
    <w:rsid w:val="004A1DF1"/>
    <w:rsid w:val="004A3DE9"/>
    <w:rsid w:val="004A5C60"/>
    <w:rsid w:val="004A6A3E"/>
    <w:rsid w:val="004A6E89"/>
    <w:rsid w:val="004B26D4"/>
    <w:rsid w:val="004B378F"/>
    <w:rsid w:val="004B42BF"/>
    <w:rsid w:val="004B4C9C"/>
    <w:rsid w:val="004B5743"/>
    <w:rsid w:val="004B72DB"/>
    <w:rsid w:val="004C0A00"/>
    <w:rsid w:val="004C18AA"/>
    <w:rsid w:val="004C2CEA"/>
    <w:rsid w:val="004C4D9B"/>
    <w:rsid w:val="004C5082"/>
    <w:rsid w:val="004C5426"/>
    <w:rsid w:val="004C6BCD"/>
    <w:rsid w:val="004C7903"/>
    <w:rsid w:val="004C7B36"/>
    <w:rsid w:val="004D06D9"/>
    <w:rsid w:val="004D41EE"/>
    <w:rsid w:val="004D6443"/>
    <w:rsid w:val="004D6AAE"/>
    <w:rsid w:val="004D7AB2"/>
    <w:rsid w:val="004D7F06"/>
    <w:rsid w:val="004E081E"/>
    <w:rsid w:val="004E0A50"/>
    <w:rsid w:val="004E1008"/>
    <w:rsid w:val="004E29D8"/>
    <w:rsid w:val="004E5413"/>
    <w:rsid w:val="004E6D52"/>
    <w:rsid w:val="004F136D"/>
    <w:rsid w:val="004F2C07"/>
    <w:rsid w:val="004F6711"/>
    <w:rsid w:val="004F77DF"/>
    <w:rsid w:val="004F7E1B"/>
    <w:rsid w:val="0050058A"/>
    <w:rsid w:val="0050199A"/>
    <w:rsid w:val="00501B0E"/>
    <w:rsid w:val="00503AF0"/>
    <w:rsid w:val="00506539"/>
    <w:rsid w:val="00510802"/>
    <w:rsid w:val="00510E87"/>
    <w:rsid w:val="005124CE"/>
    <w:rsid w:val="0051310A"/>
    <w:rsid w:val="0051346B"/>
    <w:rsid w:val="00514811"/>
    <w:rsid w:val="00515D0F"/>
    <w:rsid w:val="00517087"/>
    <w:rsid w:val="005172A1"/>
    <w:rsid w:val="00522516"/>
    <w:rsid w:val="00531223"/>
    <w:rsid w:val="005339C5"/>
    <w:rsid w:val="005376F7"/>
    <w:rsid w:val="005402D1"/>
    <w:rsid w:val="00540BB1"/>
    <w:rsid w:val="0054220F"/>
    <w:rsid w:val="00542F8E"/>
    <w:rsid w:val="005438F8"/>
    <w:rsid w:val="005441B6"/>
    <w:rsid w:val="0054516F"/>
    <w:rsid w:val="0054569A"/>
    <w:rsid w:val="00547851"/>
    <w:rsid w:val="0055000D"/>
    <w:rsid w:val="0055037D"/>
    <w:rsid w:val="005509E5"/>
    <w:rsid w:val="00554155"/>
    <w:rsid w:val="00554AC7"/>
    <w:rsid w:val="00555558"/>
    <w:rsid w:val="0055621D"/>
    <w:rsid w:val="00557044"/>
    <w:rsid w:val="00563A06"/>
    <w:rsid w:val="00563A5B"/>
    <w:rsid w:val="00563FCF"/>
    <w:rsid w:val="00565248"/>
    <w:rsid w:val="00565E53"/>
    <w:rsid w:val="005663BC"/>
    <w:rsid w:val="00566AA9"/>
    <w:rsid w:val="00566B12"/>
    <w:rsid w:val="005672CA"/>
    <w:rsid w:val="00567AC1"/>
    <w:rsid w:val="00570084"/>
    <w:rsid w:val="00570657"/>
    <w:rsid w:val="0057079C"/>
    <w:rsid w:val="005717BF"/>
    <w:rsid w:val="005734FA"/>
    <w:rsid w:val="00573E6D"/>
    <w:rsid w:val="00573FFB"/>
    <w:rsid w:val="00575A4A"/>
    <w:rsid w:val="00576EFD"/>
    <w:rsid w:val="00576F73"/>
    <w:rsid w:val="00577C63"/>
    <w:rsid w:val="00577C71"/>
    <w:rsid w:val="00577CF1"/>
    <w:rsid w:val="005802B7"/>
    <w:rsid w:val="00580EBD"/>
    <w:rsid w:val="00584653"/>
    <w:rsid w:val="005849C0"/>
    <w:rsid w:val="00586BE7"/>
    <w:rsid w:val="00587B54"/>
    <w:rsid w:val="00590C67"/>
    <w:rsid w:val="00591A6A"/>
    <w:rsid w:val="00591B1F"/>
    <w:rsid w:val="00593782"/>
    <w:rsid w:val="00597C8A"/>
    <w:rsid w:val="005A0F7D"/>
    <w:rsid w:val="005A217B"/>
    <w:rsid w:val="005A3543"/>
    <w:rsid w:val="005A6FBA"/>
    <w:rsid w:val="005B01F6"/>
    <w:rsid w:val="005B040D"/>
    <w:rsid w:val="005B1B59"/>
    <w:rsid w:val="005B25AF"/>
    <w:rsid w:val="005B273F"/>
    <w:rsid w:val="005B573A"/>
    <w:rsid w:val="005B6F12"/>
    <w:rsid w:val="005B70BD"/>
    <w:rsid w:val="005B7BC5"/>
    <w:rsid w:val="005C03CA"/>
    <w:rsid w:val="005C05A6"/>
    <w:rsid w:val="005C0C11"/>
    <w:rsid w:val="005C1470"/>
    <w:rsid w:val="005C1E45"/>
    <w:rsid w:val="005C2A93"/>
    <w:rsid w:val="005C33C9"/>
    <w:rsid w:val="005C34A2"/>
    <w:rsid w:val="005C3B4C"/>
    <w:rsid w:val="005C53D3"/>
    <w:rsid w:val="005C57B5"/>
    <w:rsid w:val="005C5AFB"/>
    <w:rsid w:val="005C7A38"/>
    <w:rsid w:val="005C7DD8"/>
    <w:rsid w:val="005D0133"/>
    <w:rsid w:val="005D14EF"/>
    <w:rsid w:val="005D2AF6"/>
    <w:rsid w:val="005D4043"/>
    <w:rsid w:val="005D52D9"/>
    <w:rsid w:val="005D6DAE"/>
    <w:rsid w:val="005D710F"/>
    <w:rsid w:val="005E051F"/>
    <w:rsid w:val="005E1910"/>
    <w:rsid w:val="005E2B27"/>
    <w:rsid w:val="005E3C65"/>
    <w:rsid w:val="005E4170"/>
    <w:rsid w:val="005E43B8"/>
    <w:rsid w:val="005E4CBE"/>
    <w:rsid w:val="005E6641"/>
    <w:rsid w:val="005E6822"/>
    <w:rsid w:val="005F034F"/>
    <w:rsid w:val="005F102E"/>
    <w:rsid w:val="005F1660"/>
    <w:rsid w:val="005F1CF2"/>
    <w:rsid w:val="005F43AE"/>
    <w:rsid w:val="005F4A82"/>
    <w:rsid w:val="005F4D2D"/>
    <w:rsid w:val="00600A92"/>
    <w:rsid w:val="006033A6"/>
    <w:rsid w:val="00604FF0"/>
    <w:rsid w:val="006066C8"/>
    <w:rsid w:val="00606E35"/>
    <w:rsid w:val="0061358F"/>
    <w:rsid w:val="006141E2"/>
    <w:rsid w:val="006144A4"/>
    <w:rsid w:val="00614DCE"/>
    <w:rsid w:val="00614EB7"/>
    <w:rsid w:val="00615774"/>
    <w:rsid w:val="00615E77"/>
    <w:rsid w:val="00623AAB"/>
    <w:rsid w:val="00624F08"/>
    <w:rsid w:val="006250D1"/>
    <w:rsid w:val="00626CF7"/>
    <w:rsid w:val="0063020A"/>
    <w:rsid w:val="006305E6"/>
    <w:rsid w:val="0063238A"/>
    <w:rsid w:val="00633397"/>
    <w:rsid w:val="00634810"/>
    <w:rsid w:val="00640200"/>
    <w:rsid w:val="006402BC"/>
    <w:rsid w:val="00640D70"/>
    <w:rsid w:val="00641DCE"/>
    <w:rsid w:val="00643A5A"/>
    <w:rsid w:val="006440FB"/>
    <w:rsid w:val="00644827"/>
    <w:rsid w:val="00645C4B"/>
    <w:rsid w:val="00646947"/>
    <w:rsid w:val="00646A01"/>
    <w:rsid w:val="00647027"/>
    <w:rsid w:val="00647D77"/>
    <w:rsid w:val="00652724"/>
    <w:rsid w:val="00654BB5"/>
    <w:rsid w:val="006558D9"/>
    <w:rsid w:val="006608F0"/>
    <w:rsid w:val="00661EF6"/>
    <w:rsid w:val="00662FC9"/>
    <w:rsid w:val="0066383F"/>
    <w:rsid w:val="00663BBE"/>
    <w:rsid w:val="00665932"/>
    <w:rsid w:val="00666149"/>
    <w:rsid w:val="006700CD"/>
    <w:rsid w:val="00671A11"/>
    <w:rsid w:val="006747DF"/>
    <w:rsid w:val="00674E8C"/>
    <w:rsid w:val="00675B4E"/>
    <w:rsid w:val="00677396"/>
    <w:rsid w:val="006805B8"/>
    <w:rsid w:val="006805E4"/>
    <w:rsid w:val="0068188E"/>
    <w:rsid w:val="00681B88"/>
    <w:rsid w:val="0068370B"/>
    <w:rsid w:val="00683964"/>
    <w:rsid w:val="00683D80"/>
    <w:rsid w:val="00685097"/>
    <w:rsid w:val="00685794"/>
    <w:rsid w:val="006866E8"/>
    <w:rsid w:val="006871EA"/>
    <w:rsid w:val="006875BD"/>
    <w:rsid w:val="006879D5"/>
    <w:rsid w:val="00687AA8"/>
    <w:rsid w:val="00687BEC"/>
    <w:rsid w:val="00687F51"/>
    <w:rsid w:val="00691F5B"/>
    <w:rsid w:val="006927C2"/>
    <w:rsid w:val="00693D30"/>
    <w:rsid w:val="006974F0"/>
    <w:rsid w:val="006978AE"/>
    <w:rsid w:val="006A0981"/>
    <w:rsid w:val="006A298A"/>
    <w:rsid w:val="006A2F94"/>
    <w:rsid w:val="006A36D4"/>
    <w:rsid w:val="006A402E"/>
    <w:rsid w:val="006A4084"/>
    <w:rsid w:val="006A53C9"/>
    <w:rsid w:val="006A6B60"/>
    <w:rsid w:val="006B02CD"/>
    <w:rsid w:val="006B0D59"/>
    <w:rsid w:val="006B22D8"/>
    <w:rsid w:val="006B3717"/>
    <w:rsid w:val="006B402A"/>
    <w:rsid w:val="006C1204"/>
    <w:rsid w:val="006C226C"/>
    <w:rsid w:val="006C42C0"/>
    <w:rsid w:val="006C576E"/>
    <w:rsid w:val="006C758D"/>
    <w:rsid w:val="006C7FD1"/>
    <w:rsid w:val="006D0153"/>
    <w:rsid w:val="006D1327"/>
    <w:rsid w:val="006D2032"/>
    <w:rsid w:val="006D409C"/>
    <w:rsid w:val="006D4827"/>
    <w:rsid w:val="006D5623"/>
    <w:rsid w:val="006D5882"/>
    <w:rsid w:val="006D66B6"/>
    <w:rsid w:val="006D67AD"/>
    <w:rsid w:val="006D7769"/>
    <w:rsid w:val="006E167F"/>
    <w:rsid w:val="006E299A"/>
    <w:rsid w:val="006E3B0B"/>
    <w:rsid w:val="006E49C9"/>
    <w:rsid w:val="006E5E12"/>
    <w:rsid w:val="006F2FD9"/>
    <w:rsid w:val="006F68F3"/>
    <w:rsid w:val="006F7259"/>
    <w:rsid w:val="00702041"/>
    <w:rsid w:val="00704397"/>
    <w:rsid w:val="0070672F"/>
    <w:rsid w:val="00710160"/>
    <w:rsid w:val="007102E2"/>
    <w:rsid w:val="00712D65"/>
    <w:rsid w:val="00715243"/>
    <w:rsid w:val="007170C4"/>
    <w:rsid w:val="007222C0"/>
    <w:rsid w:val="00725484"/>
    <w:rsid w:val="00731F0A"/>
    <w:rsid w:val="00731F4C"/>
    <w:rsid w:val="00737CFB"/>
    <w:rsid w:val="007402FA"/>
    <w:rsid w:val="00741B58"/>
    <w:rsid w:val="007438E8"/>
    <w:rsid w:val="00744A1D"/>
    <w:rsid w:val="0074552D"/>
    <w:rsid w:val="00750F17"/>
    <w:rsid w:val="007540A8"/>
    <w:rsid w:val="007549DF"/>
    <w:rsid w:val="007568BB"/>
    <w:rsid w:val="007617BA"/>
    <w:rsid w:val="007624A3"/>
    <w:rsid w:val="00763A14"/>
    <w:rsid w:val="0076589B"/>
    <w:rsid w:val="00766015"/>
    <w:rsid w:val="007660EB"/>
    <w:rsid w:val="00770959"/>
    <w:rsid w:val="00770E13"/>
    <w:rsid w:val="007735B8"/>
    <w:rsid w:val="0077636A"/>
    <w:rsid w:val="00776C52"/>
    <w:rsid w:val="00782200"/>
    <w:rsid w:val="00782526"/>
    <w:rsid w:val="00783AEF"/>
    <w:rsid w:val="007856C9"/>
    <w:rsid w:val="00785747"/>
    <w:rsid w:val="00786151"/>
    <w:rsid w:val="00786D4B"/>
    <w:rsid w:val="007876B0"/>
    <w:rsid w:val="00790329"/>
    <w:rsid w:val="00791B4B"/>
    <w:rsid w:val="00792BAC"/>
    <w:rsid w:val="0079505A"/>
    <w:rsid w:val="00795A30"/>
    <w:rsid w:val="007A1632"/>
    <w:rsid w:val="007A1799"/>
    <w:rsid w:val="007A1C32"/>
    <w:rsid w:val="007A2F8B"/>
    <w:rsid w:val="007A3740"/>
    <w:rsid w:val="007A503A"/>
    <w:rsid w:val="007A68DE"/>
    <w:rsid w:val="007A7E51"/>
    <w:rsid w:val="007B22BF"/>
    <w:rsid w:val="007B2BDE"/>
    <w:rsid w:val="007B2BE6"/>
    <w:rsid w:val="007B583E"/>
    <w:rsid w:val="007C0695"/>
    <w:rsid w:val="007D1351"/>
    <w:rsid w:val="007D2335"/>
    <w:rsid w:val="007D2D2A"/>
    <w:rsid w:val="007D30B1"/>
    <w:rsid w:val="007D39F8"/>
    <w:rsid w:val="007D4563"/>
    <w:rsid w:val="007D464A"/>
    <w:rsid w:val="007E1683"/>
    <w:rsid w:val="007E25A3"/>
    <w:rsid w:val="007E270F"/>
    <w:rsid w:val="007E3256"/>
    <w:rsid w:val="007E32D6"/>
    <w:rsid w:val="007E3BC9"/>
    <w:rsid w:val="007E3F77"/>
    <w:rsid w:val="007E5857"/>
    <w:rsid w:val="007F0AB4"/>
    <w:rsid w:val="007F0B57"/>
    <w:rsid w:val="007F17FC"/>
    <w:rsid w:val="007F1D8D"/>
    <w:rsid w:val="007F1DC0"/>
    <w:rsid w:val="007F3EF0"/>
    <w:rsid w:val="00801084"/>
    <w:rsid w:val="0080135F"/>
    <w:rsid w:val="00803A14"/>
    <w:rsid w:val="00803F71"/>
    <w:rsid w:val="008068F1"/>
    <w:rsid w:val="0080691F"/>
    <w:rsid w:val="00807C66"/>
    <w:rsid w:val="0081077A"/>
    <w:rsid w:val="00810791"/>
    <w:rsid w:val="00810F2D"/>
    <w:rsid w:val="00811248"/>
    <w:rsid w:val="00811A99"/>
    <w:rsid w:val="00812AA4"/>
    <w:rsid w:val="0081546E"/>
    <w:rsid w:val="00815E83"/>
    <w:rsid w:val="00817598"/>
    <w:rsid w:val="00820118"/>
    <w:rsid w:val="00820A43"/>
    <w:rsid w:val="008212BD"/>
    <w:rsid w:val="0082277A"/>
    <w:rsid w:val="00825245"/>
    <w:rsid w:val="00827008"/>
    <w:rsid w:val="00827C93"/>
    <w:rsid w:val="008301CA"/>
    <w:rsid w:val="008302B9"/>
    <w:rsid w:val="008305FB"/>
    <w:rsid w:val="008318C5"/>
    <w:rsid w:val="00831F46"/>
    <w:rsid w:val="008331A9"/>
    <w:rsid w:val="00835B38"/>
    <w:rsid w:val="00836491"/>
    <w:rsid w:val="00837572"/>
    <w:rsid w:val="008407C6"/>
    <w:rsid w:val="00841003"/>
    <w:rsid w:val="00842B3A"/>
    <w:rsid w:val="008453B3"/>
    <w:rsid w:val="00846880"/>
    <w:rsid w:val="00856187"/>
    <w:rsid w:val="00857974"/>
    <w:rsid w:val="0086049B"/>
    <w:rsid w:val="00861644"/>
    <w:rsid w:val="0086164A"/>
    <w:rsid w:val="00862990"/>
    <w:rsid w:val="00862E3F"/>
    <w:rsid w:val="008645AB"/>
    <w:rsid w:val="00866474"/>
    <w:rsid w:val="008668F0"/>
    <w:rsid w:val="00866911"/>
    <w:rsid w:val="00870AC9"/>
    <w:rsid w:val="00871F9D"/>
    <w:rsid w:val="00873D3A"/>
    <w:rsid w:val="00875416"/>
    <w:rsid w:val="008842CB"/>
    <w:rsid w:val="0088484D"/>
    <w:rsid w:val="0088733A"/>
    <w:rsid w:val="008879BC"/>
    <w:rsid w:val="00890B60"/>
    <w:rsid w:val="0089360C"/>
    <w:rsid w:val="00893A94"/>
    <w:rsid w:val="0089630D"/>
    <w:rsid w:val="008A25F0"/>
    <w:rsid w:val="008A2E9E"/>
    <w:rsid w:val="008A41BA"/>
    <w:rsid w:val="008A61B2"/>
    <w:rsid w:val="008A75FA"/>
    <w:rsid w:val="008A7BFD"/>
    <w:rsid w:val="008B1762"/>
    <w:rsid w:val="008B287C"/>
    <w:rsid w:val="008B36E5"/>
    <w:rsid w:val="008B7048"/>
    <w:rsid w:val="008C0010"/>
    <w:rsid w:val="008C3AA4"/>
    <w:rsid w:val="008C453A"/>
    <w:rsid w:val="008C4B41"/>
    <w:rsid w:val="008C60E6"/>
    <w:rsid w:val="008D0072"/>
    <w:rsid w:val="008D17A8"/>
    <w:rsid w:val="008D2419"/>
    <w:rsid w:val="008D347B"/>
    <w:rsid w:val="008D3716"/>
    <w:rsid w:val="008D5692"/>
    <w:rsid w:val="008D5774"/>
    <w:rsid w:val="008D60EC"/>
    <w:rsid w:val="008E1B66"/>
    <w:rsid w:val="008E28DA"/>
    <w:rsid w:val="008E6AAD"/>
    <w:rsid w:val="008E72B4"/>
    <w:rsid w:val="008E7F2E"/>
    <w:rsid w:val="008F4672"/>
    <w:rsid w:val="008F5359"/>
    <w:rsid w:val="008F602E"/>
    <w:rsid w:val="008F71FB"/>
    <w:rsid w:val="00903406"/>
    <w:rsid w:val="009056F2"/>
    <w:rsid w:val="00905B05"/>
    <w:rsid w:val="00906612"/>
    <w:rsid w:val="0091051C"/>
    <w:rsid w:val="00914425"/>
    <w:rsid w:val="0091573C"/>
    <w:rsid w:val="009158A3"/>
    <w:rsid w:val="00922631"/>
    <w:rsid w:val="00922BC5"/>
    <w:rsid w:val="00923DE4"/>
    <w:rsid w:val="009241F3"/>
    <w:rsid w:val="009243D1"/>
    <w:rsid w:val="009254C8"/>
    <w:rsid w:val="00925588"/>
    <w:rsid w:val="00926985"/>
    <w:rsid w:val="009277AB"/>
    <w:rsid w:val="00927F73"/>
    <w:rsid w:val="009306BE"/>
    <w:rsid w:val="00930D43"/>
    <w:rsid w:val="00934740"/>
    <w:rsid w:val="00936106"/>
    <w:rsid w:val="00937AD8"/>
    <w:rsid w:val="00942F87"/>
    <w:rsid w:val="009432BE"/>
    <w:rsid w:val="0094584B"/>
    <w:rsid w:val="009478AD"/>
    <w:rsid w:val="00950169"/>
    <w:rsid w:val="009506A4"/>
    <w:rsid w:val="00950CA4"/>
    <w:rsid w:val="00951115"/>
    <w:rsid w:val="009519CD"/>
    <w:rsid w:val="009543C6"/>
    <w:rsid w:val="009551B0"/>
    <w:rsid w:val="009569B5"/>
    <w:rsid w:val="00957415"/>
    <w:rsid w:val="00957694"/>
    <w:rsid w:val="0095787A"/>
    <w:rsid w:val="009614DE"/>
    <w:rsid w:val="00961919"/>
    <w:rsid w:val="0096237A"/>
    <w:rsid w:val="009640F4"/>
    <w:rsid w:val="009664F0"/>
    <w:rsid w:val="00971423"/>
    <w:rsid w:val="009727BB"/>
    <w:rsid w:val="00980781"/>
    <w:rsid w:val="00981811"/>
    <w:rsid w:val="009820DA"/>
    <w:rsid w:val="009829FA"/>
    <w:rsid w:val="00985DB2"/>
    <w:rsid w:val="009879CE"/>
    <w:rsid w:val="00990DA2"/>
    <w:rsid w:val="00992A1E"/>
    <w:rsid w:val="00993E30"/>
    <w:rsid w:val="00993F10"/>
    <w:rsid w:val="009941D6"/>
    <w:rsid w:val="00994A55"/>
    <w:rsid w:val="00995999"/>
    <w:rsid w:val="00996637"/>
    <w:rsid w:val="009A00D1"/>
    <w:rsid w:val="009A28DF"/>
    <w:rsid w:val="009A2C5A"/>
    <w:rsid w:val="009A3E51"/>
    <w:rsid w:val="009A46E2"/>
    <w:rsid w:val="009A59B1"/>
    <w:rsid w:val="009B02F9"/>
    <w:rsid w:val="009B0BF9"/>
    <w:rsid w:val="009B0DB9"/>
    <w:rsid w:val="009B1FDF"/>
    <w:rsid w:val="009B2ABE"/>
    <w:rsid w:val="009B3AEB"/>
    <w:rsid w:val="009B3B7A"/>
    <w:rsid w:val="009B63E1"/>
    <w:rsid w:val="009B65DC"/>
    <w:rsid w:val="009C244C"/>
    <w:rsid w:val="009C6061"/>
    <w:rsid w:val="009C6443"/>
    <w:rsid w:val="009D087D"/>
    <w:rsid w:val="009D1B54"/>
    <w:rsid w:val="009D2C32"/>
    <w:rsid w:val="009D5B7E"/>
    <w:rsid w:val="009D61EF"/>
    <w:rsid w:val="009E320F"/>
    <w:rsid w:val="009E3382"/>
    <w:rsid w:val="009E6A26"/>
    <w:rsid w:val="009F12BC"/>
    <w:rsid w:val="009F15FD"/>
    <w:rsid w:val="009F18B2"/>
    <w:rsid w:val="009F224B"/>
    <w:rsid w:val="009F283A"/>
    <w:rsid w:val="009F40CD"/>
    <w:rsid w:val="009F4501"/>
    <w:rsid w:val="009F7132"/>
    <w:rsid w:val="009F767B"/>
    <w:rsid w:val="009F76AF"/>
    <w:rsid w:val="00A00EE6"/>
    <w:rsid w:val="00A01683"/>
    <w:rsid w:val="00A0214E"/>
    <w:rsid w:val="00A03E16"/>
    <w:rsid w:val="00A05211"/>
    <w:rsid w:val="00A059CA"/>
    <w:rsid w:val="00A1128A"/>
    <w:rsid w:val="00A11CA4"/>
    <w:rsid w:val="00A121C1"/>
    <w:rsid w:val="00A12D71"/>
    <w:rsid w:val="00A131F3"/>
    <w:rsid w:val="00A13A43"/>
    <w:rsid w:val="00A14692"/>
    <w:rsid w:val="00A14D7F"/>
    <w:rsid w:val="00A167D7"/>
    <w:rsid w:val="00A16D18"/>
    <w:rsid w:val="00A16E74"/>
    <w:rsid w:val="00A17C54"/>
    <w:rsid w:val="00A204A6"/>
    <w:rsid w:val="00A20D54"/>
    <w:rsid w:val="00A20EFD"/>
    <w:rsid w:val="00A2123D"/>
    <w:rsid w:val="00A21461"/>
    <w:rsid w:val="00A21697"/>
    <w:rsid w:val="00A2197F"/>
    <w:rsid w:val="00A26555"/>
    <w:rsid w:val="00A26A0D"/>
    <w:rsid w:val="00A275C9"/>
    <w:rsid w:val="00A30061"/>
    <w:rsid w:val="00A3180C"/>
    <w:rsid w:val="00A32163"/>
    <w:rsid w:val="00A335C7"/>
    <w:rsid w:val="00A33FF2"/>
    <w:rsid w:val="00A34E16"/>
    <w:rsid w:val="00A3567B"/>
    <w:rsid w:val="00A36A67"/>
    <w:rsid w:val="00A4022F"/>
    <w:rsid w:val="00A406D5"/>
    <w:rsid w:val="00A407BE"/>
    <w:rsid w:val="00A409BA"/>
    <w:rsid w:val="00A41FBF"/>
    <w:rsid w:val="00A422AB"/>
    <w:rsid w:val="00A4270A"/>
    <w:rsid w:val="00A46281"/>
    <w:rsid w:val="00A46B90"/>
    <w:rsid w:val="00A55476"/>
    <w:rsid w:val="00A55F39"/>
    <w:rsid w:val="00A57530"/>
    <w:rsid w:val="00A60156"/>
    <w:rsid w:val="00A6130C"/>
    <w:rsid w:val="00A619CB"/>
    <w:rsid w:val="00A61A02"/>
    <w:rsid w:val="00A631A0"/>
    <w:rsid w:val="00A638BF"/>
    <w:rsid w:val="00A65B61"/>
    <w:rsid w:val="00A661E6"/>
    <w:rsid w:val="00A73BE8"/>
    <w:rsid w:val="00A75214"/>
    <w:rsid w:val="00A75933"/>
    <w:rsid w:val="00A77226"/>
    <w:rsid w:val="00A77B88"/>
    <w:rsid w:val="00A83A8E"/>
    <w:rsid w:val="00A83B18"/>
    <w:rsid w:val="00A83C41"/>
    <w:rsid w:val="00A84322"/>
    <w:rsid w:val="00A85F1A"/>
    <w:rsid w:val="00A860C9"/>
    <w:rsid w:val="00A86619"/>
    <w:rsid w:val="00A87610"/>
    <w:rsid w:val="00A92AA2"/>
    <w:rsid w:val="00A95CBD"/>
    <w:rsid w:val="00A96EE8"/>
    <w:rsid w:val="00A97E12"/>
    <w:rsid w:val="00AA3927"/>
    <w:rsid w:val="00AA3A93"/>
    <w:rsid w:val="00AA3FF5"/>
    <w:rsid w:val="00AA489A"/>
    <w:rsid w:val="00AA5264"/>
    <w:rsid w:val="00AA5973"/>
    <w:rsid w:val="00AA6653"/>
    <w:rsid w:val="00AA7816"/>
    <w:rsid w:val="00AA7A96"/>
    <w:rsid w:val="00AB0380"/>
    <w:rsid w:val="00AB3526"/>
    <w:rsid w:val="00AB5725"/>
    <w:rsid w:val="00AB5ED0"/>
    <w:rsid w:val="00AC1208"/>
    <w:rsid w:val="00AC1ACE"/>
    <w:rsid w:val="00AC289D"/>
    <w:rsid w:val="00AC5D21"/>
    <w:rsid w:val="00AC5E6F"/>
    <w:rsid w:val="00AC6090"/>
    <w:rsid w:val="00AC716E"/>
    <w:rsid w:val="00AD0D8D"/>
    <w:rsid w:val="00AD170F"/>
    <w:rsid w:val="00AD1EE2"/>
    <w:rsid w:val="00AD3AB1"/>
    <w:rsid w:val="00AD41B4"/>
    <w:rsid w:val="00AE1B0D"/>
    <w:rsid w:val="00AE23AC"/>
    <w:rsid w:val="00AE27DB"/>
    <w:rsid w:val="00AE27E1"/>
    <w:rsid w:val="00AE3CAB"/>
    <w:rsid w:val="00AE3CE0"/>
    <w:rsid w:val="00AE475E"/>
    <w:rsid w:val="00AE4992"/>
    <w:rsid w:val="00AE6189"/>
    <w:rsid w:val="00AE7317"/>
    <w:rsid w:val="00AE733F"/>
    <w:rsid w:val="00AE765A"/>
    <w:rsid w:val="00AF1F7D"/>
    <w:rsid w:val="00AF3BC8"/>
    <w:rsid w:val="00AF584B"/>
    <w:rsid w:val="00AF6158"/>
    <w:rsid w:val="00AF688E"/>
    <w:rsid w:val="00B00270"/>
    <w:rsid w:val="00B00579"/>
    <w:rsid w:val="00B0216C"/>
    <w:rsid w:val="00B02AF1"/>
    <w:rsid w:val="00B0772E"/>
    <w:rsid w:val="00B1040E"/>
    <w:rsid w:val="00B10976"/>
    <w:rsid w:val="00B127BD"/>
    <w:rsid w:val="00B13D46"/>
    <w:rsid w:val="00B1573B"/>
    <w:rsid w:val="00B202FE"/>
    <w:rsid w:val="00B20373"/>
    <w:rsid w:val="00B2362C"/>
    <w:rsid w:val="00B24636"/>
    <w:rsid w:val="00B306E7"/>
    <w:rsid w:val="00B3115C"/>
    <w:rsid w:val="00B314B0"/>
    <w:rsid w:val="00B34F39"/>
    <w:rsid w:val="00B3593E"/>
    <w:rsid w:val="00B35C74"/>
    <w:rsid w:val="00B36A6E"/>
    <w:rsid w:val="00B44239"/>
    <w:rsid w:val="00B4580D"/>
    <w:rsid w:val="00B51B99"/>
    <w:rsid w:val="00B53716"/>
    <w:rsid w:val="00B54205"/>
    <w:rsid w:val="00B558CA"/>
    <w:rsid w:val="00B56CC6"/>
    <w:rsid w:val="00B61D17"/>
    <w:rsid w:val="00B64B1A"/>
    <w:rsid w:val="00B6559F"/>
    <w:rsid w:val="00B65E54"/>
    <w:rsid w:val="00B66096"/>
    <w:rsid w:val="00B7237D"/>
    <w:rsid w:val="00B73B3C"/>
    <w:rsid w:val="00B76496"/>
    <w:rsid w:val="00B76A73"/>
    <w:rsid w:val="00B832D4"/>
    <w:rsid w:val="00B83CCE"/>
    <w:rsid w:val="00B863CC"/>
    <w:rsid w:val="00B9061D"/>
    <w:rsid w:val="00B9151B"/>
    <w:rsid w:val="00B92318"/>
    <w:rsid w:val="00B925CE"/>
    <w:rsid w:val="00B95398"/>
    <w:rsid w:val="00B953F6"/>
    <w:rsid w:val="00B95783"/>
    <w:rsid w:val="00BA66CD"/>
    <w:rsid w:val="00BA7DB0"/>
    <w:rsid w:val="00BB0B26"/>
    <w:rsid w:val="00BB2D7A"/>
    <w:rsid w:val="00BB3595"/>
    <w:rsid w:val="00BB446C"/>
    <w:rsid w:val="00BB4605"/>
    <w:rsid w:val="00BB5BDE"/>
    <w:rsid w:val="00BB7FD3"/>
    <w:rsid w:val="00BC05FA"/>
    <w:rsid w:val="00BC14FD"/>
    <w:rsid w:val="00BC3086"/>
    <w:rsid w:val="00BC37BD"/>
    <w:rsid w:val="00BC5095"/>
    <w:rsid w:val="00BC5344"/>
    <w:rsid w:val="00BC60F0"/>
    <w:rsid w:val="00BC7584"/>
    <w:rsid w:val="00BD4290"/>
    <w:rsid w:val="00BD44F4"/>
    <w:rsid w:val="00BD65B3"/>
    <w:rsid w:val="00BD7B7D"/>
    <w:rsid w:val="00BE2C45"/>
    <w:rsid w:val="00BE4833"/>
    <w:rsid w:val="00BE5121"/>
    <w:rsid w:val="00BE5B22"/>
    <w:rsid w:val="00BE5BE8"/>
    <w:rsid w:val="00BE68E4"/>
    <w:rsid w:val="00BE710B"/>
    <w:rsid w:val="00BE7295"/>
    <w:rsid w:val="00BE7E4E"/>
    <w:rsid w:val="00BF53FF"/>
    <w:rsid w:val="00BF5F94"/>
    <w:rsid w:val="00BF682B"/>
    <w:rsid w:val="00BF7E5C"/>
    <w:rsid w:val="00C00CED"/>
    <w:rsid w:val="00C01810"/>
    <w:rsid w:val="00C034B5"/>
    <w:rsid w:val="00C06943"/>
    <w:rsid w:val="00C07F73"/>
    <w:rsid w:val="00C10348"/>
    <w:rsid w:val="00C11142"/>
    <w:rsid w:val="00C14626"/>
    <w:rsid w:val="00C17188"/>
    <w:rsid w:val="00C17AC9"/>
    <w:rsid w:val="00C21283"/>
    <w:rsid w:val="00C22CC4"/>
    <w:rsid w:val="00C23D9E"/>
    <w:rsid w:val="00C306CD"/>
    <w:rsid w:val="00C30BE2"/>
    <w:rsid w:val="00C31B0A"/>
    <w:rsid w:val="00C32F86"/>
    <w:rsid w:val="00C35AD7"/>
    <w:rsid w:val="00C36C69"/>
    <w:rsid w:val="00C3723A"/>
    <w:rsid w:val="00C4008A"/>
    <w:rsid w:val="00C41133"/>
    <w:rsid w:val="00C42F1B"/>
    <w:rsid w:val="00C436B5"/>
    <w:rsid w:val="00C4422D"/>
    <w:rsid w:val="00C450AD"/>
    <w:rsid w:val="00C4677D"/>
    <w:rsid w:val="00C46B3B"/>
    <w:rsid w:val="00C47177"/>
    <w:rsid w:val="00C47EDB"/>
    <w:rsid w:val="00C50F4F"/>
    <w:rsid w:val="00C51BE1"/>
    <w:rsid w:val="00C5505D"/>
    <w:rsid w:val="00C567AE"/>
    <w:rsid w:val="00C631B5"/>
    <w:rsid w:val="00C64682"/>
    <w:rsid w:val="00C6516C"/>
    <w:rsid w:val="00C66BCF"/>
    <w:rsid w:val="00C72759"/>
    <w:rsid w:val="00C72937"/>
    <w:rsid w:val="00C741D2"/>
    <w:rsid w:val="00C75873"/>
    <w:rsid w:val="00C765D7"/>
    <w:rsid w:val="00C77583"/>
    <w:rsid w:val="00C77B66"/>
    <w:rsid w:val="00C85796"/>
    <w:rsid w:val="00C86732"/>
    <w:rsid w:val="00C86C73"/>
    <w:rsid w:val="00C872EA"/>
    <w:rsid w:val="00C87D62"/>
    <w:rsid w:val="00C95DD0"/>
    <w:rsid w:val="00C960D1"/>
    <w:rsid w:val="00C96693"/>
    <w:rsid w:val="00C976D8"/>
    <w:rsid w:val="00C97EB4"/>
    <w:rsid w:val="00CA05F0"/>
    <w:rsid w:val="00CA07BC"/>
    <w:rsid w:val="00CA09FC"/>
    <w:rsid w:val="00CA0C2D"/>
    <w:rsid w:val="00CA3B1D"/>
    <w:rsid w:val="00CB12A5"/>
    <w:rsid w:val="00CB3FDF"/>
    <w:rsid w:val="00CB4822"/>
    <w:rsid w:val="00CB6098"/>
    <w:rsid w:val="00CC34BE"/>
    <w:rsid w:val="00CC3BA8"/>
    <w:rsid w:val="00CC3DD7"/>
    <w:rsid w:val="00CC427A"/>
    <w:rsid w:val="00CC5983"/>
    <w:rsid w:val="00CC651A"/>
    <w:rsid w:val="00CC7BB7"/>
    <w:rsid w:val="00CD0332"/>
    <w:rsid w:val="00CD0E58"/>
    <w:rsid w:val="00CD414F"/>
    <w:rsid w:val="00CD4B32"/>
    <w:rsid w:val="00CD5E09"/>
    <w:rsid w:val="00CD648D"/>
    <w:rsid w:val="00CD785D"/>
    <w:rsid w:val="00CE1769"/>
    <w:rsid w:val="00CE2DE3"/>
    <w:rsid w:val="00CE3D9D"/>
    <w:rsid w:val="00CE42E3"/>
    <w:rsid w:val="00CE55BE"/>
    <w:rsid w:val="00CE6532"/>
    <w:rsid w:val="00CE7E31"/>
    <w:rsid w:val="00CF18EF"/>
    <w:rsid w:val="00CF2ADD"/>
    <w:rsid w:val="00CF41C1"/>
    <w:rsid w:val="00CF48C2"/>
    <w:rsid w:val="00CF4947"/>
    <w:rsid w:val="00CF4D80"/>
    <w:rsid w:val="00CF5E36"/>
    <w:rsid w:val="00CF63EC"/>
    <w:rsid w:val="00CF7B55"/>
    <w:rsid w:val="00D03B40"/>
    <w:rsid w:val="00D05217"/>
    <w:rsid w:val="00D06104"/>
    <w:rsid w:val="00D100E8"/>
    <w:rsid w:val="00D1081F"/>
    <w:rsid w:val="00D11599"/>
    <w:rsid w:val="00D11EBE"/>
    <w:rsid w:val="00D13281"/>
    <w:rsid w:val="00D16195"/>
    <w:rsid w:val="00D21454"/>
    <w:rsid w:val="00D237C3"/>
    <w:rsid w:val="00D2417E"/>
    <w:rsid w:val="00D2505A"/>
    <w:rsid w:val="00D31E64"/>
    <w:rsid w:val="00D31F70"/>
    <w:rsid w:val="00D3376B"/>
    <w:rsid w:val="00D34C37"/>
    <w:rsid w:val="00D360F0"/>
    <w:rsid w:val="00D36DEA"/>
    <w:rsid w:val="00D40CAB"/>
    <w:rsid w:val="00D4447E"/>
    <w:rsid w:val="00D444E2"/>
    <w:rsid w:val="00D445B9"/>
    <w:rsid w:val="00D44B35"/>
    <w:rsid w:val="00D450C3"/>
    <w:rsid w:val="00D45A80"/>
    <w:rsid w:val="00D47D85"/>
    <w:rsid w:val="00D5144A"/>
    <w:rsid w:val="00D5575B"/>
    <w:rsid w:val="00D57D0D"/>
    <w:rsid w:val="00D62192"/>
    <w:rsid w:val="00D63DBD"/>
    <w:rsid w:val="00D63F6A"/>
    <w:rsid w:val="00D649F7"/>
    <w:rsid w:val="00D64D9B"/>
    <w:rsid w:val="00D6660D"/>
    <w:rsid w:val="00D71B2C"/>
    <w:rsid w:val="00D74368"/>
    <w:rsid w:val="00D764E0"/>
    <w:rsid w:val="00D76691"/>
    <w:rsid w:val="00D779A2"/>
    <w:rsid w:val="00D80040"/>
    <w:rsid w:val="00D822DA"/>
    <w:rsid w:val="00D83B35"/>
    <w:rsid w:val="00D85B05"/>
    <w:rsid w:val="00D8663C"/>
    <w:rsid w:val="00D87574"/>
    <w:rsid w:val="00D90713"/>
    <w:rsid w:val="00D90D60"/>
    <w:rsid w:val="00D91F07"/>
    <w:rsid w:val="00D9447B"/>
    <w:rsid w:val="00D969DA"/>
    <w:rsid w:val="00D97A60"/>
    <w:rsid w:val="00DA441D"/>
    <w:rsid w:val="00DA7006"/>
    <w:rsid w:val="00DA7333"/>
    <w:rsid w:val="00DB0B81"/>
    <w:rsid w:val="00DB1047"/>
    <w:rsid w:val="00DB22CB"/>
    <w:rsid w:val="00DB2A2D"/>
    <w:rsid w:val="00DB349C"/>
    <w:rsid w:val="00DB3D5E"/>
    <w:rsid w:val="00DB456F"/>
    <w:rsid w:val="00DB4F70"/>
    <w:rsid w:val="00DB52B7"/>
    <w:rsid w:val="00DB5426"/>
    <w:rsid w:val="00DB56EA"/>
    <w:rsid w:val="00DC1B1E"/>
    <w:rsid w:val="00DC1C04"/>
    <w:rsid w:val="00DC21DB"/>
    <w:rsid w:val="00DC2514"/>
    <w:rsid w:val="00DC4498"/>
    <w:rsid w:val="00DC5B59"/>
    <w:rsid w:val="00DC648C"/>
    <w:rsid w:val="00DC73C4"/>
    <w:rsid w:val="00DC7ACC"/>
    <w:rsid w:val="00DC7E4E"/>
    <w:rsid w:val="00DC7F5B"/>
    <w:rsid w:val="00DD2318"/>
    <w:rsid w:val="00DD2C5E"/>
    <w:rsid w:val="00DD3A78"/>
    <w:rsid w:val="00DD4BAC"/>
    <w:rsid w:val="00DD5161"/>
    <w:rsid w:val="00DD635B"/>
    <w:rsid w:val="00DD7E7F"/>
    <w:rsid w:val="00DE011F"/>
    <w:rsid w:val="00DE0907"/>
    <w:rsid w:val="00DE097F"/>
    <w:rsid w:val="00DE0D93"/>
    <w:rsid w:val="00DE1CC2"/>
    <w:rsid w:val="00DE31BB"/>
    <w:rsid w:val="00DE4291"/>
    <w:rsid w:val="00DE5263"/>
    <w:rsid w:val="00DE6C8F"/>
    <w:rsid w:val="00DF021A"/>
    <w:rsid w:val="00DF0695"/>
    <w:rsid w:val="00DF21D0"/>
    <w:rsid w:val="00DF29D2"/>
    <w:rsid w:val="00DF2E06"/>
    <w:rsid w:val="00DF4424"/>
    <w:rsid w:val="00DF4486"/>
    <w:rsid w:val="00DF4AE4"/>
    <w:rsid w:val="00DF4BEE"/>
    <w:rsid w:val="00DF4C55"/>
    <w:rsid w:val="00E000ED"/>
    <w:rsid w:val="00E00EF6"/>
    <w:rsid w:val="00E054F6"/>
    <w:rsid w:val="00E0749B"/>
    <w:rsid w:val="00E12528"/>
    <w:rsid w:val="00E13333"/>
    <w:rsid w:val="00E14CD5"/>
    <w:rsid w:val="00E16E56"/>
    <w:rsid w:val="00E218C0"/>
    <w:rsid w:val="00E22162"/>
    <w:rsid w:val="00E22311"/>
    <w:rsid w:val="00E23A49"/>
    <w:rsid w:val="00E2507A"/>
    <w:rsid w:val="00E25A44"/>
    <w:rsid w:val="00E265C5"/>
    <w:rsid w:val="00E26D16"/>
    <w:rsid w:val="00E26D2B"/>
    <w:rsid w:val="00E272FC"/>
    <w:rsid w:val="00E27545"/>
    <w:rsid w:val="00E27625"/>
    <w:rsid w:val="00E27F35"/>
    <w:rsid w:val="00E307A6"/>
    <w:rsid w:val="00E33BF8"/>
    <w:rsid w:val="00E35193"/>
    <w:rsid w:val="00E36919"/>
    <w:rsid w:val="00E36FF6"/>
    <w:rsid w:val="00E41A19"/>
    <w:rsid w:val="00E47407"/>
    <w:rsid w:val="00E5060D"/>
    <w:rsid w:val="00E51698"/>
    <w:rsid w:val="00E53E0F"/>
    <w:rsid w:val="00E576C1"/>
    <w:rsid w:val="00E62D74"/>
    <w:rsid w:val="00E656DC"/>
    <w:rsid w:val="00E6719A"/>
    <w:rsid w:val="00E6758A"/>
    <w:rsid w:val="00E67EFF"/>
    <w:rsid w:val="00E722E0"/>
    <w:rsid w:val="00E7294E"/>
    <w:rsid w:val="00E73C3B"/>
    <w:rsid w:val="00E74AB2"/>
    <w:rsid w:val="00E75B38"/>
    <w:rsid w:val="00E75C2E"/>
    <w:rsid w:val="00E765A3"/>
    <w:rsid w:val="00E76BF1"/>
    <w:rsid w:val="00E77CE0"/>
    <w:rsid w:val="00E80D00"/>
    <w:rsid w:val="00E824B0"/>
    <w:rsid w:val="00E8607C"/>
    <w:rsid w:val="00E862BC"/>
    <w:rsid w:val="00E87B52"/>
    <w:rsid w:val="00E9081E"/>
    <w:rsid w:val="00E90DA7"/>
    <w:rsid w:val="00E91EE1"/>
    <w:rsid w:val="00E924D0"/>
    <w:rsid w:val="00E93E3E"/>
    <w:rsid w:val="00E956CE"/>
    <w:rsid w:val="00E96D69"/>
    <w:rsid w:val="00EA0D72"/>
    <w:rsid w:val="00EA4712"/>
    <w:rsid w:val="00EA567A"/>
    <w:rsid w:val="00EA5C2E"/>
    <w:rsid w:val="00EA695B"/>
    <w:rsid w:val="00EA6E60"/>
    <w:rsid w:val="00EB3CDF"/>
    <w:rsid w:val="00EB49BF"/>
    <w:rsid w:val="00EB4D00"/>
    <w:rsid w:val="00EB69FC"/>
    <w:rsid w:val="00EC27E2"/>
    <w:rsid w:val="00EC2CEF"/>
    <w:rsid w:val="00EC6787"/>
    <w:rsid w:val="00EC6C61"/>
    <w:rsid w:val="00EC777D"/>
    <w:rsid w:val="00EC7B6F"/>
    <w:rsid w:val="00ED05E7"/>
    <w:rsid w:val="00ED080A"/>
    <w:rsid w:val="00ED2B92"/>
    <w:rsid w:val="00ED3C09"/>
    <w:rsid w:val="00ED440A"/>
    <w:rsid w:val="00ED541B"/>
    <w:rsid w:val="00ED58FA"/>
    <w:rsid w:val="00ED747A"/>
    <w:rsid w:val="00EE0414"/>
    <w:rsid w:val="00EE091A"/>
    <w:rsid w:val="00EE29EE"/>
    <w:rsid w:val="00EE2FB9"/>
    <w:rsid w:val="00EE3FA6"/>
    <w:rsid w:val="00EE4996"/>
    <w:rsid w:val="00EE77FB"/>
    <w:rsid w:val="00EF449B"/>
    <w:rsid w:val="00EF565F"/>
    <w:rsid w:val="00EF64C6"/>
    <w:rsid w:val="00F010F5"/>
    <w:rsid w:val="00F017F6"/>
    <w:rsid w:val="00F02B74"/>
    <w:rsid w:val="00F033D4"/>
    <w:rsid w:val="00F0622B"/>
    <w:rsid w:val="00F0651C"/>
    <w:rsid w:val="00F06531"/>
    <w:rsid w:val="00F06B62"/>
    <w:rsid w:val="00F0702D"/>
    <w:rsid w:val="00F111C6"/>
    <w:rsid w:val="00F1128F"/>
    <w:rsid w:val="00F11367"/>
    <w:rsid w:val="00F11C5D"/>
    <w:rsid w:val="00F121F6"/>
    <w:rsid w:val="00F12F8D"/>
    <w:rsid w:val="00F14CE9"/>
    <w:rsid w:val="00F16974"/>
    <w:rsid w:val="00F16C79"/>
    <w:rsid w:val="00F170CE"/>
    <w:rsid w:val="00F17450"/>
    <w:rsid w:val="00F215C5"/>
    <w:rsid w:val="00F23EF2"/>
    <w:rsid w:val="00F320C0"/>
    <w:rsid w:val="00F33A95"/>
    <w:rsid w:val="00F35257"/>
    <w:rsid w:val="00F35511"/>
    <w:rsid w:val="00F36320"/>
    <w:rsid w:val="00F36FA3"/>
    <w:rsid w:val="00F3716F"/>
    <w:rsid w:val="00F37975"/>
    <w:rsid w:val="00F40152"/>
    <w:rsid w:val="00F406E1"/>
    <w:rsid w:val="00F41156"/>
    <w:rsid w:val="00F41EEB"/>
    <w:rsid w:val="00F44122"/>
    <w:rsid w:val="00F4675F"/>
    <w:rsid w:val="00F46BCA"/>
    <w:rsid w:val="00F471FB"/>
    <w:rsid w:val="00F47301"/>
    <w:rsid w:val="00F50B83"/>
    <w:rsid w:val="00F51846"/>
    <w:rsid w:val="00F52AF2"/>
    <w:rsid w:val="00F52D31"/>
    <w:rsid w:val="00F549C4"/>
    <w:rsid w:val="00F54A23"/>
    <w:rsid w:val="00F55CCF"/>
    <w:rsid w:val="00F55CF9"/>
    <w:rsid w:val="00F566A9"/>
    <w:rsid w:val="00F6054A"/>
    <w:rsid w:val="00F606DA"/>
    <w:rsid w:val="00F60B6A"/>
    <w:rsid w:val="00F60FCB"/>
    <w:rsid w:val="00F61188"/>
    <w:rsid w:val="00F62909"/>
    <w:rsid w:val="00F63DD2"/>
    <w:rsid w:val="00F64B7B"/>
    <w:rsid w:val="00F652A3"/>
    <w:rsid w:val="00F652D4"/>
    <w:rsid w:val="00F70E7B"/>
    <w:rsid w:val="00F712C0"/>
    <w:rsid w:val="00F7143B"/>
    <w:rsid w:val="00F720DE"/>
    <w:rsid w:val="00F74630"/>
    <w:rsid w:val="00F746A9"/>
    <w:rsid w:val="00F76564"/>
    <w:rsid w:val="00F76E82"/>
    <w:rsid w:val="00F80B37"/>
    <w:rsid w:val="00F85048"/>
    <w:rsid w:val="00F8554A"/>
    <w:rsid w:val="00F858EC"/>
    <w:rsid w:val="00F86DF8"/>
    <w:rsid w:val="00F87F88"/>
    <w:rsid w:val="00F90403"/>
    <w:rsid w:val="00F92245"/>
    <w:rsid w:val="00F933D9"/>
    <w:rsid w:val="00F9388B"/>
    <w:rsid w:val="00F9453F"/>
    <w:rsid w:val="00F9465C"/>
    <w:rsid w:val="00F949AE"/>
    <w:rsid w:val="00FA0D07"/>
    <w:rsid w:val="00FA2F61"/>
    <w:rsid w:val="00FA5BD0"/>
    <w:rsid w:val="00FA6B0E"/>
    <w:rsid w:val="00FA720F"/>
    <w:rsid w:val="00FB19C3"/>
    <w:rsid w:val="00FB1DD1"/>
    <w:rsid w:val="00FB1EC3"/>
    <w:rsid w:val="00FB43D5"/>
    <w:rsid w:val="00FB4DB8"/>
    <w:rsid w:val="00FB52A7"/>
    <w:rsid w:val="00FB5F98"/>
    <w:rsid w:val="00FB63C4"/>
    <w:rsid w:val="00FB67C9"/>
    <w:rsid w:val="00FC1643"/>
    <w:rsid w:val="00FC31F0"/>
    <w:rsid w:val="00FC416A"/>
    <w:rsid w:val="00FC5D6B"/>
    <w:rsid w:val="00FC66BC"/>
    <w:rsid w:val="00FD0ACC"/>
    <w:rsid w:val="00FD217E"/>
    <w:rsid w:val="00FD43FF"/>
    <w:rsid w:val="00FD4D91"/>
    <w:rsid w:val="00FE1BE8"/>
    <w:rsid w:val="00FE1CF6"/>
    <w:rsid w:val="00FE264A"/>
    <w:rsid w:val="00FE2AF7"/>
    <w:rsid w:val="00FE3F25"/>
    <w:rsid w:val="00FE6502"/>
    <w:rsid w:val="00FE6E28"/>
    <w:rsid w:val="00FF192D"/>
    <w:rsid w:val="00FF2697"/>
    <w:rsid w:val="00FF3776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1899636"/>
  <w15:docId w15:val="{1C096E11-7D31-4B90-B60E-258548A3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cs="Arial"/>
      <w:b/>
      <w:bCs/>
      <w:sz w:val="36"/>
      <w:szCs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cs="Arial"/>
      <w:b/>
      <w:bCs/>
      <w:i/>
      <w:iCs/>
      <w:sz w:val="28"/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cs="Arial"/>
      <w:b/>
      <w:bCs/>
      <w:sz w:val="36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spacing w:line="360" w:lineRule="auto"/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2">
    <w:name w:val="Body Text Indent 2"/>
    <w:basedOn w:val="Normln"/>
    <w:pPr>
      <w:spacing w:line="480" w:lineRule="auto"/>
      <w:ind w:firstLine="708"/>
      <w:jc w:val="both"/>
    </w:pPr>
    <w:rPr>
      <w:color w:val="FF0000"/>
    </w:rPr>
  </w:style>
  <w:style w:type="paragraph" w:styleId="Zkladntext3">
    <w:name w:val="Body Text 3"/>
    <w:basedOn w:val="Normln"/>
    <w:pPr>
      <w:spacing w:line="360" w:lineRule="auto"/>
      <w:jc w:val="both"/>
    </w:pPr>
    <w:rPr>
      <w:rFonts w:cs="Arial"/>
      <w:color w:val="008000"/>
    </w:rPr>
  </w:style>
  <w:style w:type="paragraph" w:styleId="Zkladntextodsazen3">
    <w:name w:val="Body Text Indent 3"/>
    <w:basedOn w:val="Normln"/>
    <w:pPr>
      <w:ind w:left="709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5E664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558D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C453A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semiHidden/>
    <w:locked/>
    <w:rsid w:val="00D06104"/>
    <w:rPr>
      <w:rFonts w:ascii="Arial" w:hAnsi="Arial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765A0"/>
    <w:pPr>
      <w:ind w:left="708"/>
    </w:pPr>
  </w:style>
  <w:style w:type="character" w:customStyle="1" w:styleId="ZhlavChar">
    <w:name w:val="Záhlaví Char"/>
    <w:link w:val="Zhlav"/>
    <w:uiPriority w:val="99"/>
    <w:rsid w:val="00460545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26922"/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qFormat/>
    <w:rsid w:val="008C4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C4B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BA12">
    <w:name w:val="PB_A12"/>
    <w:basedOn w:val="Normln"/>
    <w:rsid w:val="001931AC"/>
    <w:pPr>
      <w:tabs>
        <w:tab w:val="left" w:pos="709"/>
      </w:tabs>
      <w:spacing w:before="120" w:line="312" w:lineRule="auto"/>
      <w:ind w:right="113" w:firstLine="709"/>
      <w:jc w:val="both"/>
    </w:pPr>
    <w:rPr>
      <w:szCs w:val="24"/>
    </w:rPr>
  </w:style>
  <w:style w:type="table" w:styleId="Mkatabulky">
    <w:name w:val="Table Grid"/>
    <w:basedOn w:val="Normlntabulka"/>
    <w:uiPriority w:val="39"/>
    <w:rsid w:val="00866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9C09-2802-4469-A985-5D577D8C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4815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MPSV CR</Company>
  <LinksUpToDate>false</LinksUpToDate>
  <CharactersWithSpaces>33161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MPSV</dc:creator>
  <cp:lastModifiedBy>Blahová Alice Bc. (MPSV)</cp:lastModifiedBy>
  <cp:revision>3</cp:revision>
  <cp:lastPrinted>2020-01-24T11:20:00Z</cp:lastPrinted>
  <dcterms:created xsi:type="dcterms:W3CDTF">2020-07-27T08:08:00Z</dcterms:created>
  <dcterms:modified xsi:type="dcterms:W3CDTF">2020-07-27T08:10:00Z</dcterms:modified>
</cp:coreProperties>
</file>