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33F0" w14:textId="77777777" w:rsidR="00BD35C3" w:rsidRPr="00334B09" w:rsidRDefault="00BD35C3" w:rsidP="00BD35C3">
      <w:pPr>
        <w:jc w:val="center"/>
        <w:rPr>
          <w:rFonts w:asciiTheme="minorHAnsi" w:hAnsiTheme="minorHAnsi"/>
          <w:b/>
          <w:sz w:val="44"/>
          <w:szCs w:val="36"/>
        </w:rPr>
      </w:pPr>
    </w:p>
    <w:p w14:paraId="14FC6B83" w14:textId="77777777" w:rsidR="00BD35C3" w:rsidRPr="00334B09" w:rsidRDefault="00BD35C3" w:rsidP="00BD35C3">
      <w:pPr>
        <w:jc w:val="center"/>
        <w:rPr>
          <w:rFonts w:asciiTheme="minorHAnsi" w:hAnsiTheme="minorHAnsi"/>
          <w:b/>
          <w:sz w:val="44"/>
          <w:szCs w:val="36"/>
        </w:rPr>
      </w:pPr>
    </w:p>
    <w:p w14:paraId="32B53497" w14:textId="77777777" w:rsidR="00BD35C3" w:rsidRPr="00334B09" w:rsidRDefault="00BD35C3" w:rsidP="00BD35C3">
      <w:pPr>
        <w:jc w:val="center"/>
        <w:rPr>
          <w:rFonts w:asciiTheme="minorHAnsi" w:hAnsiTheme="minorHAnsi"/>
          <w:b/>
          <w:sz w:val="44"/>
          <w:szCs w:val="36"/>
        </w:rPr>
      </w:pPr>
    </w:p>
    <w:p w14:paraId="6CAF60F1" w14:textId="77777777" w:rsidR="00BD35C3" w:rsidRPr="00334B09" w:rsidRDefault="00BD35C3" w:rsidP="00BD35C3">
      <w:pPr>
        <w:jc w:val="center"/>
        <w:rPr>
          <w:rFonts w:asciiTheme="minorHAnsi" w:hAnsiTheme="minorHAnsi"/>
          <w:b/>
          <w:sz w:val="44"/>
          <w:szCs w:val="36"/>
        </w:rPr>
      </w:pPr>
    </w:p>
    <w:p w14:paraId="1F26E075" w14:textId="77777777" w:rsidR="00BD35C3" w:rsidRPr="00334B09" w:rsidRDefault="00BD35C3" w:rsidP="00BD35C3">
      <w:pPr>
        <w:jc w:val="center"/>
        <w:rPr>
          <w:rFonts w:asciiTheme="minorHAnsi" w:hAnsiTheme="minorHAnsi"/>
          <w:b/>
          <w:sz w:val="44"/>
          <w:szCs w:val="36"/>
        </w:rPr>
      </w:pPr>
    </w:p>
    <w:p w14:paraId="317DB95A" w14:textId="0181FB48" w:rsidR="00BD35C3" w:rsidRDefault="00BD35C3" w:rsidP="00BD35C3">
      <w:pPr>
        <w:jc w:val="center"/>
        <w:rPr>
          <w:rFonts w:asciiTheme="minorHAnsi" w:hAnsiTheme="minorHAnsi"/>
          <w:b/>
          <w:sz w:val="44"/>
          <w:szCs w:val="36"/>
        </w:rPr>
      </w:pPr>
    </w:p>
    <w:p w14:paraId="729199E6" w14:textId="56CA005A" w:rsidR="00BD35C3" w:rsidRDefault="00BD35C3" w:rsidP="00BD35C3">
      <w:pPr>
        <w:jc w:val="center"/>
        <w:rPr>
          <w:rFonts w:asciiTheme="minorHAnsi" w:hAnsiTheme="minorHAnsi"/>
          <w:b/>
          <w:sz w:val="44"/>
          <w:szCs w:val="36"/>
        </w:rPr>
      </w:pPr>
    </w:p>
    <w:p w14:paraId="1E7C6EAA" w14:textId="77777777" w:rsidR="00BD35C3" w:rsidRPr="00334B09" w:rsidRDefault="00BD35C3" w:rsidP="00BD35C3">
      <w:pPr>
        <w:jc w:val="center"/>
        <w:rPr>
          <w:rFonts w:asciiTheme="minorHAnsi" w:hAnsiTheme="minorHAnsi"/>
          <w:b/>
          <w:sz w:val="44"/>
          <w:szCs w:val="36"/>
        </w:rPr>
      </w:pPr>
    </w:p>
    <w:p w14:paraId="3F3C8B29" w14:textId="77777777" w:rsidR="00BD35C3" w:rsidRPr="00334B09" w:rsidRDefault="00BD35C3" w:rsidP="00BD35C3">
      <w:pPr>
        <w:jc w:val="center"/>
        <w:rPr>
          <w:rFonts w:asciiTheme="minorHAnsi" w:hAnsiTheme="minorHAnsi"/>
          <w:b/>
          <w:sz w:val="44"/>
          <w:szCs w:val="36"/>
        </w:rPr>
      </w:pPr>
    </w:p>
    <w:p w14:paraId="10B37917" w14:textId="77777777" w:rsidR="00BD35C3" w:rsidRPr="00334B09" w:rsidRDefault="00BD35C3" w:rsidP="00BD35C3">
      <w:pPr>
        <w:jc w:val="center"/>
        <w:rPr>
          <w:rFonts w:asciiTheme="minorHAnsi" w:hAnsiTheme="minorHAnsi"/>
          <w:b/>
          <w:sz w:val="44"/>
          <w:szCs w:val="36"/>
        </w:rPr>
      </w:pPr>
    </w:p>
    <w:p w14:paraId="3CCC6C43" w14:textId="77777777" w:rsidR="00BD35C3" w:rsidRPr="00710980" w:rsidRDefault="00BD35C3" w:rsidP="00BD35C3">
      <w:pPr>
        <w:spacing w:line="360" w:lineRule="auto"/>
        <w:jc w:val="center"/>
        <w:rPr>
          <w:rFonts w:asciiTheme="minorHAnsi" w:hAnsiTheme="minorHAnsi"/>
          <w:b/>
          <w:smallCaps/>
          <w:color w:val="1F497D"/>
          <w:sz w:val="44"/>
          <w:szCs w:val="36"/>
        </w:rPr>
      </w:pPr>
    </w:p>
    <w:p w14:paraId="096223B4" w14:textId="77777777" w:rsidR="00BD35C3" w:rsidRPr="00710980" w:rsidRDefault="00BD35C3" w:rsidP="00BD35C3">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Analýza vývoje příjmů a výdajů domácností ČR</w:t>
      </w:r>
    </w:p>
    <w:p w14:paraId="1500704F" w14:textId="3FAAEBCD" w:rsidR="00BD35C3" w:rsidRPr="00710980" w:rsidRDefault="00BD35C3" w:rsidP="00BD35C3">
      <w:pPr>
        <w:spacing w:line="480" w:lineRule="auto"/>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v</w:t>
      </w:r>
      <w:r w:rsidR="004F6E68">
        <w:rPr>
          <w:rFonts w:asciiTheme="minorHAnsi" w:hAnsiTheme="minorHAnsi"/>
          <w:b/>
          <w:i/>
          <w:smallCaps/>
          <w:color w:val="1F497D"/>
          <w:sz w:val="44"/>
          <w:szCs w:val="36"/>
        </w:rPr>
        <w:t> 1. pololetí 2022</w:t>
      </w:r>
      <w:r w:rsidRPr="00710980">
        <w:rPr>
          <w:rFonts w:asciiTheme="minorHAnsi" w:hAnsiTheme="minorHAnsi"/>
          <w:b/>
          <w:i/>
          <w:smallCaps/>
          <w:color w:val="1F497D"/>
          <w:sz w:val="44"/>
          <w:szCs w:val="36"/>
        </w:rPr>
        <w:t xml:space="preserve"> a predikce na další období</w:t>
      </w:r>
    </w:p>
    <w:p w14:paraId="4CE137DA" w14:textId="77777777" w:rsidR="00BD35C3" w:rsidRPr="00710980" w:rsidRDefault="00BD35C3" w:rsidP="00BD35C3">
      <w:pPr>
        <w:rPr>
          <w:rFonts w:asciiTheme="minorHAnsi" w:hAnsiTheme="minorHAnsi"/>
          <w:b/>
          <w:i/>
          <w:smallCaps/>
          <w:color w:val="1F497D"/>
          <w:sz w:val="44"/>
          <w:szCs w:val="36"/>
        </w:rPr>
      </w:pPr>
    </w:p>
    <w:p w14:paraId="77288607" w14:textId="47C66800" w:rsidR="00BD35C3" w:rsidRPr="00710980" w:rsidRDefault="00BD35C3" w:rsidP="00BD35C3">
      <w:pPr>
        <w:jc w:val="center"/>
        <w:rPr>
          <w:rFonts w:asciiTheme="minorHAnsi" w:hAnsiTheme="minorHAnsi"/>
          <w:i/>
          <w:iCs/>
          <w:smallCaps/>
          <w:color w:val="1F497D"/>
          <w:sz w:val="44"/>
          <w:szCs w:val="36"/>
        </w:rPr>
      </w:pPr>
    </w:p>
    <w:p w14:paraId="68AAA098" w14:textId="77777777" w:rsidR="00BD35C3" w:rsidRPr="00735201" w:rsidRDefault="00BD35C3" w:rsidP="00BD35C3">
      <w:pPr>
        <w:rPr>
          <w:smallCaps/>
          <w:color w:val="365F91" w:themeColor="accent1" w:themeShade="BF"/>
          <w:sz w:val="28"/>
        </w:rPr>
      </w:pPr>
    </w:p>
    <w:p w14:paraId="74DFD057" w14:textId="77777777" w:rsidR="00BD35C3" w:rsidRPr="005B0EE3" w:rsidRDefault="00BD35C3" w:rsidP="00BD35C3">
      <w:r w:rsidRPr="005B0EE3">
        <w:br w:type="page"/>
      </w:r>
    </w:p>
    <w:p w14:paraId="45076613" w14:textId="77777777" w:rsidR="004621C0" w:rsidRPr="00334B09" w:rsidRDefault="004621C0" w:rsidP="004621C0">
      <w:pPr>
        <w:jc w:val="center"/>
        <w:rPr>
          <w:rFonts w:asciiTheme="minorHAnsi" w:hAnsiTheme="minorHAnsi"/>
          <w:b/>
          <w:sz w:val="44"/>
          <w:szCs w:val="36"/>
        </w:rPr>
      </w:pPr>
    </w:p>
    <w:p w14:paraId="47E3D2B9" w14:textId="77777777" w:rsidR="002B57AB" w:rsidRPr="00334B09" w:rsidRDefault="002B57AB" w:rsidP="004621C0">
      <w:pPr>
        <w:jc w:val="center"/>
        <w:rPr>
          <w:rFonts w:asciiTheme="minorHAnsi" w:hAnsiTheme="minorHAnsi"/>
          <w:b/>
          <w:sz w:val="44"/>
          <w:szCs w:val="36"/>
        </w:rPr>
      </w:pPr>
    </w:p>
    <w:p w14:paraId="0A17EBA9" w14:textId="77777777" w:rsidR="002B57AB" w:rsidRPr="00334B09" w:rsidRDefault="002B57AB" w:rsidP="004621C0">
      <w:pPr>
        <w:jc w:val="center"/>
        <w:rPr>
          <w:rFonts w:asciiTheme="minorHAnsi" w:hAnsiTheme="minorHAnsi"/>
          <w:b/>
          <w:sz w:val="44"/>
          <w:szCs w:val="36"/>
        </w:rPr>
      </w:pPr>
    </w:p>
    <w:p w14:paraId="52B86DD0" w14:textId="77777777" w:rsidR="002B57AB" w:rsidRPr="00334B09" w:rsidRDefault="002B57AB" w:rsidP="004621C0">
      <w:pPr>
        <w:jc w:val="center"/>
        <w:rPr>
          <w:rFonts w:asciiTheme="minorHAnsi" w:hAnsiTheme="minorHAnsi"/>
          <w:b/>
          <w:sz w:val="44"/>
          <w:szCs w:val="36"/>
        </w:rPr>
      </w:pPr>
    </w:p>
    <w:p w14:paraId="08599FFB" w14:textId="26AE2DCD" w:rsidR="002B57AB" w:rsidRDefault="002B57AB" w:rsidP="004621C0">
      <w:pPr>
        <w:jc w:val="center"/>
        <w:rPr>
          <w:rFonts w:asciiTheme="minorHAnsi" w:hAnsiTheme="minorHAnsi"/>
          <w:b/>
          <w:sz w:val="44"/>
          <w:szCs w:val="36"/>
        </w:rPr>
      </w:pPr>
    </w:p>
    <w:p w14:paraId="031FD43D" w14:textId="771DD590" w:rsidR="00BD35C3" w:rsidRDefault="00BD35C3" w:rsidP="004621C0">
      <w:pPr>
        <w:jc w:val="center"/>
        <w:rPr>
          <w:rFonts w:asciiTheme="minorHAnsi" w:hAnsiTheme="minorHAnsi"/>
          <w:b/>
          <w:sz w:val="44"/>
          <w:szCs w:val="36"/>
        </w:rPr>
      </w:pPr>
    </w:p>
    <w:p w14:paraId="4E96F85D" w14:textId="77777777" w:rsidR="00BD35C3" w:rsidRPr="00334B09" w:rsidRDefault="00BD35C3" w:rsidP="004621C0">
      <w:pPr>
        <w:jc w:val="center"/>
        <w:rPr>
          <w:rFonts w:asciiTheme="minorHAnsi" w:hAnsiTheme="minorHAnsi"/>
          <w:b/>
          <w:sz w:val="44"/>
          <w:szCs w:val="36"/>
        </w:rPr>
      </w:pPr>
    </w:p>
    <w:p w14:paraId="715B045F" w14:textId="77777777" w:rsidR="002B57AB" w:rsidRPr="00334B09" w:rsidRDefault="002B57AB" w:rsidP="004621C0">
      <w:pPr>
        <w:jc w:val="center"/>
        <w:rPr>
          <w:rFonts w:asciiTheme="minorHAnsi" w:hAnsiTheme="minorHAnsi"/>
          <w:b/>
          <w:sz w:val="44"/>
          <w:szCs w:val="36"/>
        </w:rPr>
      </w:pPr>
    </w:p>
    <w:p w14:paraId="4BC3A673" w14:textId="77777777" w:rsidR="009447B4" w:rsidRPr="00334B09" w:rsidRDefault="009447B4" w:rsidP="004621C0">
      <w:pPr>
        <w:jc w:val="center"/>
        <w:rPr>
          <w:rFonts w:asciiTheme="minorHAnsi" w:hAnsiTheme="minorHAnsi"/>
          <w:b/>
          <w:sz w:val="44"/>
          <w:szCs w:val="36"/>
        </w:rPr>
      </w:pPr>
    </w:p>
    <w:p w14:paraId="2BD56005" w14:textId="77777777" w:rsidR="004621C0" w:rsidRPr="00334B09" w:rsidRDefault="004621C0" w:rsidP="004621C0">
      <w:pPr>
        <w:jc w:val="center"/>
        <w:rPr>
          <w:rFonts w:asciiTheme="minorHAnsi" w:hAnsiTheme="minorHAnsi"/>
          <w:b/>
          <w:sz w:val="44"/>
          <w:szCs w:val="36"/>
        </w:rPr>
      </w:pPr>
    </w:p>
    <w:p w14:paraId="33D17C47" w14:textId="77777777" w:rsidR="004621C0" w:rsidRPr="00710980" w:rsidRDefault="004621C0" w:rsidP="004621C0">
      <w:pPr>
        <w:jc w:val="center"/>
        <w:rPr>
          <w:rFonts w:asciiTheme="minorHAnsi" w:hAnsiTheme="minorHAnsi"/>
          <w:b/>
          <w:i/>
          <w:smallCaps/>
          <w:color w:val="1F497D"/>
          <w:sz w:val="44"/>
          <w:szCs w:val="36"/>
        </w:rPr>
      </w:pPr>
      <w:r w:rsidRPr="00710980">
        <w:rPr>
          <w:rFonts w:asciiTheme="minorHAnsi" w:hAnsiTheme="minorHAnsi"/>
          <w:b/>
          <w:i/>
          <w:smallCaps/>
          <w:color w:val="1F497D"/>
          <w:sz w:val="44"/>
          <w:szCs w:val="36"/>
        </w:rPr>
        <w:t>I.</w:t>
      </w:r>
    </w:p>
    <w:p w14:paraId="06998F2E" w14:textId="77777777" w:rsidR="004621C0" w:rsidRPr="00710980" w:rsidRDefault="004621C0" w:rsidP="004621C0">
      <w:pPr>
        <w:spacing w:line="360" w:lineRule="auto"/>
        <w:jc w:val="center"/>
        <w:rPr>
          <w:rFonts w:asciiTheme="minorHAnsi" w:hAnsiTheme="minorHAnsi"/>
          <w:b/>
          <w:smallCaps/>
          <w:color w:val="1F497D"/>
          <w:sz w:val="44"/>
          <w:szCs w:val="36"/>
        </w:rPr>
      </w:pPr>
    </w:p>
    <w:p w14:paraId="69CC1B42" w14:textId="4D8AD93D" w:rsidR="004621C0" w:rsidRPr="00BD35C3" w:rsidRDefault="00BD35C3" w:rsidP="004621C0">
      <w:pPr>
        <w:jc w:val="center"/>
        <w:rPr>
          <w:rFonts w:asciiTheme="minorHAnsi" w:hAnsiTheme="minorHAnsi"/>
          <w:i/>
          <w:iCs/>
          <w:color w:val="1F497D"/>
          <w:sz w:val="44"/>
          <w:szCs w:val="36"/>
        </w:rPr>
      </w:pPr>
      <w:r>
        <w:rPr>
          <w:rFonts w:asciiTheme="minorHAnsi" w:hAnsiTheme="minorHAnsi"/>
          <w:b/>
          <w:i/>
          <w:color w:val="1F497D"/>
          <w:sz w:val="44"/>
          <w:szCs w:val="36"/>
        </w:rPr>
        <w:t>T</w:t>
      </w:r>
      <w:r w:rsidRPr="00BD35C3">
        <w:rPr>
          <w:rFonts w:asciiTheme="minorHAnsi" w:hAnsiTheme="minorHAnsi"/>
          <w:b/>
          <w:i/>
          <w:color w:val="1F497D"/>
          <w:sz w:val="44"/>
          <w:szCs w:val="36"/>
        </w:rPr>
        <w:t>extová část</w:t>
      </w:r>
    </w:p>
    <w:p w14:paraId="563EAF0F" w14:textId="77777777" w:rsidR="004268E2" w:rsidRPr="00735201" w:rsidRDefault="004268E2" w:rsidP="004268E2">
      <w:pPr>
        <w:rPr>
          <w:smallCaps/>
          <w:color w:val="365F91" w:themeColor="accent1" w:themeShade="BF"/>
          <w:sz w:val="28"/>
        </w:rPr>
      </w:pPr>
    </w:p>
    <w:p w14:paraId="3DCEA47F" w14:textId="77777777" w:rsidR="00586BE7" w:rsidRPr="005B0EE3" w:rsidRDefault="00586BE7">
      <w:r w:rsidRPr="005B0EE3">
        <w:br w:type="page"/>
      </w:r>
    </w:p>
    <w:p w14:paraId="3B897201" w14:textId="77777777" w:rsidR="00DF1CED" w:rsidRPr="00710980" w:rsidRDefault="00DF1CED" w:rsidP="00DF1CED">
      <w:pPr>
        <w:pStyle w:val="Nadpis1"/>
        <w:numPr>
          <w:ilvl w:val="0"/>
          <w:numId w:val="0"/>
        </w:numPr>
        <w:jc w:val="center"/>
        <w:rPr>
          <w:rFonts w:asciiTheme="minorHAnsi" w:hAnsiTheme="minorHAnsi"/>
          <w:smallCaps/>
          <w:color w:val="1F497D"/>
          <w:sz w:val="44"/>
        </w:rPr>
      </w:pPr>
      <w:r w:rsidRPr="00710980">
        <w:rPr>
          <w:rFonts w:asciiTheme="minorHAnsi" w:hAnsiTheme="minorHAnsi"/>
          <w:smallCaps/>
          <w:color w:val="1F497D"/>
          <w:sz w:val="44"/>
        </w:rPr>
        <w:lastRenderedPageBreak/>
        <w:t>Obsah</w:t>
      </w:r>
    </w:p>
    <w:p w14:paraId="22E77059"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3CDD3F6" w14:textId="77777777" w:rsidR="00DF1CED" w:rsidRPr="005B0EE3" w:rsidRDefault="00DF1CED" w:rsidP="00DF1CED">
      <w:pPr>
        <w:tabs>
          <w:tab w:val="center" w:pos="8222"/>
        </w:tabs>
        <w:spacing w:line="360" w:lineRule="auto"/>
        <w:jc w:val="both"/>
        <w:rPr>
          <w:rFonts w:asciiTheme="minorHAnsi" w:hAnsiTheme="minorHAnsi"/>
          <w:sz w:val="26"/>
          <w:szCs w:val="26"/>
        </w:rPr>
      </w:pPr>
    </w:p>
    <w:p w14:paraId="2A493EBD" w14:textId="77777777" w:rsidR="00DF1CED" w:rsidRPr="00105FEC" w:rsidRDefault="00DF1CED" w:rsidP="00DF1CED">
      <w:pPr>
        <w:tabs>
          <w:tab w:val="center" w:pos="8931"/>
        </w:tabs>
        <w:spacing w:line="360" w:lineRule="auto"/>
        <w:jc w:val="both"/>
        <w:rPr>
          <w:rFonts w:asciiTheme="minorHAnsi" w:hAnsiTheme="minorHAnsi"/>
          <w:sz w:val="26"/>
          <w:szCs w:val="26"/>
        </w:rPr>
      </w:pPr>
      <w:r w:rsidRPr="00105FEC">
        <w:rPr>
          <w:rFonts w:asciiTheme="minorHAnsi" w:hAnsiTheme="minorHAnsi"/>
          <w:sz w:val="26"/>
          <w:szCs w:val="26"/>
        </w:rPr>
        <w:tab/>
        <w:t>strana</w:t>
      </w:r>
    </w:p>
    <w:p w14:paraId="56F89F3E" w14:textId="77777777" w:rsidR="00DF1CED" w:rsidRPr="00255B67" w:rsidRDefault="00DF1CED" w:rsidP="00DF1CED">
      <w:pPr>
        <w:tabs>
          <w:tab w:val="decimal" w:pos="8222"/>
        </w:tabs>
        <w:spacing w:line="360" w:lineRule="auto"/>
        <w:jc w:val="both"/>
        <w:rPr>
          <w:rFonts w:asciiTheme="minorHAnsi" w:hAnsiTheme="minorHAnsi"/>
          <w:sz w:val="26"/>
          <w:szCs w:val="26"/>
        </w:rPr>
      </w:pPr>
    </w:p>
    <w:p w14:paraId="1B01EB69"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2824D6">
        <w:rPr>
          <w:rFonts w:asciiTheme="minorHAnsi" w:hAnsiTheme="minorHAnsi"/>
          <w:b/>
          <w:bCs/>
          <w:sz w:val="26"/>
          <w:szCs w:val="26"/>
        </w:rPr>
        <w:t>Metodika a zdroje použitých dat</w:t>
      </w:r>
      <w:r w:rsidRPr="002824D6">
        <w:rPr>
          <w:rFonts w:asciiTheme="minorHAnsi" w:hAnsiTheme="minorHAnsi"/>
          <w:sz w:val="26"/>
          <w:szCs w:val="26"/>
        </w:rPr>
        <w:tab/>
        <w:t>1</w:t>
      </w:r>
    </w:p>
    <w:p w14:paraId="33B0E579" w14:textId="77777777" w:rsidR="00DF1CED" w:rsidRPr="002824D6" w:rsidRDefault="00DF1CED" w:rsidP="00DF1CED">
      <w:pPr>
        <w:tabs>
          <w:tab w:val="decimal" w:leader="dot" w:pos="8931"/>
        </w:tabs>
        <w:spacing w:line="360" w:lineRule="auto"/>
        <w:jc w:val="both"/>
        <w:rPr>
          <w:rFonts w:asciiTheme="minorHAnsi" w:hAnsiTheme="minorHAnsi"/>
          <w:sz w:val="26"/>
          <w:szCs w:val="26"/>
        </w:rPr>
      </w:pPr>
    </w:p>
    <w:p w14:paraId="1B34BC3F" w14:textId="7AEA4C80" w:rsidR="004F6E68"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Základní charakteristika příjmové a výdajové situace domácností</w:t>
      </w:r>
    </w:p>
    <w:p w14:paraId="19B7535E" w14:textId="722CA284" w:rsidR="00DF1CED" w:rsidRPr="004F6E68" w:rsidRDefault="00DF1CED" w:rsidP="004F6E68">
      <w:pPr>
        <w:tabs>
          <w:tab w:val="left" w:pos="284"/>
          <w:tab w:val="left" w:pos="567"/>
          <w:tab w:val="left" w:pos="851"/>
          <w:tab w:val="decimal" w:leader="dot" w:pos="8931"/>
        </w:tabs>
        <w:spacing w:line="360" w:lineRule="auto"/>
        <w:ind w:left="284"/>
        <w:jc w:val="both"/>
        <w:rPr>
          <w:rFonts w:asciiTheme="minorHAnsi" w:hAnsiTheme="minorHAnsi"/>
          <w:b/>
          <w:sz w:val="26"/>
          <w:szCs w:val="26"/>
        </w:rPr>
      </w:pPr>
      <w:r w:rsidRPr="004F6E68">
        <w:rPr>
          <w:rFonts w:asciiTheme="minorHAnsi" w:hAnsiTheme="minorHAnsi"/>
          <w:b/>
          <w:sz w:val="26"/>
          <w:szCs w:val="26"/>
        </w:rPr>
        <w:t>v</w:t>
      </w:r>
      <w:r w:rsidR="004F6E68" w:rsidRPr="004F6E68">
        <w:rPr>
          <w:rFonts w:asciiTheme="minorHAnsi" w:hAnsiTheme="minorHAnsi"/>
          <w:b/>
          <w:sz w:val="26"/>
          <w:szCs w:val="26"/>
        </w:rPr>
        <w:t> 1. pololetí 2022</w:t>
      </w:r>
      <w:r w:rsidRPr="004F6E68">
        <w:rPr>
          <w:rFonts w:asciiTheme="minorHAnsi" w:hAnsiTheme="minorHAnsi"/>
          <w:sz w:val="26"/>
          <w:szCs w:val="26"/>
        </w:rPr>
        <w:tab/>
      </w:r>
      <w:r w:rsidR="005E003C">
        <w:rPr>
          <w:rFonts w:asciiTheme="minorHAnsi" w:hAnsiTheme="minorHAnsi"/>
          <w:sz w:val="26"/>
          <w:szCs w:val="26"/>
        </w:rPr>
        <w:t>3</w:t>
      </w:r>
    </w:p>
    <w:p w14:paraId="29060A8D"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67CF8F0C" w14:textId="6EC12BF5" w:rsidR="00DF1CED" w:rsidRPr="002824D6"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Vývoj rozhodujících skupin příjmů, životních nákladů, výdajů,</w:t>
      </w:r>
      <w:r w:rsidR="004C673D" w:rsidRPr="002824D6">
        <w:rPr>
          <w:rFonts w:asciiTheme="minorHAnsi" w:hAnsiTheme="minorHAnsi"/>
          <w:b/>
          <w:sz w:val="26"/>
          <w:szCs w:val="26"/>
        </w:rPr>
        <w:t xml:space="preserve"> úvěrů a úspor</w:t>
      </w:r>
    </w:p>
    <w:p w14:paraId="20AFB8AC" w14:textId="08CE8233" w:rsidR="00DF1CED" w:rsidRPr="002824D6" w:rsidRDefault="00DF1CED" w:rsidP="00DF1CED">
      <w:pPr>
        <w:tabs>
          <w:tab w:val="left" w:pos="284"/>
          <w:tab w:val="left" w:pos="567"/>
          <w:tab w:val="left" w:pos="851"/>
          <w:tab w:val="decimal" w:leader="dot" w:pos="8931"/>
        </w:tabs>
        <w:spacing w:after="240" w:line="360" w:lineRule="auto"/>
        <w:jc w:val="both"/>
        <w:rPr>
          <w:rFonts w:asciiTheme="minorHAnsi" w:hAnsiTheme="minorHAnsi"/>
          <w:b/>
          <w:sz w:val="26"/>
          <w:szCs w:val="26"/>
        </w:rPr>
      </w:pPr>
      <w:r w:rsidRPr="002824D6">
        <w:rPr>
          <w:rFonts w:asciiTheme="minorHAnsi" w:hAnsiTheme="minorHAnsi"/>
          <w:b/>
          <w:sz w:val="26"/>
          <w:szCs w:val="26"/>
        </w:rPr>
        <w:tab/>
        <w:t xml:space="preserve">domácností </w:t>
      </w:r>
      <w:r w:rsidRPr="002824D6">
        <w:rPr>
          <w:rFonts w:asciiTheme="minorHAnsi" w:hAnsiTheme="minorHAnsi"/>
          <w:sz w:val="26"/>
          <w:szCs w:val="26"/>
        </w:rPr>
        <w:t>(podrobnější zhodnocení)</w:t>
      </w:r>
      <w:r w:rsidRPr="002824D6">
        <w:rPr>
          <w:rFonts w:asciiTheme="minorHAnsi" w:hAnsiTheme="minorHAnsi"/>
          <w:sz w:val="26"/>
          <w:szCs w:val="26"/>
        </w:rPr>
        <w:tab/>
        <w:t>6</w:t>
      </w:r>
    </w:p>
    <w:p w14:paraId="104C54E3" w14:textId="77777777"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b/>
          <w:sz w:val="26"/>
          <w:szCs w:val="26"/>
        </w:rPr>
      </w:pPr>
      <w:r w:rsidRPr="002824D6">
        <w:rPr>
          <w:rFonts w:asciiTheme="minorHAnsi" w:hAnsiTheme="minorHAnsi"/>
          <w:b/>
          <w:sz w:val="26"/>
          <w:szCs w:val="26"/>
        </w:rPr>
        <w:tab/>
        <w:t xml:space="preserve">1. Příjmy domácností </w:t>
      </w:r>
      <w:r w:rsidRPr="002824D6">
        <w:rPr>
          <w:rFonts w:asciiTheme="minorHAnsi" w:hAnsiTheme="minorHAnsi"/>
          <w:sz w:val="26"/>
          <w:szCs w:val="26"/>
        </w:rPr>
        <w:tab/>
        <w:t>6</w:t>
      </w:r>
    </w:p>
    <w:p w14:paraId="5B6136FE" w14:textId="6A31AA6B" w:rsidR="00DF1CED" w:rsidRPr="002824D6"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2824D6">
        <w:rPr>
          <w:rFonts w:asciiTheme="minorHAnsi" w:hAnsiTheme="minorHAnsi"/>
          <w:i/>
          <w:sz w:val="26"/>
          <w:szCs w:val="26"/>
        </w:rPr>
        <w:tab/>
        <w:t>1.1</w:t>
      </w:r>
      <w:r w:rsidR="004F6E68">
        <w:rPr>
          <w:rFonts w:asciiTheme="minorHAnsi" w:hAnsiTheme="minorHAnsi"/>
          <w:i/>
          <w:sz w:val="26"/>
          <w:szCs w:val="26"/>
        </w:rPr>
        <w:t>.</w:t>
      </w:r>
      <w:r w:rsidRPr="002824D6">
        <w:rPr>
          <w:rFonts w:asciiTheme="minorHAnsi" w:hAnsiTheme="minorHAnsi"/>
          <w:i/>
          <w:sz w:val="26"/>
          <w:szCs w:val="26"/>
        </w:rPr>
        <w:t xml:space="preserve">   Základní charakteristika</w:t>
      </w:r>
      <w:r w:rsidRPr="002824D6">
        <w:rPr>
          <w:rFonts w:asciiTheme="minorHAnsi" w:hAnsiTheme="minorHAnsi"/>
          <w:sz w:val="26"/>
          <w:szCs w:val="26"/>
        </w:rPr>
        <w:tab/>
        <w:t>6</w:t>
      </w:r>
    </w:p>
    <w:p w14:paraId="3B87A6C2" w14:textId="46993503" w:rsidR="00DF1CED" w:rsidRPr="006D2A77"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6D2A77">
        <w:rPr>
          <w:rFonts w:asciiTheme="minorHAnsi" w:hAnsiTheme="minorHAnsi"/>
          <w:i/>
          <w:sz w:val="26"/>
          <w:szCs w:val="26"/>
        </w:rPr>
        <w:tab/>
        <w:t>1.2</w:t>
      </w:r>
      <w:r w:rsidR="004F6E68">
        <w:rPr>
          <w:rFonts w:asciiTheme="minorHAnsi" w:hAnsiTheme="minorHAnsi"/>
          <w:i/>
          <w:sz w:val="26"/>
          <w:szCs w:val="26"/>
        </w:rPr>
        <w:t>.</w:t>
      </w:r>
      <w:r w:rsidRPr="006D2A77">
        <w:rPr>
          <w:rFonts w:asciiTheme="minorHAnsi" w:hAnsiTheme="minorHAnsi"/>
          <w:i/>
          <w:sz w:val="26"/>
          <w:szCs w:val="26"/>
        </w:rPr>
        <w:t xml:space="preserve">   Mzdy</w:t>
      </w:r>
      <w:r w:rsidRPr="006D2A77">
        <w:rPr>
          <w:rFonts w:asciiTheme="minorHAnsi" w:hAnsiTheme="minorHAnsi"/>
          <w:sz w:val="26"/>
          <w:szCs w:val="26"/>
        </w:rPr>
        <w:t xml:space="preserve"> </w:t>
      </w:r>
      <w:r w:rsidRPr="006D2A77">
        <w:rPr>
          <w:rFonts w:asciiTheme="minorHAnsi" w:hAnsiTheme="minorHAnsi"/>
          <w:sz w:val="26"/>
          <w:szCs w:val="26"/>
        </w:rPr>
        <w:tab/>
      </w:r>
      <w:r w:rsidR="005E003C">
        <w:rPr>
          <w:rFonts w:asciiTheme="minorHAnsi" w:hAnsiTheme="minorHAnsi"/>
          <w:sz w:val="26"/>
          <w:szCs w:val="26"/>
        </w:rPr>
        <w:t>7</w:t>
      </w:r>
    </w:p>
    <w:p w14:paraId="5E153D50" w14:textId="7B1AF343" w:rsidR="00DF1CED" w:rsidRPr="0080146E"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80146E">
        <w:rPr>
          <w:rFonts w:asciiTheme="minorHAnsi" w:hAnsiTheme="minorHAnsi"/>
          <w:i/>
          <w:sz w:val="26"/>
          <w:szCs w:val="26"/>
        </w:rPr>
        <w:tab/>
      </w:r>
      <w:r w:rsidRPr="0080146E">
        <w:rPr>
          <w:rFonts w:asciiTheme="minorHAnsi" w:hAnsiTheme="minorHAnsi"/>
          <w:i/>
          <w:sz w:val="26"/>
          <w:szCs w:val="26"/>
        </w:rPr>
        <w:tab/>
        <w:t>1.2.1</w:t>
      </w:r>
      <w:r w:rsidR="004F6E68" w:rsidRPr="0080146E">
        <w:rPr>
          <w:rFonts w:asciiTheme="minorHAnsi" w:hAnsiTheme="minorHAnsi"/>
          <w:i/>
          <w:sz w:val="26"/>
          <w:szCs w:val="26"/>
        </w:rPr>
        <w:t>.</w:t>
      </w:r>
      <w:r w:rsidRPr="0080146E">
        <w:rPr>
          <w:rFonts w:asciiTheme="minorHAnsi" w:hAnsiTheme="minorHAnsi"/>
          <w:i/>
          <w:sz w:val="26"/>
          <w:szCs w:val="26"/>
        </w:rPr>
        <w:t xml:space="preserve"> Poznatky ze šetření Informačního systému o průměrném výdělku</w:t>
      </w:r>
      <w:r w:rsidRPr="0080146E">
        <w:rPr>
          <w:rFonts w:asciiTheme="minorHAnsi" w:hAnsiTheme="minorHAnsi"/>
          <w:sz w:val="26"/>
          <w:szCs w:val="26"/>
        </w:rPr>
        <w:t xml:space="preserve"> </w:t>
      </w:r>
      <w:r w:rsidRPr="0080146E">
        <w:rPr>
          <w:rFonts w:asciiTheme="minorHAnsi" w:hAnsiTheme="minorHAnsi"/>
          <w:sz w:val="26"/>
          <w:szCs w:val="26"/>
        </w:rPr>
        <w:tab/>
        <w:t>1</w:t>
      </w:r>
      <w:r w:rsidR="005E003C" w:rsidRPr="0080146E">
        <w:rPr>
          <w:rFonts w:asciiTheme="minorHAnsi" w:hAnsiTheme="minorHAnsi"/>
          <w:sz w:val="26"/>
          <w:szCs w:val="26"/>
        </w:rPr>
        <w:t>5</w:t>
      </w:r>
    </w:p>
    <w:p w14:paraId="19D2178C" w14:textId="38A8D1F3" w:rsidR="00032402" w:rsidRPr="0080146E" w:rsidRDefault="00032402" w:rsidP="00BA0CBC">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80146E">
        <w:rPr>
          <w:rFonts w:asciiTheme="minorHAnsi" w:hAnsiTheme="minorHAnsi"/>
          <w:sz w:val="26"/>
          <w:szCs w:val="26"/>
        </w:rPr>
        <w:tab/>
      </w:r>
      <w:r w:rsidRPr="0080146E">
        <w:rPr>
          <w:rFonts w:asciiTheme="minorHAnsi" w:hAnsiTheme="minorHAnsi"/>
          <w:i/>
          <w:sz w:val="26"/>
          <w:szCs w:val="26"/>
        </w:rPr>
        <w:t>1.3</w:t>
      </w:r>
      <w:r w:rsidR="004F6E68" w:rsidRPr="0080146E">
        <w:rPr>
          <w:rFonts w:asciiTheme="minorHAnsi" w:hAnsiTheme="minorHAnsi"/>
          <w:i/>
          <w:sz w:val="26"/>
          <w:szCs w:val="26"/>
        </w:rPr>
        <w:t>.</w:t>
      </w:r>
      <w:r w:rsidRPr="0080146E">
        <w:rPr>
          <w:rFonts w:asciiTheme="minorHAnsi" w:hAnsiTheme="minorHAnsi"/>
          <w:i/>
          <w:sz w:val="26"/>
          <w:szCs w:val="26"/>
        </w:rPr>
        <w:t xml:space="preserve">   Sociální příjmy</w:t>
      </w:r>
      <w:r w:rsidRPr="0080146E">
        <w:rPr>
          <w:rFonts w:asciiTheme="minorHAnsi" w:hAnsiTheme="minorHAnsi"/>
          <w:sz w:val="26"/>
          <w:szCs w:val="26"/>
        </w:rPr>
        <w:tab/>
        <w:t>2</w:t>
      </w:r>
      <w:r w:rsidR="005E003C" w:rsidRPr="0080146E">
        <w:rPr>
          <w:rFonts w:asciiTheme="minorHAnsi" w:hAnsiTheme="minorHAnsi"/>
          <w:sz w:val="26"/>
          <w:szCs w:val="26"/>
        </w:rPr>
        <w:t>0</w:t>
      </w:r>
    </w:p>
    <w:p w14:paraId="22D62F5F" w14:textId="5799FB1F" w:rsidR="00DF1CED" w:rsidRPr="0080146E" w:rsidRDefault="00DF1CED" w:rsidP="00DF1CED">
      <w:pPr>
        <w:tabs>
          <w:tab w:val="left" w:pos="284"/>
          <w:tab w:val="left" w:pos="567"/>
          <w:tab w:val="left" w:pos="851"/>
          <w:tab w:val="decimal" w:leader="dot" w:pos="8931"/>
        </w:tabs>
        <w:spacing w:after="240" w:line="360" w:lineRule="auto"/>
        <w:jc w:val="both"/>
        <w:rPr>
          <w:rFonts w:asciiTheme="minorHAnsi" w:hAnsiTheme="minorHAnsi"/>
          <w:sz w:val="26"/>
          <w:szCs w:val="26"/>
        </w:rPr>
      </w:pPr>
      <w:r w:rsidRPr="0080146E">
        <w:rPr>
          <w:rFonts w:asciiTheme="minorHAnsi" w:hAnsiTheme="minorHAnsi"/>
          <w:b/>
          <w:sz w:val="26"/>
          <w:szCs w:val="26"/>
        </w:rPr>
        <w:tab/>
        <w:t>2. Spotřebitelské ceny a životní náklady</w:t>
      </w:r>
      <w:r w:rsidRPr="0080146E">
        <w:rPr>
          <w:rFonts w:asciiTheme="minorHAnsi" w:hAnsiTheme="minorHAnsi"/>
          <w:sz w:val="26"/>
          <w:szCs w:val="26"/>
        </w:rPr>
        <w:tab/>
      </w:r>
      <w:r w:rsidR="005E003C" w:rsidRPr="0080146E">
        <w:rPr>
          <w:rFonts w:asciiTheme="minorHAnsi" w:hAnsiTheme="minorHAnsi"/>
          <w:sz w:val="26"/>
          <w:szCs w:val="26"/>
        </w:rPr>
        <w:t>29</w:t>
      </w:r>
    </w:p>
    <w:p w14:paraId="0DE40876" w14:textId="45414432" w:rsidR="00DF1CED" w:rsidRPr="0080146E"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80146E">
        <w:rPr>
          <w:rFonts w:asciiTheme="minorHAnsi" w:hAnsiTheme="minorHAnsi"/>
          <w:b/>
          <w:sz w:val="26"/>
          <w:szCs w:val="26"/>
        </w:rPr>
        <w:tab/>
        <w:t>3. Peněžní výdaje, úvěry a úspory domácností</w:t>
      </w:r>
      <w:r w:rsidRPr="0080146E">
        <w:rPr>
          <w:rFonts w:asciiTheme="minorHAnsi" w:hAnsiTheme="minorHAnsi"/>
          <w:sz w:val="26"/>
          <w:szCs w:val="26"/>
        </w:rPr>
        <w:tab/>
        <w:t>3</w:t>
      </w:r>
      <w:r w:rsidR="005E003C" w:rsidRPr="0080146E">
        <w:rPr>
          <w:rFonts w:asciiTheme="minorHAnsi" w:hAnsiTheme="minorHAnsi"/>
          <w:sz w:val="26"/>
          <w:szCs w:val="26"/>
        </w:rPr>
        <w:t>3</w:t>
      </w:r>
    </w:p>
    <w:p w14:paraId="00254C25" w14:textId="3F839019" w:rsidR="00DF1CED" w:rsidRPr="0080146E"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80146E">
        <w:rPr>
          <w:rFonts w:asciiTheme="minorHAnsi" w:hAnsiTheme="minorHAnsi"/>
          <w:i/>
          <w:sz w:val="26"/>
          <w:szCs w:val="26"/>
        </w:rPr>
        <w:tab/>
        <w:t>3.1</w:t>
      </w:r>
      <w:r w:rsidR="004F6E68" w:rsidRPr="0080146E">
        <w:rPr>
          <w:rFonts w:asciiTheme="minorHAnsi" w:hAnsiTheme="minorHAnsi"/>
          <w:i/>
          <w:sz w:val="26"/>
          <w:szCs w:val="26"/>
        </w:rPr>
        <w:t>.</w:t>
      </w:r>
      <w:r w:rsidRPr="0080146E">
        <w:rPr>
          <w:rFonts w:asciiTheme="minorHAnsi" w:hAnsiTheme="minorHAnsi"/>
          <w:i/>
          <w:sz w:val="26"/>
          <w:szCs w:val="26"/>
        </w:rPr>
        <w:t xml:space="preserve">   Peněžní výdaje</w:t>
      </w:r>
      <w:r w:rsidRPr="0080146E">
        <w:rPr>
          <w:rFonts w:asciiTheme="minorHAnsi" w:hAnsiTheme="minorHAnsi"/>
          <w:sz w:val="26"/>
          <w:szCs w:val="26"/>
        </w:rPr>
        <w:tab/>
        <w:t>3</w:t>
      </w:r>
      <w:r w:rsidR="005E003C" w:rsidRPr="0080146E">
        <w:rPr>
          <w:rFonts w:asciiTheme="minorHAnsi" w:hAnsiTheme="minorHAnsi"/>
          <w:sz w:val="26"/>
          <w:szCs w:val="26"/>
        </w:rPr>
        <w:t>3</w:t>
      </w:r>
    </w:p>
    <w:p w14:paraId="31E6E08A" w14:textId="22664C75"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0C156C">
        <w:rPr>
          <w:rFonts w:asciiTheme="minorHAnsi" w:hAnsiTheme="minorHAnsi"/>
          <w:i/>
          <w:sz w:val="26"/>
          <w:szCs w:val="26"/>
        </w:rPr>
        <w:tab/>
        <w:t>3.2</w:t>
      </w:r>
      <w:r w:rsidR="004F6E68" w:rsidRPr="000C156C">
        <w:rPr>
          <w:rFonts w:asciiTheme="minorHAnsi" w:hAnsiTheme="minorHAnsi"/>
          <w:i/>
          <w:sz w:val="26"/>
          <w:szCs w:val="26"/>
        </w:rPr>
        <w:t>.</w:t>
      </w:r>
      <w:r w:rsidRPr="000C156C">
        <w:rPr>
          <w:rFonts w:asciiTheme="minorHAnsi" w:hAnsiTheme="minorHAnsi"/>
          <w:i/>
          <w:sz w:val="26"/>
          <w:szCs w:val="26"/>
        </w:rPr>
        <w:t xml:space="preserve">   Peněžní úvěry, půjčky</w:t>
      </w:r>
      <w:r w:rsidRPr="000C156C">
        <w:rPr>
          <w:rFonts w:asciiTheme="minorHAnsi" w:hAnsiTheme="minorHAnsi"/>
          <w:sz w:val="26"/>
          <w:szCs w:val="26"/>
        </w:rPr>
        <w:t xml:space="preserve"> </w:t>
      </w:r>
      <w:r w:rsidRPr="000C156C">
        <w:rPr>
          <w:rFonts w:asciiTheme="minorHAnsi" w:hAnsiTheme="minorHAnsi"/>
          <w:sz w:val="26"/>
          <w:szCs w:val="26"/>
        </w:rPr>
        <w:tab/>
        <w:t>3</w:t>
      </w:r>
      <w:r w:rsidR="000C156C" w:rsidRPr="000C156C">
        <w:rPr>
          <w:rFonts w:asciiTheme="minorHAnsi" w:hAnsiTheme="minorHAnsi"/>
          <w:sz w:val="26"/>
          <w:szCs w:val="26"/>
        </w:rPr>
        <w:t>4</w:t>
      </w:r>
    </w:p>
    <w:p w14:paraId="0140D159" w14:textId="29CBF67E"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r w:rsidRPr="000C156C">
        <w:rPr>
          <w:rFonts w:asciiTheme="minorHAnsi" w:hAnsiTheme="minorHAnsi"/>
          <w:sz w:val="26"/>
          <w:szCs w:val="26"/>
        </w:rPr>
        <w:tab/>
      </w:r>
      <w:r w:rsidRPr="000C156C">
        <w:rPr>
          <w:rFonts w:asciiTheme="minorHAnsi" w:hAnsiTheme="minorHAnsi"/>
          <w:i/>
          <w:sz w:val="26"/>
          <w:szCs w:val="26"/>
        </w:rPr>
        <w:t>3.3</w:t>
      </w:r>
      <w:r w:rsidR="004F6E68" w:rsidRPr="000C156C">
        <w:rPr>
          <w:rFonts w:asciiTheme="minorHAnsi" w:hAnsiTheme="minorHAnsi"/>
          <w:i/>
          <w:sz w:val="26"/>
          <w:szCs w:val="26"/>
        </w:rPr>
        <w:t>.</w:t>
      </w:r>
      <w:r w:rsidRPr="000C156C">
        <w:rPr>
          <w:rFonts w:asciiTheme="minorHAnsi" w:hAnsiTheme="minorHAnsi"/>
          <w:i/>
          <w:sz w:val="26"/>
          <w:szCs w:val="26"/>
        </w:rPr>
        <w:t xml:space="preserve">   Úspory</w:t>
      </w:r>
      <w:r w:rsidRPr="000C156C">
        <w:rPr>
          <w:rFonts w:asciiTheme="minorHAnsi" w:hAnsiTheme="minorHAnsi"/>
          <w:sz w:val="26"/>
          <w:szCs w:val="26"/>
        </w:rPr>
        <w:tab/>
      </w:r>
      <w:r w:rsidR="000C156C" w:rsidRPr="000C156C">
        <w:rPr>
          <w:rFonts w:asciiTheme="minorHAnsi" w:hAnsiTheme="minorHAnsi"/>
          <w:sz w:val="26"/>
          <w:szCs w:val="26"/>
        </w:rPr>
        <w:t>36</w:t>
      </w:r>
    </w:p>
    <w:p w14:paraId="2EAC0293" w14:textId="77777777" w:rsidR="00DF1CED" w:rsidRPr="000C156C" w:rsidRDefault="00DF1CED" w:rsidP="00DF1CED">
      <w:pPr>
        <w:tabs>
          <w:tab w:val="left" w:pos="284"/>
          <w:tab w:val="left" w:pos="567"/>
          <w:tab w:val="left" w:pos="851"/>
          <w:tab w:val="decimal" w:leader="dot" w:pos="8931"/>
        </w:tabs>
        <w:spacing w:line="360" w:lineRule="auto"/>
        <w:jc w:val="both"/>
        <w:rPr>
          <w:rFonts w:asciiTheme="minorHAnsi" w:hAnsiTheme="minorHAnsi"/>
          <w:sz w:val="26"/>
          <w:szCs w:val="26"/>
        </w:rPr>
      </w:pPr>
    </w:p>
    <w:p w14:paraId="17EB8092" w14:textId="1F986297" w:rsidR="00DF1CED" w:rsidRPr="009A555A" w:rsidRDefault="00DF1CED" w:rsidP="00DF1CED">
      <w:pPr>
        <w:pStyle w:val="Odstavecseseznamem"/>
        <w:numPr>
          <w:ilvl w:val="0"/>
          <w:numId w:val="2"/>
        </w:numPr>
        <w:tabs>
          <w:tab w:val="left" w:pos="284"/>
          <w:tab w:val="left" w:pos="567"/>
          <w:tab w:val="left" w:pos="851"/>
          <w:tab w:val="decimal" w:leader="dot" w:pos="8931"/>
        </w:tabs>
        <w:spacing w:line="360" w:lineRule="auto"/>
        <w:jc w:val="both"/>
        <w:rPr>
          <w:rFonts w:asciiTheme="minorHAnsi" w:hAnsiTheme="minorHAnsi"/>
          <w:b/>
          <w:sz w:val="26"/>
          <w:szCs w:val="26"/>
        </w:rPr>
      </w:pPr>
      <w:r w:rsidRPr="000C156C">
        <w:rPr>
          <w:rFonts w:asciiTheme="minorHAnsi" w:hAnsiTheme="minorHAnsi"/>
          <w:b/>
          <w:sz w:val="26"/>
          <w:szCs w:val="26"/>
        </w:rPr>
        <w:t xml:space="preserve">Vývoj </w:t>
      </w:r>
      <w:r w:rsidR="004F6E68" w:rsidRPr="000C156C">
        <w:rPr>
          <w:rFonts w:asciiTheme="minorHAnsi" w:hAnsiTheme="minorHAnsi"/>
          <w:b/>
          <w:sz w:val="26"/>
          <w:szCs w:val="26"/>
        </w:rPr>
        <w:t>ve 3. čtvrtletí</w:t>
      </w:r>
      <w:r w:rsidR="004471FB" w:rsidRPr="000C156C">
        <w:rPr>
          <w:rFonts w:asciiTheme="minorHAnsi" w:hAnsiTheme="minorHAnsi"/>
          <w:b/>
          <w:sz w:val="26"/>
          <w:szCs w:val="26"/>
        </w:rPr>
        <w:t xml:space="preserve"> 202</w:t>
      </w:r>
      <w:r w:rsidR="003D0C8E" w:rsidRPr="000C156C">
        <w:rPr>
          <w:rFonts w:asciiTheme="minorHAnsi" w:hAnsiTheme="minorHAnsi"/>
          <w:b/>
          <w:sz w:val="26"/>
          <w:szCs w:val="26"/>
        </w:rPr>
        <w:t>2</w:t>
      </w:r>
      <w:r w:rsidRPr="000C156C">
        <w:rPr>
          <w:rFonts w:asciiTheme="minorHAnsi" w:hAnsiTheme="minorHAnsi"/>
          <w:b/>
          <w:sz w:val="26"/>
          <w:szCs w:val="26"/>
        </w:rPr>
        <w:t xml:space="preserve"> a predikce na další období</w:t>
      </w:r>
      <w:r w:rsidRPr="000C156C">
        <w:rPr>
          <w:rFonts w:asciiTheme="minorHAnsi" w:hAnsiTheme="minorHAnsi"/>
          <w:sz w:val="26"/>
          <w:szCs w:val="26"/>
        </w:rPr>
        <w:tab/>
      </w:r>
      <w:r w:rsidR="000C156C">
        <w:rPr>
          <w:rFonts w:asciiTheme="minorHAnsi" w:hAnsiTheme="minorHAnsi"/>
          <w:sz w:val="26"/>
          <w:szCs w:val="26"/>
        </w:rPr>
        <w:t>38</w:t>
      </w:r>
    </w:p>
    <w:p w14:paraId="40B024BD" w14:textId="77777777" w:rsidR="00DF1CED" w:rsidRPr="009A555A" w:rsidRDefault="00DF1CED" w:rsidP="00DF1CED">
      <w:pPr>
        <w:tabs>
          <w:tab w:val="left" w:pos="284"/>
          <w:tab w:val="left" w:pos="567"/>
          <w:tab w:val="left" w:pos="851"/>
          <w:tab w:val="decimal" w:leader="dot" w:pos="8222"/>
        </w:tabs>
        <w:spacing w:line="360" w:lineRule="auto"/>
        <w:jc w:val="both"/>
        <w:rPr>
          <w:rFonts w:asciiTheme="minorHAnsi" w:hAnsiTheme="minorHAnsi"/>
          <w:sz w:val="26"/>
          <w:szCs w:val="26"/>
        </w:rPr>
      </w:pPr>
    </w:p>
    <w:p w14:paraId="407E31A0" w14:textId="77777777" w:rsidR="004268E2" w:rsidRPr="009A555A" w:rsidRDefault="004268E2" w:rsidP="004268E2">
      <w:pPr>
        <w:tabs>
          <w:tab w:val="left" w:pos="284"/>
          <w:tab w:val="left" w:pos="567"/>
          <w:tab w:val="left" w:pos="851"/>
          <w:tab w:val="decimal" w:leader="dot" w:pos="8222"/>
        </w:tabs>
        <w:spacing w:line="360" w:lineRule="auto"/>
        <w:jc w:val="both"/>
      </w:pPr>
    </w:p>
    <w:p w14:paraId="4442A9E1" w14:textId="77777777" w:rsidR="004268E2" w:rsidRPr="009A555A" w:rsidRDefault="004268E2" w:rsidP="004268E2">
      <w:pPr>
        <w:tabs>
          <w:tab w:val="left" w:pos="284"/>
          <w:tab w:val="left" w:pos="567"/>
          <w:tab w:val="left" w:pos="851"/>
          <w:tab w:val="decimal" w:leader="dot" w:pos="8222"/>
        </w:tabs>
        <w:spacing w:line="360" w:lineRule="auto"/>
        <w:jc w:val="both"/>
        <w:sectPr w:rsidR="004268E2" w:rsidRPr="009A555A" w:rsidSect="00A11C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
          <w:cols w:space="708"/>
          <w:titlePg/>
        </w:sectPr>
      </w:pPr>
    </w:p>
    <w:p w14:paraId="7EBA85A8" w14:textId="77777777" w:rsidR="00ED121B" w:rsidRPr="00935486" w:rsidRDefault="00ED121B" w:rsidP="00ED121B">
      <w:pPr>
        <w:spacing w:after="240"/>
        <w:jc w:val="both"/>
        <w:rPr>
          <w:rFonts w:asciiTheme="minorHAnsi" w:hAnsiTheme="minorHAnsi"/>
          <w:b/>
          <w:smallCaps/>
          <w:color w:val="1F497D"/>
          <w:sz w:val="44"/>
          <w:szCs w:val="44"/>
        </w:rPr>
      </w:pPr>
      <w:r w:rsidRPr="00935486">
        <w:rPr>
          <w:rFonts w:asciiTheme="minorHAnsi" w:hAnsiTheme="minorHAnsi"/>
          <w:b/>
          <w:smallCaps/>
          <w:color w:val="1F497D"/>
          <w:sz w:val="44"/>
          <w:szCs w:val="44"/>
        </w:rPr>
        <w:lastRenderedPageBreak/>
        <w:t>Metodika a zdroje použitých dat</w:t>
      </w:r>
    </w:p>
    <w:p w14:paraId="54A68C52" w14:textId="77777777" w:rsidR="00ED121B" w:rsidRPr="00717E0A" w:rsidRDefault="00ED121B" w:rsidP="00ED121B">
      <w:pPr>
        <w:pStyle w:val="Zkladntextodsazen"/>
        <w:spacing w:after="120"/>
        <w:ind w:firstLine="0"/>
        <w:rPr>
          <w:rFonts w:asciiTheme="minorHAnsi" w:hAnsiTheme="minorHAnsi" w:cstheme="minorHAnsi"/>
          <w:i/>
          <w:sz w:val="26"/>
          <w:szCs w:val="26"/>
        </w:rPr>
      </w:pPr>
    </w:p>
    <w:p w14:paraId="1461FD3C" w14:textId="284E7D8C" w:rsidR="00ED121B" w:rsidRPr="00717E0A" w:rsidRDefault="00ED121B" w:rsidP="00ED121B">
      <w:pPr>
        <w:pStyle w:val="Zkladntextodsazen"/>
        <w:spacing w:after="240"/>
        <w:ind w:firstLine="0"/>
        <w:rPr>
          <w:rFonts w:asciiTheme="minorHAnsi" w:hAnsiTheme="minorHAnsi" w:cstheme="minorHAnsi"/>
          <w:b/>
          <w:bCs/>
          <w:i/>
          <w:sz w:val="26"/>
          <w:szCs w:val="26"/>
        </w:rPr>
      </w:pPr>
      <w:r w:rsidRPr="00717E0A">
        <w:rPr>
          <w:rFonts w:asciiTheme="minorHAnsi" w:hAnsiTheme="minorHAnsi" w:cstheme="minorHAnsi"/>
          <w:i/>
          <w:sz w:val="26"/>
          <w:szCs w:val="26"/>
        </w:rPr>
        <w:tab/>
      </w:r>
      <w:r w:rsidRPr="00717E0A">
        <w:rPr>
          <w:rFonts w:asciiTheme="minorHAnsi" w:hAnsiTheme="minorHAnsi" w:cstheme="minorHAnsi"/>
          <w:b/>
          <w:bCs/>
          <w:i/>
          <w:sz w:val="26"/>
          <w:szCs w:val="26"/>
        </w:rPr>
        <w:t>Makroekonomické zhodnocení</w:t>
      </w:r>
      <w:r w:rsidRPr="00717E0A">
        <w:rPr>
          <w:rFonts w:asciiTheme="minorHAnsi" w:hAnsiTheme="minorHAnsi" w:cstheme="minorHAnsi"/>
          <w:i/>
          <w:sz w:val="26"/>
          <w:szCs w:val="26"/>
        </w:rPr>
        <w:t xml:space="preserve"> vývoje spotřebitelských cen, peněžních příjmů, výdajů, bankovních vkladů a úspor (investicí) domácností </w:t>
      </w:r>
      <w:r w:rsidRPr="00717E0A">
        <w:rPr>
          <w:rFonts w:asciiTheme="minorHAnsi" w:hAnsiTheme="minorHAnsi" w:cstheme="minorHAnsi"/>
          <w:b/>
          <w:bCs/>
          <w:i/>
          <w:sz w:val="26"/>
          <w:szCs w:val="26"/>
        </w:rPr>
        <w:t>vychází z dat</w:t>
      </w:r>
      <w:r w:rsidRPr="00717E0A">
        <w:rPr>
          <w:rFonts w:asciiTheme="minorHAnsi" w:hAnsiTheme="minorHAnsi" w:cstheme="minorHAnsi"/>
          <w:i/>
          <w:sz w:val="26"/>
          <w:szCs w:val="26"/>
        </w:rPr>
        <w:t xml:space="preserve"> </w:t>
      </w:r>
      <w:r w:rsidRPr="00717E0A">
        <w:rPr>
          <w:rFonts w:asciiTheme="minorHAnsi" w:hAnsiTheme="minorHAnsi" w:cstheme="minorHAnsi"/>
          <w:b/>
          <w:bCs/>
          <w:i/>
          <w:sz w:val="26"/>
          <w:szCs w:val="26"/>
        </w:rPr>
        <w:t xml:space="preserve">Českého statistického úřadu </w:t>
      </w:r>
      <w:r w:rsidRPr="00717E0A">
        <w:rPr>
          <w:rFonts w:asciiTheme="minorHAnsi" w:hAnsiTheme="minorHAnsi" w:cstheme="minorHAnsi"/>
          <w:bCs/>
          <w:i/>
          <w:sz w:val="26"/>
          <w:szCs w:val="26"/>
        </w:rPr>
        <w:t>(dále ČSÚ),</w:t>
      </w:r>
      <w:r w:rsidRPr="00717E0A">
        <w:rPr>
          <w:rFonts w:asciiTheme="minorHAnsi" w:hAnsiTheme="minorHAnsi" w:cstheme="minorHAnsi"/>
          <w:b/>
          <w:bCs/>
          <w:i/>
          <w:sz w:val="26"/>
          <w:szCs w:val="26"/>
        </w:rPr>
        <w:t xml:space="preserve"> Informačního systému o průměrném výdělku </w:t>
      </w:r>
      <w:r w:rsidRPr="00717E0A">
        <w:rPr>
          <w:rFonts w:asciiTheme="minorHAnsi" w:hAnsiTheme="minorHAnsi" w:cstheme="minorHAnsi"/>
          <w:bCs/>
          <w:i/>
          <w:sz w:val="26"/>
          <w:szCs w:val="26"/>
        </w:rPr>
        <w:t xml:space="preserve">(dále </w:t>
      </w:r>
      <w:r w:rsidRPr="0080146E">
        <w:rPr>
          <w:rFonts w:asciiTheme="minorHAnsi" w:hAnsiTheme="minorHAnsi" w:cstheme="minorHAnsi"/>
          <w:bCs/>
          <w:i/>
          <w:sz w:val="26"/>
          <w:szCs w:val="26"/>
        </w:rPr>
        <w:t>ISPV),</w:t>
      </w:r>
      <w:r w:rsidRPr="0080146E">
        <w:rPr>
          <w:rFonts w:asciiTheme="minorHAnsi" w:hAnsiTheme="minorHAnsi" w:cstheme="minorHAnsi"/>
          <w:b/>
          <w:bCs/>
          <w:i/>
          <w:sz w:val="26"/>
          <w:szCs w:val="26"/>
        </w:rPr>
        <w:t xml:space="preserve"> České národní banky </w:t>
      </w:r>
      <w:r w:rsidRPr="0080146E">
        <w:rPr>
          <w:rFonts w:asciiTheme="minorHAnsi" w:hAnsiTheme="minorHAnsi" w:cstheme="minorHAnsi"/>
          <w:bCs/>
          <w:i/>
          <w:sz w:val="26"/>
          <w:szCs w:val="26"/>
        </w:rPr>
        <w:t>(dále ČNB),</w:t>
      </w:r>
      <w:r w:rsidRPr="0080146E">
        <w:rPr>
          <w:rFonts w:asciiTheme="minorHAnsi" w:hAnsiTheme="minorHAnsi" w:cstheme="minorHAnsi"/>
          <w:b/>
          <w:bCs/>
          <w:i/>
          <w:sz w:val="26"/>
          <w:szCs w:val="26"/>
        </w:rPr>
        <w:t xml:space="preserve"> Asociace pro kapitálový trh </w:t>
      </w:r>
      <w:r w:rsidRPr="0080146E">
        <w:rPr>
          <w:rFonts w:asciiTheme="minorHAnsi" w:hAnsiTheme="minorHAnsi" w:cstheme="minorHAnsi"/>
          <w:bCs/>
          <w:i/>
          <w:sz w:val="26"/>
          <w:szCs w:val="26"/>
        </w:rPr>
        <w:t>(dále AKAT)</w:t>
      </w:r>
      <w:r w:rsidR="00BA0CBC" w:rsidRPr="0080146E">
        <w:rPr>
          <w:rFonts w:asciiTheme="minorHAnsi" w:hAnsiTheme="minorHAnsi" w:cstheme="minorHAnsi"/>
          <w:bCs/>
          <w:i/>
          <w:sz w:val="26"/>
          <w:szCs w:val="26"/>
        </w:rPr>
        <w:t>,</w:t>
      </w:r>
      <w:r w:rsidRPr="0080146E">
        <w:rPr>
          <w:rFonts w:asciiTheme="minorHAnsi" w:hAnsiTheme="minorHAnsi" w:cstheme="minorHAnsi"/>
          <w:b/>
          <w:bCs/>
          <w:i/>
          <w:sz w:val="26"/>
          <w:szCs w:val="26"/>
        </w:rPr>
        <w:t xml:space="preserve"> České </w:t>
      </w:r>
      <w:r w:rsidRPr="00717E0A">
        <w:rPr>
          <w:rFonts w:asciiTheme="minorHAnsi" w:hAnsiTheme="minorHAnsi" w:cstheme="minorHAnsi"/>
          <w:b/>
          <w:bCs/>
          <w:i/>
          <w:sz w:val="26"/>
          <w:szCs w:val="26"/>
        </w:rPr>
        <w:t xml:space="preserve">leasingové a finanční asociace </w:t>
      </w:r>
      <w:r w:rsidRPr="00717E0A">
        <w:rPr>
          <w:rFonts w:asciiTheme="minorHAnsi" w:hAnsiTheme="minorHAnsi" w:cstheme="minorHAnsi"/>
          <w:bCs/>
          <w:i/>
          <w:sz w:val="26"/>
          <w:szCs w:val="26"/>
        </w:rPr>
        <w:t>(dále ČLFA),</w:t>
      </w:r>
      <w:r w:rsidRPr="00717E0A">
        <w:rPr>
          <w:rFonts w:asciiTheme="minorHAnsi" w:hAnsiTheme="minorHAnsi" w:cstheme="minorHAnsi"/>
          <w:i/>
          <w:sz w:val="26"/>
          <w:szCs w:val="26"/>
        </w:rPr>
        <w:t xml:space="preserve"> vlastní</w:t>
      </w:r>
      <w:r w:rsidRPr="00717E0A">
        <w:rPr>
          <w:rFonts w:asciiTheme="minorHAnsi" w:hAnsiTheme="minorHAnsi" w:cstheme="minorHAnsi"/>
          <w:sz w:val="26"/>
          <w:szCs w:val="26"/>
        </w:rPr>
        <w:t xml:space="preserve"> </w:t>
      </w:r>
      <w:r w:rsidRPr="00717E0A">
        <w:rPr>
          <w:rFonts w:asciiTheme="minorHAnsi" w:hAnsiTheme="minorHAnsi" w:cstheme="minorHAnsi"/>
          <w:b/>
          <w:bCs/>
          <w:i/>
          <w:sz w:val="26"/>
          <w:szCs w:val="26"/>
        </w:rPr>
        <w:t xml:space="preserve">databáze resortu práce a sociálních věcí </w:t>
      </w:r>
      <w:r w:rsidRPr="00717E0A">
        <w:rPr>
          <w:rFonts w:asciiTheme="minorHAnsi" w:hAnsiTheme="minorHAnsi" w:cstheme="minorHAnsi"/>
          <w:i/>
          <w:sz w:val="26"/>
          <w:szCs w:val="26"/>
        </w:rPr>
        <w:t>a</w:t>
      </w:r>
      <w:r w:rsidRPr="00717E0A">
        <w:rPr>
          <w:rFonts w:asciiTheme="minorHAnsi" w:hAnsiTheme="minorHAnsi" w:cstheme="minorHAnsi"/>
          <w:b/>
          <w:bCs/>
          <w:i/>
          <w:sz w:val="26"/>
          <w:szCs w:val="26"/>
        </w:rPr>
        <w:t xml:space="preserve"> České správy sociálního zabezpečení </w:t>
      </w:r>
      <w:r w:rsidRPr="00717E0A">
        <w:rPr>
          <w:rFonts w:asciiTheme="minorHAnsi" w:hAnsiTheme="minorHAnsi" w:cstheme="minorHAnsi"/>
          <w:bCs/>
          <w:i/>
          <w:sz w:val="26"/>
          <w:szCs w:val="26"/>
        </w:rPr>
        <w:t>(dále ČSSZ).</w:t>
      </w:r>
      <w:r w:rsidRPr="00717E0A">
        <w:rPr>
          <w:rFonts w:asciiTheme="minorHAnsi" w:hAnsiTheme="minorHAnsi" w:cstheme="minorHAnsi"/>
          <w:b/>
          <w:bCs/>
          <w:i/>
          <w:sz w:val="26"/>
          <w:szCs w:val="26"/>
        </w:rPr>
        <w:t xml:space="preserve"> </w:t>
      </w:r>
      <w:r w:rsidRPr="00717E0A">
        <w:rPr>
          <w:rFonts w:asciiTheme="minorHAnsi" w:hAnsiTheme="minorHAnsi" w:cstheme="minorHAnsi"/>
          <w:bCs/>
          <w:i/>
          <w:sz w:val="26"/>
          <w:szCs w:val="26"/>
        </w:rPr>
        <w:t xml:space="preserve">Využity byly také výsledky vlastních šetření </w:t>
      </w:r>
      <w:r w:rsidRPr="00717E0A">
        <w:rPr>
          <w:rFonts w:asciiTheme="minorHAnsi" w:hAnsiTheme="minorHAnsi" w:cstheme="minorHAnsi"/>
          <w:b/>
          <w:bCs/>
          <w:i/>
          <w:sz w:val="26"/>
          <w:szCs w:val="26"/>
        </w:rPr>
        <w:t xml:space="preserve">Ministerstva práce a sociálních věcí </w:t>
      </w:r>
      <w:r w:rsidRPr="00717E0A">
        <w:rPr>
          <w:rFonts w:asciiTheme="minorHAnsi" w:hAnsiTheme="minorHAnsi" w:cstheme="minorHAnsi"/>
          <w:bCs/>
          <w:i/>
          <w:sz w:val="26"/>
          <w:szCs w:val="26"/>
        </w:rPr>
        <w:t>(dále MPSV) a dalších institucí.</w:t>
      </w:r>
    </w:p>
    <w:p w14:paraId="0E3C994D" w14:textId="20FB9458" w:rsidR="00ED121B" w:rsidRDefault="00ED121B" w:rsidP="00ED121B">
      <w:pPr>
        <w:pStyle w:val="Zkladntextodsazen"/>
        <w:spacing w:after="240"/>
        <w:ind w:firstLine="0"/>
        <w:rPr>
          <w:rFonts w:asciiTheme="minorHAnsi" w:hAnsiTheme="minorHAnsi" w:cstheme="minorHAnsi"/>
          <w:b/>
          <w:bCs/>
          <w:i/>
          <w:sz w:val="26"/>
          <w:szCs w:val="26"/>
        </w:rPr>
      </w:pPr>
      <w:r w:rsidRPr="00717E0A">
        <w:rPr>
          <w:rFonts w:asciiTheme="minorHAnsi" w:hAnsiTheme="minorHAnsi" w:cstheme="minorHAnsi"/>
          <w:b/>
          <w:bCs/>
          <w:sz w:val="26"/>
          <w:szCs w:val="26"/>
        </w:rPr>
        <w:tab/>
      </w:r>
      <w:r w:rsidRPr="00717E0A">
        <w:rPr>
          <w:rFonts w:asciiTheme="minorHAnsi" w:hAnsiTheme="minorHAnsi" w:cstheme="minorHAnsi"/>
          <w:b/>
          <w:bCs/>
          <w:i/>
          <w:sz w:val="26"/>
          <w:szCs w:val="26"/>
        </w:rPr>
        <w:t xml:space="preserve">Od ČSÚ byla převzata rovněž data o hrubém domácím produktu </w:t>
      </w:r>
      <w:r w:rsidRPr="00717E0A">
        <w:rPr>
          <w:rFonts w:asciiTheme="minorHAnsi" w:hAnsiTheme="minorHAnsi" w:cstheme="minorHAnsi"/>
          <w:bCs/>
          <w:i/>
          <w:sz w:val="26"/>
          <w:szCs w:val="26"/>
        </w:rPr>
        <w:t>(HDP je uváděn s očištěním o nestejný počet pracovních dní)</w:t>
      </w:r>
      <w:r w:rsidRPr="00717E0A">
        <w:rPr>
          <w:rFonts w:asciiTheme="minorHAnsi" w:hAnsiTheme="minorHAnsi" w:cstheme="minorHAnsi"/>
          <w:b/>
          <w:bCs/>
          <w:i/>
          <w:sz w:val="26"/>
          <w:szCs w:val="26"/>
        </w:rPr>
        <w:t xml:space="preserve"> a úhrnné produktivitě práce.</w:t>
      </w:r>
    </w:p>
    <w:p w14:paraId="45D1E2C8" w14:textId="5260E67C" w:rsidR="00ED121B" w:rsidRPr="00717E0A" w:rsidRDefault="00573435" w:rsidP="00573435">
      <w:pPr>
        <w:pStyle w:val="Zkladntextodsazen"/>
        <w:spacing w:after="240"/>
        <w:ind w:firstLine="0"/>
        <w:rPr>
          <w:rFonts w:ascii="Calibri" w:eastAsia="Calibri" w:hAnsi="Calibri" w:cs="Calibri"/>
          <w:i/>
          <w:iCs/>
          <w:sz w:val="26"/>
          <w:szCs w:val="26"/>
        </w:rPr>
      </w:pPr>
      <w:r>
        <w:rPr>
          <w:rFonts w:asciiTheme="minorHAnsi" w:hAnsiTheme="minorHAnsi" w:cstheme="minorHAnsi"/>
          <w:b/>
          <w:bCs/>
          <w:i/>
          <w:sz w:val="26"/>
          <w:szCs w:val="26"/>
        </w:rPr>
        <w:tab/>
      </w:r>
      <w:r w:rsidR="00ED121B" w:rsidRPr="00902F42">
        <w:rPr>
          <w:rFonts w:ascii="Calibri" w:eastAsia="Calibri" w:hAnsi="Calibri" w:cs="Calibri"/>
          <w:b/>
          <w:bCs/>
          <w:i/>
          <w:iCs/>
          <w:sz w:val="26"/>
          <w:szCs w:val="26"/>
        </w:rPr>
        <w:t>Analýza mzdového vývoje</w:t>
      </w:r>
      <w:r w:rsidR="00ED121B" w:rsidRPr="00902F42">
        <w:rPr>
          <w:rFonts w:ascii="Calibri" w:eastAsia="Calibri" w:hAnsi="Calibri" w:cs="Calibri"/>
          <w:i/>
          <w:iCs/>
          <w:sz w:val="26"/>
          <w:szCs w:val="26"/>
        </w:rPr>
        <w:t xml:space="preserve"> </w:t>
      </w:r>
      <w:r w:rsidR="00ED121B" w:rsidRPr="00902F42">
        <w:rPr>
          <w:rFonts w:ascii="Calibri" w:eastAsia="Calibri" w:hAnsi="Calibri" w:cs="Calibri"/>
          <w:b/>
          <w:bCs/>
          <w:i/>
          <w:iCs/>
          <w:sz w:val="26"/>
          <w:szCs w:val="26"/>
        </w:rPr>
        <w:t>byla</w:t>
      </w:r>
      <w:r w:rsidR="00ED121B" w:rsidRPr="00902F42">
        <w:rPr>
          <w:rFonts w:ascii="Calibri" w:eastAsia="Calibri" w:hAnsi="Calibri" w:cs="Calibri"/>
          <w:i/>
          <w:iCs/>
          <w:sz w:val="26"/>
          <w:szCs w:val="26"/>
        </w:rPr>
        <w:t xml:space="preserve"> do úrovně firem </w:t>
      </w:r>
      <w:r w:rsidR="00ED121B" w:rsidRPr="00902F42">
        <w:rPr>
          <w:rFonts w:ascii="Calibri" w:eastAsia="Calibri" w:hAnsi="Calibri" w:cs="Calibri"/>
          <w:b/>
          <w:bCs/>
          <w:i/>
          <w:iCs/>
          <w:sz w:val="26"/>
          <w:szCs w:val="26"/>
        </w:rPr>
        <w:t>zpracována na základě údajů ČSÚ.</w:t>
      </w:r>
      <w:r w:rsidR="00ED121B" w:rsidRPr="00902F42">
        <w:rPr>
          <w:rFonts w:ascii="Calibri" w:eastAsia="Calibri" w:hAnsi="Calibri" w:cs="Calibri"/>
          <w:i/>
          <w:iCs/>
          <w:sz w:val="26"/>
          <w:szCs w:val="26"/>
        </w:rPr>
        <w:t xml:space="preserve"> Průměrná mzda byla vykazována na přepočtené počty zaměstnanců (zohledňující délku pracovního úvazku) v</w:t>
      </w:r>
      <w:r w:rsidR="00ED121B">
        <w:rPr>
          <w:rFonts w:ascii="Calibri" w:eastAsia="Calibri" w:hAnsi="Calibri" w:cs="Calibri"/>
          <w:i/>
          <w:iCs/>
          <w:sz w:val="26"/>
          <w:szCs w:val="26"/>
        </w:rPr>
        <w:t xml:space="preserve"> </w:t>
      </w:r>
      <w:r w:rsidR="00ED121B" w:rsidRPr="00902F42">
        <w:rPr>
          <w:rFonts w:ascii="Calibri" w:eastAsia="Calibri" w:hAnsi="Calibri" w:cs="Calibri"/>
          <w:i/>
          <w:iCs/>
          <w:sz w:val="26"/>
          <w:szCs w:val="26"/>
        </w:rPr>
        <w:t>celém národním hospodářství. Při</w:t>
      </w:r>
      <w:r w:rsidR="00ED121B">
        <w:rPr>
          <w:rFonts w:ascii="Calibri" w:eastAsia="Calibri" w:hAnsi="Calibri" w:cs="Calibri"/>
          <w:i/>
          <w:iCs/>
          <w:sz w:val="26"/>
          <w:szCs w:val="26"/>
        </w:rPr>
        <w:t xml:space="preserve"> </w:t>
      </w:r>
      <w:r w:rsidR="00ED121B" w:rsidRPr="00902F42">
        <w:rPr>
          <w:rFonts w:ascii="Calibri" w:eastAsia="Calibri" w:hAnsi="Calibri" w:cs="Calibri"/>
          <w:i/>
          <w:iCs/>
          <w:sz w:val="26"/>
          <w:szCs w:val="26"/>
        </w:rPr>
        <w:t xml:space="preserve">zpracování dat o průměrných mzdách byly ČSÚ uplatněny metody odhadů </w:t>
      </w:r>
      <w:proofErr w:type="spellStart"/>
      <w:r w:rsidR="00ED121B" w:rsidRPr="00902F42">
        <w:rPr>
          <w:rFonts w:ascii="Calibri" w:eastAsia="Calibri" w:hAnsi="Calibri" w:cs="Calibri"/>
          <w:i/>
          <w:iCs/>
          <w:sz w:val="26"/>
          <w:szCs w:val="26"/>
        </w:rPr>
        <w:t>nonresponse</w:t>
      </w:r>
      <w:proofErr w:type="spellEnd"/>
      <w:r w:rsidR="00ED121B" w:rsidRPr="00902F42">
        <w:rPr>
          <w:rFonts w:ascii="Calibri" w:eastAsia="Calibri" w:hAnsi="Calibri" w:cs="Calibri"/>
          <w:i/>
          <w:iCs/>
          <w:sz w:val="26"/>
          <w:szCs w:val="26"/>
        </w:rPr>
        <w:t xml:space="preserve"> a </w:t>
      </w:r>
      <w:proofErr w:type="spellStart"/>
      <w:r w:rsidR="00ED121B" w:rsidRPr="00902F42">
        <w:rPr>
          <w:rFonts w:ascii="Calibri" w:eastAsia="Calibri" w:hAnsi="Calibri" w:cs="Calibri"/>
          <w:i/>
          <w:iCs/>
          <w:sz w:val="26"/>
          <w:szCs w:val="26"/>
        </w:rPr>
        <w:t>doodhady</w:t>
      </w:r>
      <w:proofErr w:type="spellEnd"/>
      <w:r w:rsidR="00ED121B" w:rsidRPr="00902F42">
        <w:rPr>
          <w:rFonts w:ascii="Calibri" w:eastAsia="Calibri" w:hAnsi="Calibri" w:cs="Calibri"/>
          <w:i/>
          <w:iCs/>
          <w:sz w:val="26"/>
          <w:szCs w:val="26"/>
        </w:rPr>
        <w:t xml:space="preserve"> za</w:t>
      </w:r>
      <w:r w:rsidR="00ED121B">
        <w:rPr>
          <w:rFonts w:ascii="Calibri" w:eastAsia="Calibri" w:hAnsi="Calibri" w:cs="Calibri"/>
          <w:i/>
          <w:iCs/>
          <w:sz w:val="26"/>
          <w:szCs w:val="26"/>
        </w:rPr>
        <w:t> </w:t>
      </w:r>
      <w:r w:rsidR="00ED121B" w:rsidRPr="00902F42">
        <w:rPr>
          <w:rFonts w:ascii="Calibri" w:eastAsia="Calibri" w:hAnsi="Calibri" w:cs="Calibri"/>
          <w:i/>
          <w:iCs/>
          <w:sz w:val="26"/>
          <w:szCs w:val="26"/>
        </w:rPr>
        <w:t>nešetřenou část populace, které vycháze</w:t>
      </w:r>
      <w:r w:rsidR="00ED121B">
        <w:rPr>
          <w:rFonts w:ascii="Calibri" w:eastAsia="Calibri" w:hAnsi="Calibri" w:cs="Calibri"/>
          <w:i/>
          <w:iCs/>
          <w:sz w:val="26"/>
          <w:szCs w:val="26"/>
        </w:rPr>
        <w:t>ly</w:t>
      </w:r>
      <w:r w:rsidR="00ED121B" w:rsidRPr="00902F42">
        <w:rPr>
          <w:rFonts w:ascii="Calibri" w:eastAsia="Calibri" w:hAnsi="Calibri" w:cs="Calibri"/>
          <w:i/>
          <w:iCs/>
          <w:sz w:val="26"/>
          <w:szCs w:val="26"/>
        </w:rPr>
        <w:t xml:space="preserve"> z</w:t>
      </w:r>
      <w:r w:rsidR="00ED121B">
        <w:rPr>
          <w:rFonts w:ascii="Calibri" w:eastAsia="Calibri" w:hAnsi="Calibri" w:cs="Calibri"/>
          <w:i/>
          <w:iCs/>
          <w:sz w:val="26"/>
          <w:szCs w:val="26"/>
        </w:rPr>
        <w:t xml:space="preserve"> </w:t>
      </w:r>
      <w:r w:rsidR="00ED121B" w:rsidRPr="00902F42">
        <w:rPr>
          <w:rFonts w:ascii="Calibri" w:eastAsia="Calibri" w:hAnsi="Calibri" w:cs="Calibri"/>
          <w:i/>
          <w:iCs/>
          <w:sz w:val="26"/>
          <w:szCs w:val="26"/>
        </w:rPr>
        <w:t>administrativních zdrojů dat. Data za</w:t>
      </w:r>
      <w:r w:rsidR="00ED121B">
        <w:rPr>
          <w:rFonts w:ascii="Calibri" w:eastAsia="Calibri" w:hAnsi="Calibri" w:cs="Calibri"/>
          <w:i/>
          <w:iCs/>
          <w:sz w:val="26"/>
          <w:szCs w:val="26"/>
        </w:rPr>
        <w:t> </w:t>
      </w:r>
      <w:r w:rsidR="00ED121B" w:rsidRPr="00902F42">
        <w:rPr>
          <w:rFonts w:ascii="Calibri" w:eastAsia="Calibri" w:hAnsi="Calibri" w:cs="Calibri"/>
          <w:i/>
          <w:iCs/>
          <w:sz w:val="26"/>
          <w:szCs w:val="26"/>
        </w:rPr>
        <w:t xml:space="preserve">jednotlivé regiony byla získána tzv. </w:t>
      </w:r>
      <w:proofErr w:type="spellStart"/>
      <w:r w:rsidR="00ED121B" w:rsidRPr="00902F42">
        <w:rPr>
          <w:rFonts w:ascii="Calibri" w:eastAsia="Calibri" w:hAnsi="Calibri" w:cs="Calibri"/>
          <w:i/>
          <w:iCs/>
          <w:sz w:val="26"/>
          <w:szCs w:val="26"/>
        </w:rPr>
        <w:t>pracovištní</w:t>
      </w:r>
      <w:proofErr w:type="spellEnd"/>
      <w:r w:rsidR="00ED121B" w:rsidRPr="00902F42">
        <w:rPr>
          <w:rFonts w:ascii="Calibri" w:eastAsia="Calibri" w:hAnsi="Calibri" w:cs="Calibri"/>
          <w:i/>
          <w:iCs/>
          <w:sz w:val="26"/>
          <w:szCs w:val="26"/>
        </w:rPr>
        <w:t xml:space="preserve"> metodou – tj. podle místa skutečného pracoviště zaměstnanců. </w:t>
      </w:r>
      <w:r w:rsidR="00ED121B" w:rsidRPr="00902F42">
        <w:rPr>
          <w:rFonts w:ascii="Calibri" w:eastAsia="Calibri" w:hAnsi="Calibri" w:cs="Calibri"/>
          <w:b/>
          <w:bCs/>
          <w:i/>
          <w:iCs/>
          <w:sz w:val="26"/>
          <w:szCs w:val="26"/>
        </w:rPr>
        <w:t>Rozbor pohybu výdělků jednotlivých zaměstnanců umožnila data Informačního systému o</w:t>
      </w:r>
      <w:r w:rsidR="00ED121B">
        <w:rPr>
          <w:rFonts w:ascii="Calibri" w:eastAsia="Calibri" w:hAnsi="Calibri" w:cs="Calibri"/>
          <w:b/>
          <w:bCs/>
          <w:i/>
          <w:iCs/>
          <w:sz w:val="26"/>
          <w:szCs w:val="26"/>
        </w:rPr>
        <w:t xml:space="preserve"> </w:t>
      </w:r>
      <w:r w:rsidR="00ED121B" w:rsidRPr="00902F42">
        <w:rPr>
          <w:rFonts w:ascii="Calibri" w:eastAsia="Calibri" w:hAnsi="Calibri" w:cs="Calibri"/>
          <w:b/>
          <w:bCs/>
          <w:i/>
          <w:iCs/>
          <w:sz w:val="26"/>
          <w:szCs w:val="26"/>
        </w:rPr>
        <w:t>průměrném výdělku za 1. pololetí 202</w:t>
      </w:r>
      <w:r w:rsidR="00ED121B">
        <w:rPr>
          <w:rFonts w:ascii="Calibri" w:eastAsia="Calibri" w:hAnsi="Calibri" w:cs="Calibri"/>
          <w:b/>
          <w:bCs/>
          <w:i/>
          <w:iCs/>
          <w:sz w:val="26"/>
          <w:szCs w:val="26"/>
        </w:rPr>
        <w:t>2</w:t>
      </w:r>
      <w:r w:rsidR="00ED121B" w:rsidRPr="00902F42">
        <w:rPr>
          <w:rFonts w:ascii="Calibri" w:eastAsia="Calibri" w:hAnsi="Calibri" w:cs="Calibri"/>
          <w:i/>
          <w:iCs/>
          <w:sz w:val="26"/>
          <w:szCs w:val="26"/>
        </w:rPr>
        <w:t xml:space="preserve"> (pokrývající 21</w:t>
      </w:r>
      <w:r w:rsidR="00ED121B">
        <w:rPr>
          <w:rFonts w:ascii="Calibri" w:eastAsia="Calibri" w:hAnsi="Calibri" w:cs="Calibri"/>
          <w:i/>
          <w:iCs/>
          <w:sz w:val="26"/>
          <w:szCs w:val="26"/>
        </w:rPr>
        <w:t> </w:t>
      </w:r>
      <w:r w:rsidR="00ED121B" w:rsidRPr="00902F42">
        <w:rPr>
          <w:rFonts w:ascii="Calibri" w:eastAsia="Calibri" w:hAnsi="Calibri" w:cs="Calibri"/>
          <w:i/>
          <w:iCs/>
          <w:sz w:val="26"/>
          <w:szCs w:val="26"/>
        </w:rPr>
        <w:t>2</w:t>
      </w:r>
      <w:r w:rsidR="00ED121B">
        <w:rPr>
          <w:rFonts w:ascii="Calibri" w:eastAsia="Calibri" w:hAnsi="Calibri" w:cs="Calibri"/>
          <w:i/>
          <w:iCs/>
          <w:sz w:val="26"/>
          <w:szCs w:val="26"/>
        </w:rPr>
        <w:t>82 </w:t>
      </w:r>
      <w:r w:rsidR="00ED121B" w:rsidRPr="00902F42">
        <w:rPr>
          <w:rFonts w:ascii="Calibri" w:eastAsia="Calibri" w:hAnsi="Calibri" w:cs="Calibri"/>
          <w:i/>
          <w:iCs/>
          <w:sz w:val="26"/>
          <w:szCs w:val="26"/>
        </w:rPr>
        <w:t xml:space="preserve">ekonomických subjektů </w:t>
      </w:r>
      <w:r w:rsidR="00ED121B">
        <w:rPr>
          <w:rFonts w:ascii="Calibri" w:eastAsia="Calibri" w:hAnsi="Calibri" w:cs="Calibri"/>
          <w:i/>
          <w:iCs/>
          <w:sz w:val="26"/>
          <w:szCs w:val="26"/>
        </w:rPr>
        <w:t>představu</w:t>
      </w:r>
      <w:r w:rsidR="00ED121B" w:rsidRPr="00902F42">
        <w:rPr>
          <w:rFonts w:ascii="Calibri" w:eastAsia="Calibri" w:hAnsi="Calibri" w:cs="Calibri"/>
          <w:i/>
          <w:iCs/>
          <w:sz w:val="26"/>
          <w:szCs w:val="26"/>
        </w:rPr>
        <w:t>jících 2 2</w:t>
      </w:r>
      <w:r w:rsidR="00ED121B">
        <w:rPr>
          <w:rFonts w:ascii="Calibri" w:eastAsia="Calibri" w:hAnsi="Calibri" w:cs="Calibri"/>
          <w:i/>
          <w:iCs/>
          <w:sz w:val="26"/>
          <w:szCs w:val="26"/>
        </w:rPr>
        <w:t>8</w:t>
      </w:r>
      <w:r w:rsidR="00ED121B" w:rsidRPr="00902F42">
        <w:rPr>
          <w:rFonts w:ascii="Calibri" w:eastAsia="Calibri" w:hAnsi="Calibri" w:cs="Calibri"/>
          <w:i/>
          <w:iCs/>
          <w:sz w:val="26"/>
          <w:szCs w:val="26"/>
        </w:rPr>
        <w:t xml:space="preserve">9 tis. </w:t>
      </w:r>
      <w:r w:rsidR="00ED121B">
        <w:rPr>
          <w:rFonts w:ascii="Calibri" w:eastAsia="Calibri" w:hAnsi="Calibri" w:cs="Calibri"/>
          <w:i/>
          <w:iCs/>
          <w:sz w:val="26"/>
          <w:szCs w:val="26"/>
        </w:rPr>
        <w:t>pracovních úvazků</w:t>
      </w:r>
      <w:r w:rsidR="00ED121B" w:rsidRPr="00902F42">
        <w:rPr>
          <w:rFonts w:ascii="Calibri" w:eastAsia="Calibri" w:hAnsi="Calibri" w:cs="Calibri"/>
          <w:i/>
          <w:iCs/>
          <w:sz w:val="26"/>
          <w:szCs w:val="26"/>
        </w:rPr>
        <w:t>) v gesci MPSV.</w:t>
      </w:r>
    </w:p>
    <w:p w14:paraId="1FF5FB42" w14:textId="79C77480" w:rsidR="00ED121B" w:rsidRPr="00717E0A" w:rsidRDefault="00ED121B" w:rsidP="00ED121B">
      <w:pPr>
        <w:spacing w:after="240" w:line="360" w:lineRule="auto"/>
        <w:jc w:val="both"/>
        <w:rPr>
          <w:rFonts w:asciiTheme="minorHAnsi" w:hAnsiTheme="minorHAnsi" w:cstheme="minorHAnsi"/>
          <w:bCs/>
          <w:i/>
          <w:sz w:val="26"/>
          <w:szCs w:val="26"/>
        </w:rPr>
      </w:pPr>
      <w:r w:rsidRPr="00717E0A">
        <w:rPr>
          <w:rFonts w:asciiTheme="minorHAnsi" w:hAnsiTheme="minorHAnsi" w:cstheme="minorHAnsi"/>
          <w:i/>
          <w:sz w:val="26"/>
          <w:szCs w:val="26"/>
        </w:rPr>
        <w:tab/>
      </w:r>
      <w:r w:rsidRPr="00717E0A">
        <w:rPr>
          <w:rFonts w:asciiTheme="minorHAnsi" w:hAnsiTheme="minorHAnsi" w:cstheme="minorHAnsi"/>
          <w:bCs/>
          <w:i/>
          <w:sz w:val="26"/>
          <w:szCs w:val="26"/>
        </w:rPr>
        <w:t>Při propočtech možného vývoje hlavních makroekonomických veličin (v části „C“) byly použity metody extrapolace již probíhajícího (resp. opakujícího se) trendu – např.</w:t>
      </w:r>
      <w:r w:rsidR="00573435">
        <w:rPr>
          <w:rFonts w:asciiTheme="minorHAnsi" w:hAnsiTheme="minorHAnsi" w:cstheme="minorHAnsi"/>
          <w:bCs/>
          <w:i/>
          <w:sz w:val="26"/>
          <w:szCs w:val="26"/>
        </w:rPr>
        <w:t xml:space="preserve"> </w:t>
      </w:r>
      <w:r w:rsidRPr="00717E0A">
        <w:rPr>
          <w:rFonts w:asciiTheme="minorHAnsi" w:hAnsiTheme="minorHAnsi" w:cstheme="minorHAnsi"/>
          <w:bCs/>
          <w:i/>
          <w:sz w:val="26"/>
          <w:szCs w:val="26"/>
        </w:rPr>
        <w:t>tržní spotřebitelské ceny, popř. regresní analýza (HDP, podpory v nezaměstnanosti apod.).</w:t>
      </w:r>
    </w:p>
    <w:p w14:paraId="47757C0D" w14:textId="77777777" w:rsidR="00ED121B" w:rsidRPr="00717E0A" w:rsidRDefault="00ED121B" w:rsidP="00ED121B">
      <w:pPr>
        <w:spacing w:after="240" w:line="360" w:lineRule="auto"/>
        <w:jc w:val="both"/>
        <w:rPr>
          <w:rFonts w:asciiTheme="minorHAnsi" w:hAnsiTheme="minorHAnsi" w:cstheme="minorHAnsi"/>
          <w:b/>
          <w:sz w:val="26"/>
          <w:szCs w:val="26"/>
        </w:rPr>
      </w:pPr>
      <w:r w:rsidRPr="00717E0A">
        <w:rPr>
          <w:rFonts w:asciiTheme="minorHAnsi" w:hAnsiTheme="minorHAnsi" w:cstheme="minorHAnsi"/>
          <w:bCs/>
          <w:i/>
          <w:sz w:val="26"/>
          <w:szCs w:val="26"/>
        </w:rPr>
        <w:lastRenderedPageBreak/>
        <w:tab/>
      </w:r>
      <w:r w:rsidRPr="00717E0A">
        <w:rPr>
          <w:rFonts w:asciiTheme="minorHAnsi" w:hAnsiTheme="minorHAnsi" w:cstheme="minorHAnsi"/>
          <w:b/>
          <w:bCs/>
          <w:i/>
          <w:sz w:val="26"/>
          <w:szCs w:val="26"/>
        </w:rPr>
        <w:t>S výjimkou použitých údajů z vlastní databáze MPSV, dat ČSÚ o vývoji spotřebitelských cen a životních nákladů, přehledů ČNB (bankovní vklady a úvěry) a údajů z Informačního systému o průměrném výdělku je nutno všechna ostatní uváděná data považovat za předběžná.</w:t>
      </w:r>
      <w:r w:rsidRPr="00717E0A">
        <w:rPr>
          <w:rFonts w:asciiTheme="minorHAnsi" w:hAnsiTheme="minorHAnsi" w:cstheme="minorHAnsi"/>
          <w:i/>
          <w:sz w:val="26"/>
          <w:szCs w:val="26"/>
        </w:rPr>
        <w:t xml:space="preserve"> </w:t>
      </w:r>
      <w:r w:rsidRPr="00717E0A">
        <w:rPr>
          <w:rFonts w:asciiTheme="minorHAnsi" w:hAnsiTheme="minorHAnsi" w:cstheme="minorHAnsi"/>
          <w:b/>
          <w:i/>
          <w:sz w:val="26"/>
          <w:szCs w:val="26"/>
        </w:rPr>
        <w:t>Jejich dodatečné zpřesnění však podle ověřených předpokladů nezmění základní tendence charakterizované v materiálu</w:t>
      </w:r>
      <w:r w:rsidRPr="00717E0A">
        <w:rPr>
          <w:rFonts w:asciiTheme="minorHAnsi" w:hAnsiTheme="minorHAnsi" w:cstheme="minorHAnsi"/>
          <w:b/>
          <w:sz w:val="26"/>
          <w:szCs w:val="26"/>
        </w:rPr>
        <w:t>.</w:t>
      </w:r>
    </w:p>
    <w:p w14:paraId="0124CA08" w14:textId="77777777" w:rsidR="00ED121B" w:rsidRPr="00717E0A" w:rsidRDefault="00ED121B" w:rsidP="00ED121B">
      <w:pPr>
        <w:pStyle w:val="Zkladntext"/>
        <w:spacing w:after="240"/>
        <w:rPr>
          <w:rFonts w:asciiTheme="minorHAnsi" w:hAnsiTheme="minorHAnsi" w:cstheme="minorHAnsi"/>
          <w:sz w:val="26"/>
          <w:szCs w:val="26"/>
        </w:rPr>
      </w:pPr>
      <w:r w:rsidRPr="00717E0A">
        <w:rPr>
          <w:rFonts w:asciiTheme="minorHAnsi" w:hAnsiTheme="minorHAnsi" w:cstheme="minorHAnsi"/>
          <w:b/>
          <w:sz w:val="26"/>
          <w:szCs w:val="26"/>
        </w:rPr>
        <w:tab/>
      </w:r>
      <w:r w:rsidRPr="00717E0A">
        <w:rPr>
          <w:rFonts w:asciiTheme="minorHAnsi" w:hAnsiTheme="minorHAnsi" w:cstheme="minorHAnsi"/>
          <w:sz w:val="26"/>
          <w:szCs w:val="26"/>
        </w:rPr>
        <w:t>Zhodnocení dalšího vývoje příjmové a výdajové situace domácností bude předmětem zprávy za 1. – 3. čtvrtletí 2022, která bude zveřejněna koncem ledna 2023.</w:t>
      </w:r>
    </w:p>
    <w:p w14:paraId="7B673712" w14:textId="77777777" w:rsidR="00ED121B" w:rsidRPr="00BF0B29" w:rsidRDefault="00ED121B" w:rsidP="00ED121B">
      <w:pPr>
        <w:tabs>
          <w:tab w:val="left" w:pos="284"/>
          <w:tab w:val="left" w:pos="567"/>
          <w:tab w:val="left" w:pos="851"/>
          <w:tab w:val="decimal" w:leader="dot" w:pos="8222"/>
        </w:tabs>
        <w:spacing w:after="240" w:line="360" w:lineRule="auto"/>
        <w:jc w:val="both"/>
        <w:rPr>
          <w:rFonts w:asciiTheme="minorHAnsi" w:hAnsiTheme="minorHAnsi" w:cstheme="minorHAnsi"/>
          <w:i/>
          <w:iCs/>
          <w:sz w:val="26"/>
          <w:szCs w:val="26"/>
          <w:u w:val="single"/>
        </w:rPr>
      </w:pPr>
    </w:p>
    <w:p w14:paraId="41B8A726" w14:textId="77777777" w:rsidR="00ED121B" w:rsidRPr="00BF0B29" w:rsidRDefault="00ED121B" w:rsidP="00ED121B">
      <w:pPr>
        <w:tabs>
          <w:tab w:val="left" w:pos="284"/>
          <w:tab w:val="left" w:pos="567"/>
          <w:tab w:val="left" w:pos="851"/>
          <w:tab w:val="decimal" w:leader="dot" w:pos="8222"/>
        </w:tabs>
        <w:spacing w:after="240" w:line="360" w:lineRule="auto"/>
        <w:jc w:val="both"/>
        <w:rPr>
          <w:rFonts w:asciiTheme="minorHAnsi" w:hAnsiTheme="minorHAnsi" w:cstheme="minorHAnsi"/>
          <w:i/>
          <w:iCs/>
          <w:sz w:val="26"/>
          <w:szCs w:val="26"/>
          <w:u w:val="single"/>
        </w:rPr>
      </w:pPr>
    </w:p>
    <w:p w14:paraId="63F13AB0" w14:textId="77777777" w:rsidR="00ED121B" w:rsidRDefault="00ED121B" w:rsidP="00ED121B">
      <w:pPr>
        <w:rPr>
          <w:rFonts w:asciiTheme="minorHAnsi" w:hAnsiTheme="minorHAnsi" w:cs="Arial"/>
          <w:i/>
          <w:iCs/>
          <w:sz w:val="25"/>
          <w:szCs w:val="25"/>
          <w:u w:val="single"/>
        </w:rPr>
      </w:pPr>
      <w:r w:rsidRPr="00DE6BBE">
        <w:rPr>
          <w:rFonts w:asciiTheme="minorHAnsi" w:hAnsiTheme="minorHAnsi" w:cs="Arial"/>
          <w:i/>
          <w:iCs/>
          <w:sz w:val="25"/>
          <w:szCs w:val="25"/>
          <w:u w:val="single"/>
        </w:rPr>
        <w:t>Analýza obsahuje údaje platné k 1</w:t>
      </w:r>
      <w:r>
        <w:rPr>
          <w:rFonts w:asciiTheme="minorHAnsi" w:hAnsiTheme="minorHAnsi" w:cs="Arial"/>
          <w:i/>
          <w:iCs/>
          <w:sz w:val="25"/>
          <w:szCs w:val="25"/>
          <w:u w:val="single"/>
        </w:rPr>
        <w:t>4</w:t>
      </w:r>
      <w:r w:rsidRPr="00DE6BBE">
        <w:rPr>
          <w:rFonts w:asciiTheme="minorHAnsi" w:hAnsiTheme="minorHAnsi" w:cs="Arial"/>
          <w:i/>
          <w:iCs/>
          <w:sz w:val="25"/>
          <w:szCs w:val="25"/>
          <w:u w:val="single"/>
        </w:rPr>
        <w:t>. </w:t>
      </w:r>
      <w:r>
        <w:rPr>
          <w:rFonts w:asciiTheme="minorHAnsi" w:hAnsiTheme="minorHAnsi" w:cs="Arial"/>
          <w:i/>
          <w:iCs/>
          <w:sz w:val="25"/>
          <w:szCs w:val="25"/>
          <w:u w:val="single"/>
        </w:rPr>
        <w:t>říjnu</w:t>
      </w:r>
      <w:r w:rsidRPr="00DE6BBE">
        <w:rPr>
          <w:rFonts w:asciiTheme="minorHAnsi" w:hAnsiTheme="minorHAnsi" w:cs="Arial"/>
          <w:i/>
          <w:iCs/>
          <w:sz w:val="25"/>
          <w:szCs w:val="25"/>
          <w:u w:val="single"/>
        </w:rPr>
        <w:t xml:space="preserve"> 202</w:t>
      </w:r>
      <w:r>
        <w:rPr>
          <w:rFonts w:asciiTheme="minorHAnsi" w:hAnsiTheme="minorHAnsi" w:cs="Arial"/>
          <w:i/>
          <w:iCs/>
          <w:sz w:val="25"/>
          <w:szCs w:val="25"/>
          <w:u w:val="single"/>
        </w:rPr>
        <w:t>2</w:t>
      </w:r>
    </w:p>
    <w:p w14:paraId="386562A1" w14:textId="77777777" w:rsidR="00ED121B" w:rsidRPr="002F23BA" w:rsidRDefault="00ED121B" w:rsidP="00ED121B">
      <w:r w:rsidRPr="004471FB">
        <w:rPr>
          <w:color w:val="FF0000"/>
        </w:rPr>
        <w:br w:type="page"/>
      </w:r>
    </w:p>
    <w:p w14:paraId="24859B86" w14:textId="77777777" w:rsidR="00ED121B" w:rsidRPr="0064095B" w:rsidRDefault="00ED121B" w:rsidP="00ED121B">
      <w:pPr>
        <w:pStyle w:val="Nadpis1"/>
        <w:numPr>
          <w:ilvl w:val="0"/>
          <w:numId w:val="3"/>
        </w:numPr>
        <w:spacing w:line="240" w:lineRule="auto"/>
        <w:ind w:left="360" w:hanging="360"/>
        <w:rPr>
          <w:rFonts w:asciiTheme="minorHAnsi" w:hAnsiTheme="minorHAnsi"/>
          <w:smallCaps/>
          <w:color w:val="1F497D"/>
          <w:sz w:val="44"/>
        </w:rPr>
      </w:pPr>
      <w:r>
        <w:rPr>
          <w:rFonts w:asciiTheme="minorHAnsi" w:hAnsiTheme="minorHAnsi"/>
          <w:smallCaps/>
          <w:color w:val="1F497D"/>
          <w:sz w:val="44"/>
        </w:rPr>
        <w:lastRenderedPageBreak/>
        <w:t xml:space="preserve"> </w:t>
      </w:r>
      <w:r w:rsidRPr="0064095B">
        <w:rPr>
          <w:rFonts w:asciiTheme="minorHAnsi" w:hAnsiTheme="minorHAnsi"/>
          <w:smallCaps/>
          <w:color w:val="1F497D"/>
          <w:sz w:val="44"/>
        </w:rPr>
        <w:t>Základní charakteristika příjmové a výdajové situace domácností v 1. pololetí 202</w:t>
      </w:r>
      <w:r>
        <w:rPr>
          <w:rFonts w:asciiTheme="minorHAnsi" w:hAnsiTheme="minorHAnsi"/>
          <w:smallCaps/>
          <w:color w:val="1F497D"/>
          <w:sz w:val="44"/>
        </w:rPr>
        <w:t>2</w:t>
      </w:r>
    </w:p>
    <w:p w14:paraId="34AC1FC6" w14:textId="77777777" w:rsidR="00ED121B" w:rsidRPr="005D3FEA" w:rsidRDefault="00ED121B" w:rsidP="00ED121B">
      <w:pPr>
        <w:spacing w:line="360" w:lineRule="auto"/>
        <w:rPr>
          <w:rFonts w:asciiTheme="minorHAnsi" w:hAnsiTheme="minorHAnsi"/>
          <w:b/>
          <w:bCs/>
          <w:i/>
          <w:iCs/>
          <w:sz w:val="32"/>
        </w:rPr>
      </w:pPr>
    </w:p>
    <w:p w14:paraId="4A4BBC55" w14:textId="18DDA224" w:rsidR="00ED121B" w:rsidRPr="008A2647" w:rsidRDefault="00ED121B" w:rsidP="00ED121B">
      <w:pPr>
        <w:spacing w:after="240" w:line="360" w:lineRule="auto"/>
        <w:jc w:val="both"/>
        <w:rPr>
          <w:rFonts w:asciiTheme="minorHAnsi" w:hAnsiTheme="minorHAnsi" w:cstheme="minorHAnsi"/>
          <w:sz w:val="26"/>
          <w:szCs w:val="26"/>
        </w:rPr>
      </w:pPr>
      <w:r w:rsidRPr="0080146E">
        <w:rPr>
          <w:rFonts w:asciiTheme="minorHAnsi" w:hAnsiTheme="minorHAnsi" w:cstheme="minorHAnsi"/>
          <w:sz w:val="26"/>
          <w:szCs w:val="26"/>
        </w:rPr>
        <w:tab/>
      </w:r>
      <w:r w:rsidRPr="0080146E">
        <w:rPr>
          <w:rFonts w:ascii="Calibri" w:hAnsi="Calibri" w:cs="Calibri"/>
          <w:b/>
          <w:sz w:val="26"/>
          <w:szCs w:val="26"/>
        </w:rPr>
        <w:t>Ekonomika</w:t>
      </w:r>
      <w:r w:rsidRPr="0080146E">
        <w:rPr>
          <w:rFonts w:ascii="Calibri" w:hAnsi="Calibri" w:cs="Calibri"/>
          <w:sz w:val="26"/>
          <w:szCs w:val="26"/>
        </w:rPr>
        <w:t xml:space="preserve"> České republiky </w:t>
      </w:r>
      <w:r w:rsidRPr="0080146E">
        <w:rPr>
          <w:rFonts w:ascii="Calibri" w:hAnsi="Calibri" w:cs="Calibri"/>
          <w:b/>
          <w:bCs/>
          <w:sz w:val="26"/>
          <w:szCs w:val="26"/>
        </w:rPr>
        <w:t>zaznamenala</w:t>
      </w:r>
      <w:r w:rsidRPr="0080146E">
        <w:rPr>
          <w:rFonts w:ascii="Calibri" w:hAnsi="Calibri" w:cs="Calibri"/>
          <w:sz w:val="26"/>
          <w:szCs w:val="26"/>
        </w:rPr>
        <w:t xml:space="preserve"> </w:t>
      </w:r>
      <w:r w:rsidRPr="0080146E">
        <w:rPr>
          <w:rFonts w:ascii="Calibri" w:hAnsi="Calibri" w:cs="Calibri"/>
          <w:b/>
          <w:bCs/>
          <w:sz w:val="26"/>
          <w:szCs w:val="26"/>
        </w:rPr>
        <w:t xml:space="preserve">ve 2. čtvrtletí 2022 (zejména </w:t>
      </w:r>
      <w:r w:rsidR="00BA0CBC" w:rsidRPr="0080146E">
        <w:rPr>
          <w:rFonts w:ascii="Calibri" w:hAnsi="Calibri" w:cs="Calibri"/>
          <w:b/>
          <w:bCs/>
          <w:sz w:val="26"/>
          <w:szCs w:val="26"/>
        </w:rPr>
        <w:t xml:space="preserve">vlivem </w:t>
      </w:r>
      <w:r>
        <w:rPr>
          <w:rFonts w:ascii="Calibri" w:hAnsi="Calibri" w:cs="Calibri"/>
          <w:b/>
          <w:bCs/>
          <w:sz w:val="26"/>
          <w:szCs w:val="26"/>
        </w:rPr>
        <w:t>oslabení výdajů domácností na konečnou spotřebu) meziroční nižší nárůst HDP.</w:t>
      </w:r>
      <w:r w:rsidRPr="00CB10A5">
        <w:rPr>
          <w:rFonts w:ascii="Calibri" w:hAnsi="Calibri" w:cs="Calibri"/>
          <w:b/>
          <w:sz w:val="26"/>
          <w:szCs w:val="26"/>
        </w:rPr>
        <w:t xml:space="preserve"> Hrubý domácí produkt</w:t>
      </w:r>
      <w:r w:rsidRPr="00CB10A5">
        <w:rPr>
          <w:rFonts w:ascii="Calibri" w:hAnsi="Calibri" w:cs="Calibri"/>
          <w:sz w:val="26"/>
          <w:szCs w:val="26"/>
        </w:rPr>
        <w:t xml:space="preserve"> ve stálých cenách </w:t>
      </w:r>
      <w:r>
        <w:rPr>
          <w:rFonts w:ascii="Calibri" w:hAnsi="Calibri" w:cs="Calibri"/>
          <w:b/>
          <w:sz w:val="26"/>
          <w:szCs w:val="26"/>
        </w:rPr>
        <w:t>vzrostl</w:t>
      </w:r>
      <w:r w:rsidRPr="00CB10A5">
        <w:rPr>
          <w:rFonts w:ascii="Calibri" w:hAnsi="Calibri" w:cs="Calibri"/>
          <w:sz w:val="26"/>
          <w:szCs w:val="26"/>
        </w:rPr>
        <w:t xml:space="preserve"> meziročně </w:t>
      </w:r>
      <w:r w:rsidRPr="00CB10A5">
        <w:rPr>
          <w:rFonts w:ascii="Calibri" w:hAnsi="Calibri" w:cs="Calibri"/>
          <w:b/>
          <w:sz w:val="26"/>
          <w:szCs w:val="26"/>
        </w:rPr>
        <w:t>v</w:t>
      </w:r>
      <w:r>
        <w:rPr>
          <w:rFonts w:ascii="Calibri" w:hAnsi="Calibri" w:cs="Calibri"/>
          <w:b/>
          <w:sz w:val="26"/>
          <w:szCs w:val="26"/>
        </w:rPr>
        <w:t xml:space="preserve"> </w:t>
      </w:r>
      <w:r w:rsidRPr="00CB10A5">
        <w:rPr>
          <w:rFonts w:ascii="Calibri" w:hAnsi="Calibri" w:cs="Calibri"/>
          <w:b/>
          <w:sz w:val="26"/>
          <w:szCs w:val="26"/>
        </w:rPr>
        <w:t>prvním čtvrtletí o</w:t>
      </w:r>
      <w:r>
        <w:rPr>
          <w:rFonts w:ascii="Calibri" w:hAnsi="Calibri" w:cs="Calibri"/>
          <w:b/>
          <w:sz w:val="26"/>
          <w:szCs w:val="26"/>
        </w:rPr>
        <w:t xml:space="preserve"> 4</w:t>
      </w:r>
      <w:r w:rsidRPr="00CB10A5">
        <w:rPr>
          <w:rFonts w:ascii="Calibri" w:hAnsi="Calibri" w:cs="Calibri"/>
          <w:b/>
          <w:sz w:val="26"/>
          <w:szCs w:val="26"/>
        </w:rPr>
        <w:t>,</w:t>
      </w:r>
      <w:r>
        <w:rPr>
          <w:rFonts w:ascii="Calibri" w:hAnsi="Calibri" w:cs="Calibri"/>
          <w:b/>
          <w:sz w:val="26"/>
          <w:szCs w:val="26"/>
        </w:rPr>
        <w:t>6 </w:t>
      </w:r>
      <w:r w:rsidRPr="00CB10A5">
        <w:rPr>
          <w:rFonts w:ascii="Calibri" w:hAnsi="Calibri" w:cs="Calibri"/>
          <w:b/>
          <w:sz w:val="26"/>
          <w:szCs w:val="26"/>
        </w:rPr>
        <w:t>% a ve druhém</w:t>
      </w:r>
      <w:r>
        <w:rPr>
          <w:rFonts w:ascii="Calibri" w:hAnsi="Calibri" w:cs="Calibri"/>
          <w:b/>
          <w:sz w:val="26"/>
          <w:szCs w:val="26"/>
        </w:rPr>
        <w:t xml:space="preserve"> čtvrtletí stoupl</w:t>
      </w:r>
      <w:r w:rsidRPr="00CB10A5">
        <w:rPr>
          <w:rFonts w:ascii="Calibri" w:hAnsi="Calibri" w:cs="Calibri"/>
          <w:b/>
          <w:sz w:val="26"/>
          <w:szCs w:val="26"/>
        </w:rPr>
        <w:t xml:space="preserve"> o</w:t>
      </w:r>
      <w:r>
        <w:rPr>
          <w:rFonts w:ascii="Calibri" w:hAnsi="Calibri" w:cs="Calibri"/>
          <w:b/>
          <w:sz w:val="26"/>
          <w:szCs w:val="26"/>
        </w:rPr>
        <w:t xml:space="preserve"> 3</w:t>
      </w:r>
      <w:r w:rsidRPr="00CB10A5">
        <w:rPr>
          <w:rFonts w:ascii="Calibri" w:hAnsi="Calibri" w:cs="Calibri"/>
          <w:b/>
          <w:sz w:val="26"/>
          <w:szCs w:val="26"/>
        </w:rPr>
        <w:t>,</w:t>
      </w:r>
      <w:r>
        <w:rPr>
          <w:rFonts w:ascii="Calibri" w:hAnsi="Calibri" w:cs="Calibri"/>
          <w:b/>
          <w:sz w:val="26"/>
          <w:szCs w:val="26"/>
        </w:rPr>
        <w:t>7 </w:t>
      </w:r>
      <w:r w:rsidRPr="00CB10A5">
        <w:rPr>
          <w:rFonts w:ascii="Calibri" w:hAnsi="Calibri" w:cs="Calibri"/>
          <w:b/>
          <w:sz w:val="26"/>
          <w:szCs w:val="26"/>
        </w:rPr>
        <w:t>%.</w:t>
      </w:r>
      <w:r w:rsidRPr="00CB10A5">
        <w:rPr>
          <w:rFonts w:ascii="Calibri" w:hAnsi="Calibri" w:cs="Calibri"/>
          <w:sz w:val="26"/>
          <w:szCs w:val="26"/>
        </w:rPr>
        <w:t xml:space="preserve"> V</w:t>
      </w:r>
      <w:r>
        <w:rPr>
          <w:rFonts w:ascii="Calibri" w:hAnsi="Calibri" w:cs="Calibri"/>
          <w:sz w:val="26"/>
          <w:szCs w:val="26"/>
        </w:rPr>
        <w:t xml:space="preserve"> </w:t>
      </w:r>
      <w:r w:rsidRPr="00CB10A5">
        <w:rPr>
          <w:rFonts w:ascii="Calibri" w:hAnsi="Calibri" w:cs="Calibri"/>
          <w:sz w:val="26"/>
          <w:szCs w:val="26"/>
        </w:rPr>
        <w:t xml:space="preserve">prvním pololetí </w:t>
      </w:r>
      <w:r>
        <w:rPr>
          <w:rFonts w:ascii="Calibri" w:hAnsi="Calibri" w:cs="Calibri"/>
          <w:sz w:val="26"/>
          <w:szCs w:val="26"/>
        </w:rPr>
        <w:t xml:space="preserve">tedy </w:t>
      </w:r>
      <w:r w:rsidRPr="00CB10A5">
        <w:rPr>
          <w:rFonts w:ascii="Calibri" w:hAnsi="Calibri" w:cs="Calibri"/>
          <w:sz w:val="26"/>
          <w:szCs w:val="26"/>
        </w:rPr>
        <w:t xml:space="preserve">HDP meziročně </w:t>
      </w:r>
      <w:r>
        <w:rPr>
          <w:rFonts w:ascii="Calibri" w:hAnsi="Calibri" w:cs="Calibri"/>
          <w:sz w:val="26"/>
          <w:szCs w:val="26"/>
        </w:rPr>
        <w:t>vzrost</w:t>
      </w:r>
      <w:r w:rsidRPr="00CB10A5">
        <w:rPr>
          <w:rFonts w:ascii="Calibri" w:hAnsi="Calibri" w:cs="Calibri"/>
          <w:sz w:val="26"/>
          <w:szCs w:val="26"/>
        </w:rPr>
        <w:t>l o</w:t>
      </w:r>
      <w:r>
        <w:rPr>
          <w:rFonts w:ascii="Calibri" w:hAnsi="Calibri" w:cs="Calibri"/>
          <w:sz w:val="26"/>
          <w:szCs w:val="26"/>
        </w:rPr>
        <w:t> 4</w:t>
      </w:r>
      <w:r w:rsidRPr="00CB10A5">
        <w:rPr>
          <w:rFonts w:ascii="Calibri" w:hAnsi="Calibri" w:cs="Calibri"/>
          <w:sz w:val="26"/>
          <w:szCs w:val="26"/>
        </w:rPr>
        <w:t>,</w:t>
      </w:r>
      <w:r>
        <w:rPr>
          <w:rFonts w:ascii="Calibri" w:hAnsi="Calibri" w:cs="Calibri"/>
          <w:sz w:val="26"/>
          <w:szCs w:val="26"/>
        </w:rPr>
        <w:t>2</w:t>
      </w:r>
      <w:r w:rsidRPr="00CB10A5">
        <w:rPr>
          <w:rFonts w:ascii="Calibri" w:hAnsi="Calibri" w:cs="Calibri"/>
          <w:sz w:val="26"/>
          <w:szCs w:val="26"/>
        </w:rPr>
        <w:t> % (kdy v</w:t>
      </w:r>
      <w:r>
        <w:rPr>
          <w:rFonts w:ascii="Calibri" w:hAnsi="Calibri" w:cs="Calibri"/>
          <w:sz w:val="26"/>
          <w:szCs w:val="26"/>
        </w:rPr>
        <w:t xml:space="preserve"> </w:t>
      </w:r>
      <w:r w:rsidRPr="00CB10A5">
        <w:rPr>
          <w:rFonts w:ascii="Calibri" w:hAnsi="Calibri" w:cs="Calibri"/>
          <w:sz w:val="26"/>
          <w:szCs w:val="26"/>
        </w:rPr>
        <w:t>1.</w:t>
      </w:r>
      <w:r>
        <w:rPr>
          <w:rFonts w:ascii="Calibri" w:hAnsi="Calibri" w:cs="Calibri"/>
          <w:sz w:val="26"/>
          <w:szCs w:val="26"/>
        </w:rPr>
        <w:t> </w:t>
      </w:r>
      <w:r w:rsidRPr="00CB10A5">
        <w:rPr>
          <w:rFonts w:ascii="Calibri" w:hAnsi="Calibri" w:cs="Calibri"/>
          <w:sz w:val="26"/>
          <w:szCs w:val="26"/>
        </w:rPr>
        <w:t>pololetí roku 20</w:t>
      </w:r>
      <w:r>
        <w:rPr>
          <w:rFonts w:ascii="Calibri" w:hAnsi="Calibri" w:cs="Calibri"/>
          <w:sz w:val="26"/>
          <w:szCs w:val="26"/>
        </w:rPr>
        <w:t>21</w:t>
      </w:r>
      <w:r w:rsidRPr="00CB10A5">
        <w:rPr>
          <w:rFonts w:ascii="Calibri" w:hAnsi="Calibri" w:cs="Calibri"/>
          <w:sz w:val="26"/>
          <w:szCs w:val="26"/>
        </w:rPr>
        <w:t xml:space="preserve"> byl </w:t>
      </w:r>
      <w:r>
        <w:rPr>
          <w:rFonts w:ascii="Calibri" w:hAnsi="Calibri" w:cs="Calibri"/>
          <w:sz w:val="26"/>
          <w:szCs w:val="26"/>
        </w:rPr>
        <w:t>zaznamenán vzestup</w:t>
      </w:r>
      <w:r w:rsidRPr="00CB10A5">
        <w:rPr>
          <w:rFonts w:ascii="Calibri" w:hAnsi="Calibri" w:cs="Calibri"/>
          <w:sz w:val="26"/>
          <w:szCs w:val="26"/>
        </w:rPr>
        <w:t xml:space="preserve"> HDP </w:t>
      </w:r>
      <w:r>
        <w:rPr>
          <w:rFonts w:ascii="Calibri" w:hAnsi="Calibri" w:cs="Calibri"/>
          <w:sz w:val="26"/>
          <w:szCs w:val="26"/>
        </w:rPr>
        <w:t>o 3</w:t>
      </w:r>
      <w:r w:rsidRPr="00CB10A5">
        <w:rPr>
          <w:rFonts w:ascii="Calibri" w:hAnsi="Calibri" w:cs="Calibri"/>
          <w:sz w:val="26"/>
          <w:szCs w:val="26"/>
        </w:rPr>
        <w:t>,</w:t>
      </w:r>
      <w:r>
        <w:rPr>
          <w:rFonts w:ascii="Calibri" w:hAnsi="Calibri" w:cs="Calibri"/>
          <w:sz w:val="26"/>
          <w:szCs w:val="26"/>
        </w:rPr>
        <w:t>4 </w:t>
      </w:r>
      <w:r w:rsidRPr="00CB10A5">
        <w:rPr>
          <w:rFonts w:ascii="Calibri" w:hAnsi="Calibri" w:cs="Calibri"/>
          <w:sz w:val="26"/>
          <w:szCs w:val="26"/>
        </w:rPr>
        <w:t xml:space="preserve">%). </w:t>
      </w:r>
      <w:r w:rsidRPr="00CB10A5">
        <w:rPr>
          <w:rFonts w:ascii="Calibri" w:hAnsi="Calibri" w:cs="Calibri"/>
          <w:b/>
          <w:sz w:val="26"/>
          <w:szCs w:val="26"/>
        </w:rPr>
        <w:t>Ve</w:t>
      </w:r>
      <w:r>
        <w:rPr>
          <w:rFonts w:ascii="Calibri" w:hAnsi="Calibri" w:cs="Calibri"/>
          <w:b/>
          <w:sz w:val="26"/>
          <w:szCs w:val="26"/>
        </w:rPr>
        <w:t xml:space="preserve"> </w:t>
      </w:r>
      <w:r w:rsidRPr="00CB10A5">
        <w:rPr>
          <w:rFonts w:ascii="Calibri" w:hAnsi="Calibri" w:cs="Calibri"/>
          <w:b/>
          <w:sz w:val="26"/>
          <w:szCs w:val="26"/>
        </w:rPr>
        <w:t>srovnání s</w:t>
      </w:r>
      <w:r>
        <w:rPr>
          <w:rFonts w:ascii="Calibri" w:hAnsi="Calibri" w:cs="Calibri"/>
          <w:b/>
          <w:sz w:val="26"/>
          <w:szCs w:val="26"/>
        </w:rPr>
        <w:t xml:space="preserve"> </w:t>
      </w:r>
      <w:r w:rsidRPr="00CB10A5">
        <w:rPr>
          <w:rFonts w:ascii="Calibri" w:hAnsi="Calibri" w:cs="Calibri"/>
          <w:b/>
          <w:sz w:val="26"/>
          <w:szCs w:val="26"/>
        </w:rPr>
        <w:t>průměrem Evropské unie</w:t>
      </w:r>
      <w:r w:rsidRPr="00CB10A5">
        <w:rPr>
          <w:rFonts w:ascii="Calibri" w:hAnsi="Calibri" w:cs="Calibri"/>
          <w:sz w:val="26"/>
          <w:szCs w:val="26"/>
        </w:rPr>
        <w:t xml:space="preserve"> </w:t>
      </w:r>
      <w:r w:rsidRPr="00CB10A5">
        <w:rPr>
          <w:rFonts w:ascii="Calibri" w:hAnsi="Calibri" w:cs="Calibri"/>
          <w:b/>
          <w:sz w:val="26"/>
          <w:szCs w:val="26"/>
        </w:rPr>
        <w:t>byl</w:t>
      </w:r>
      <w:r w:rsidRPr="00CB10A5">
        <w:rPr>
          <w:rFonts w:ascii="Calibri" w:hAnsi="Calibri" w:cs="Calibri"/>
          <w:sz w:val="26"/>
          <w:szCs w:val="26"/>
        </w:rPr>
        <w:t xml:space="preserve"> ekonomický </w:t>
      </w:r>
      <w:r>
        <w:rPr>
          <w:rFonts w:ascii="Calibri" w:hAnsi="Calibri" w:cs="Calibri"/>
          <w:b/>
          <w:sz w:val="26"/>
          <w:szCs w:val="26"/>
        </w:rPr>
        <w:t>vývoj horší</w:t>
      </w:r>
      <w:r w:rsidRPr="00CB10A5">
        <w:rPr>
          <w:rFonts w:ascii="Calibri" w:hAnsi="Calibri" w:cs="Calibri"/>
          <w:bCs/>
          <w:sz w:val="26"/>
          <w:szCs w:val="26"/>
        </w:rPr>
        <w:t>.</w:t>
      </w:r>
      <w:r w:rsidRPr="00CB10A5">
        <w:rPr>
          <w:rFonts w:ascii="Calibri" w:hAnsi="Calibri" w:cs="Calibri"/>
          <w:sz w:val="26"/>
          <w:szCs w:val="26"/>
        </w:rPr>
        <w:t xml:space="preserve"> Meziroční </w:t>
      </w:r>
      <w:r>
        <w:rPr>
          <w:rFonts w:ascii="Calibri" w:hAnsi="Calibri" w:cs="Calibri"/>
          <w:sz w:val="26"/>
          <w:szCs w:val="26"/>
        </w:rPr>
        <w:t>růst</w:t>
      </w:r>
      <w:r w:rsidRPr="00CB10A5">
        <w:rPr>
          <w:rFonts w:ascii="Calibri" w:hAnsi="Calibri" w:cs="Calibri"/>
          <w:sz w:val="26"/>
          <w:szCs w:val="26"/>
        </w:rPr>
        <w:t xml:space="preserve"> HDP v zemích EU činil v</w:t>
      </w:r>
      <w:r>
        <w:rPr>
          <w:rFonts w:ascii="Calibri" w:hAnsi="Calibri" w:cs="Calibri"/>
          <w:sz w:val="26"/>
          <w:szCs w:val="26"/>
        </w:rPr>
        <w:t xml:space="preserve"> </w:t>
      </w:r>
      <w:r w:rsidRPr="00CB10A5">
        <w:rPr>
          <w:rFonts w:ascii="Calibri" w:hAnsi="Calibri" w:cs="Calibri"/>
          <w:sz w:val="26"/>
          <w:szCs w:val="26"/>
        </w:rPr>
        <w:t>1.</w:t>
      </w:r>
      <w:r>
        <w:rPr>
          <w:rFonts w:ascii="Calibri" w:hAnsi="Calibri" w:cs="Calibri"/>
          <w:sz w:val="26"/>
          <w:szCs w:val="26"/>
        </w:rPr>
        <w:t> </w:t>
      </w:r>
      <w:r w:rsidRPr="00CB10A5">
        <w:rPr>
          <w:rFonts w:ascii="Calibri" w:hAnsi="Calibri" w:cs="Calibri"/>
          <w:sz w:val="26"/>
          <w:szCs w:val="26"/>
        </w:rPr>
        <w:t xml:space="preserve">čtvrtletí </w:t>
      </w:r>
      <w:r>
        <w:rPr>
          <w:rFonts w:ascii="Calibri" w:hAnsi="Calibri" w:cs="Calibri"/>
          <w:sz w:val="26"/>
          <w:szCs w:val="26"/>
        </w:rPr>
        <w:t>5</w:t>
      </w:r>
      <w:r w:rsidRPr="00CB10A5">
        <w:rPr>
          <w:rFonts w:ascii="Calibri" w:hAnsi="Calibri" w:cs="Calibri"/>
          <w:sz w:val="26"/>
          <w:szCs w:val="26"/>
        </w:rPr>
        <w:t>,</w:t>
      </w:r>
      <w:r>
        <w:rPr>
          <w:rFonts w:ascii="Calibri" w:hAnsi="Calibri" w:cs="Calibri"/>
          <w:sz w:val="26"/>
          <w:szCs w:val="26"/>
        </w:rPr>
        <w:t>5 </w:t>
      </w:r>
      <w:r w:rsidRPr="00CB10A5">
        <w:rPr>
          <w:rFonts w:ascii="Calibri" w:hAnsi="Calibri" w:cs="Calibri"/>
          <w:sz w:val="26"/>
          <w:szCs w:val="26"/>
        </w:rPr>
        <w:t>% a</w:t>
      </w:r>
      <w:r>
        <w:rPr>
          <w:rFonts w:ascii="Calibri" w:hAnsi="Calibri" w:cs="Calibri"/>
          <w:sz w:val="26"/>
          <w:szCs w:val="26"/>
        </w:rPr>
        <w:t xml:space="preserve"> </w:t>
      </w:r>
      <w:r w:rsidRPr="00CB10A5">
        <w:rPr>
          <w:rFonts w:ascii="Calibri" w:hAnsi="Calibri" w:cs="Calibri"/>
          <w:sz w:val="26"/>
          <w:szCs w:val="26"/>
        </w:rPr>
        <w:t>ve 2.</w:t>
      </w:r>
      <w:r>
        <w:rPr>
          <w:rFonts w:ascii="Calibri" w:hAnsi="Calibri" w:cs="Calibri"/>
          <w:sz w:val="26"/>
          <w:szCs w:val="26"/>
        </w:rPr>
        <w:t> </w:t>
      </w:r>
      <w:r w:rsidRPr="00CB10A5">
        <w:rPr>
          <w:rFonts w:ascii="Calibri" w:hAnsi="Calibri" w:cs="Calibri"/>
          <w:sz w:val="26"/>
          <w:szCs w:val="26"/>
        </w:rPr>
        <w:t xml:space="preserve">čtvrtletí </w:t>
      </w:r>
      <w:r>
        <w:rPr>
          <w:rFonts w:ascii="Calibri" w:hAnsi="Calibri" w:cs="Calibri"/>
          <w:sz w:val="26"/>
          <w:szCs w:val="26"/>
        </w:rPr>
        <w:t>4</w:t>
      </w:r>
      <w:r w:rsidRPr="00CB10A5">
        <w:rPr>
          <w:rFonts w:ascii="Calibri" w:hAnsi="Calibri" w:cs="Calibri"/>
          <w:sz w:val="26"/>
          <w:szCs w:val="26"/>
        </w:rPr>
        <w:t>,</w:t>
      </w:r>
      <w:r>
        <w:rPr>
          <w:rFonts w:ascii="Calibri" w:hAnsi="Calibri" w:cs="Calibri"/>
          <w:sz w:val="26"/>
          <w:szCs w:val="26"/>
        </w:rPr>
        <w:t>2 </w:t>
      </w:r>
      <w:r w:rsidRPr="00CB10A5">
        <w:rPr>
          <w:rFonts w:ascii="Calibri" w:hAnsi="Calibri" w:cs="Calibri"/>
          <w:sz w:val="26"/>
          <w:szCs w:val="26"/>
        </w:rPr>
        <w:t>%. Z</w:t>
      </w:r>
      <w:r>
        <w:rPr>
          <w:rFonts w:ascii="Calibri" w:hAnsi="Calibri" w:cs="Calibri"/>
          <w:sz w:val="26"/>
          <w:szCs w:val="26"/>
        </w:rPr>
        <w:t xml:space="preserve"> </w:t>
      </w:r>
      <w:r w:rsidRPr="00CB10A5">
        <w:rPr>
          <w:rFonts w:ascii="Calibri" w:hAnsi="Calibri" w:cs="Calibri"/>
          <w:sz w:val="26"/>
          <w:szCs w:val="26"/>
        </w:rPr>
        <w:t>pohledu 1.</w:t>
      </w:r>
      <w:r>
        <w:rPr>
          <w:rFonts w:ascii="Calibri" w:hAnsi="Calibri" w:cs="Calibri"/>
          <w:sz w:val="26"/>
          <w:szCs w:val="26"/>
        </w:rPr>
        <w:t> </w:t>
      </w:r>
      <w:r w:rsidRPr="00CB10A5">
        <w:rPr>
          <w:rFonts w:ascii="Calibri" w:hAnsi="Calibri" w:cs="Calibri"/>
          <w:sz w:val="26"/>
          <w:szCs w:val="26"/>
        </w:rPr>
        <w:t>pololetí 202</w:t>
      </w:r>
      <w:r>
        <w:rPr>
          <w:rFonts w:ascii="Calibri" w:hAnsi="Calibri" w:cs="Calibri"/>
          <w:sz w:val="26"/>
          <w:szCs w:val="26"/>
        </w:rPr>
        <w:t>2</w:t>
      </w:r>
      <w:r w:rsidRPr="00CB10A5">
        <w:rPr>
          <w:rFonts w:ascii="Calibri" w:hAnsi="Calibri" w:cs="Calibri"/>
          <w:sz w:val="26"/>
          <w:szCs w:val="26"/>
        </w:rPr>
        <w:t xml:space="preserve"> byl </w:t>
      </w:r>
      <w:r>
        <w:rPr>
          <w:rFonts w:ascii="Calibri" w:hAnsi="Calibri" w:cs="Calibri"/>
          <w:sz w:val="26"/>
          <w:szCs w:val="26"/>
        </w:rPr>
        <w:t>růst</w:t>
      </w:r>
      <w:r w:rsidRPr="00CB10A5">
        <w:rPr>
          <w:rFonts w:ascii="Calibri" w:hAnsi="Calibri" w:cs="Calibri"/>
          <w:sz w:val="26"/>
          <w:szCs w:val="26"/>
        </w:rPr>
        <w:t xml:space="preserve"> HDP v</w:t>
      </w:r>
      <w:r>
        <w:rPr>
          <w:rFonts w:ascii="Calibri" w:hAnsi="Calibri" w:cs="Calibri"/>
          <w:sz w:val="26"/>
          <w:szCs w:val="26"/>
        </w:rPr>
        <w:t xml:space="preserve"> </w:t>
      </w:r>
      <w:r w:rsidRPr="00CB10A5">
        <w:rPr>
          <w:rFonts w:ascii="Calibri" w:hAnsi="Calibri" w:cs="Calibri"/>
          <w:sz w:val="26"/>
          <w:szCs w:val="26"/>
        </w:rPr>
        <w:t xml:space="preserve">ČR o </w:t>
      </w:r>
      <w:r>
        <w:rPr>
          <w:rFonts w:ascii="Calibri" w:hAnsi="Calibri" w:cs="Calibri"/>
          <w:sz w:val="26"/>
          <w:szCs w:val="26"/>
        </w:rPr>
        <w:t>0,7 </w:t>
      </w:r>
      <w:r w:rsidRPr="00CB10A5">
        <w:rPr>
          <w:rFonts w:ascii="Calibri" w:hAnsi="Calibri" w:cs="Calibri"/>
          <w:sz w:val="26"/>
          <w:szCs w:val="26"/>
        </w:rPr>
        <w:t>p.</w:t>
      </w:r>
      <w:r>
        <w:rPr>
          <w:rFonts w:ascii="Calibri" w:hAnsi="Calibri" w:cs="Calibri"/>
          <w:sz w:val="26"/>
          <w:szCs w:val="26"/>
        </w:rPr>
        <w:t> </w:t>
      </w:r>
      <w:r w:rsidRPr="00CB10A5">
        <w:rPr>
          <w:rFonts w:ascii="Calibri" w:hAnsi="Calibri" w:cs="Calibri"/>
          <w:sz w:val="26"/>
          <w:szCs w:val="26"/>
        </w:rPr>
        <w:t>b. nižší než průměr EU.</w:t>
      </w:r>
    </w:p>
    <w:p w14:paraId="5684D4B5" w14:textId="77777777" w:rsidR="00ED121B" w:rsidRPr="008A2647" w:rsidRDefault="00ED121B" w:rsidP="00ED121B">
      <w:pPr>
        <w:spacing w:after="240" w:line="360" w:lineRule="auto"/>
        <w:jc w:val="both"/>
        <w:rPr>
          <w:rFonts w:asciiTheme="minorHAnsi" w:hAnsiTheme="minorHAnsi" w:cstheme="minorHAnsi"/>
          <w:sz w:val="26"/>
          <w:szCs w:val="26"/>
        </w:rPr>
      </w:pPr>
      <w:r w:rsidRPr="008A2647">
        <w:rPr>
          <w:rFonts w:asciiTheme="minorHAnsi" w:hAnsiTheme="minorHAnsi" w:cstheme="minorHAnsi"/>
          <w:sz w:val="26"/>
          <w:szCs w:val="26"/>
        </w:rPr>
        <w:tab/>
        <w:t>Názorný pohled na vývoj vybraných ukazatelů ekonomiky v 1.</w:t>
      </w:r>
      <w:r>
        <w:rPr>
          <w:rFonts w:asciiTheme="minorHAnsi" w:hAnsiTheme="minorHAnsi" w:cstheme="minorHAnsi"/>
          <w:sz w:val="26"/>
          <w:szCs w:val="26"/>
        </w:rPr>
        <w:t> </w:t>
      </w:r>
      <w:r w:rsidRPr="008A2647">
        <w:rPr>
          <w:rFonts w:asciiTheme="minorHAnsi" w:hAnsiTheme="minorHAnsi" w:cstheme="minorHAnsi"/>
          <w:sz w:val="26"/>
          <w:szCs w:val="26"/>
        </w:rPr>
        <w:t>pololetí let 20</w:t>
      </w:r>
      <w:r>
        <w:rPr>
          <w:rFonts w:asciiTheme="minorHAnsi" w:hAnsiTheme="minorHAnsi" w:cstheme="minorHAnsi"/>
          <w:sz w:val="26"/>
          <w:szCs w:val="26"/>
        </w:rPr>
        <w:t>12</w:t>
      </w:r>
      <w:r w:rsidRPr="008A2647">
        <w:rPr>
          <w:rFonts w:asciiTheme="minorHAnsi" w:hAnsiTheme="minorHAnsi" w:cstheme="minorHAnsi"/>
          <w:sz w:val="26"/>
          <w:szCs w:val="26"/>
        </w:rPr>
        <w:t xml:space="preserve"> až 20</w:t>
      </w:r>
      <w:r>
        <w:rPr>
          <w:rFonts w:asciiTheme="minorHAnsi" w:hAnsiTheme="minorHAnsi" w:cstheme="minorHAnsi"/>
          <w:sz w:val="26"/>
          <w:szCs w:val="26"/>
        </w:rPr>
        <w:t>22</w:t>
      </w:r>
      <w:r w:rsidRPr="008A2647">
        <w:rPr>
          <w:rFonts w:asciiTheme="minorHAnsi" w:hAnsiTheme="minorHAnsi" w:cstheme="minorHAnsi"/>
          <w:sz w:val="26"/>
          <w:szCs w:val="26"/>
        </w:rPr>
        <w:t xml:space="preserve"> podává následující graf:</w:t>
      </w:r>
    </w:p>
    <w:p w14:paraId="40E0F6B3" w14:textId="77777777" w:rsidR="00ED121B" w:rsidRPr="003F5581" w:rsidRDefault="00ED121B" w:rsidP="00ED121B">
      <w:pPr>
        <w:jc w:val="both"/>
      </w:pPr>
      <w:r>
        <w:rPr>
          <w:noProof/>
        </w:rPr>
        <w:drawing>
          <wp:inline distT="0" distB="0" distL="0" distR="0" wp14:anchorId="2207AE67" wp14:editId="1BBA75D2">
            <wp:extent cx="5773420" cy="3999230"/>
            <wp:effectExtent l="0" t="0" r="0" b="127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999230"/>
                    </a:xfrm>
                    <a:prstGeom prst="rect">
                      <a:avLst/>
                    </a:prstGeom>
                    <a:noFill/>
                  </pic:spPr>
                </pic:pic>
              </a:graphicData>
            </a:graphic>
          </wp:inline>
        </w:drawing>
      </w:r>
    </w:p>
    <w:p w14:paraId="11650DCB" w14:textId="77777777" w:rsidR="00ED121B" w:rsidRPr="008A2647" w:rsidRDefault="00ED121B" w:rsidP="00ED121B">
      <w:pPr>
        <w:spacing w:before="120"/>
        <w:jc w:val="both"/>
        <w:rPr>
          <w:rFonts w:asciiTheme="minorHAnsi" w:hAnsiTheme="minorHAnsi" w:cstheme="minorHAnsi"/>
          <w:sz w:val="22"/>
        </w:rPr>
      </w:pPr>
      <w:r w:rsidRPr="008A2647">
        <w:rPr>
          <w:rFonts w:asciiTheme="minorHAnsi" w:hAnsiTheme="minorHAnsi" w:cstheme="minorHAnsi"/>
          <w:sz w:val="22"/>
        </w:rPr>
        <w:t>Zpracováno z údajů ČSÚ</w:t>
      </w:r>
    </w:p>
    <w:p w14:paraId="6CCED346" w14:textId="77777777" w:rsidR="00ED121B" w:rsidRPr="008A2647" w:rsidRDefault="00ED121B" w:rsidP="00ED121B">
      <w:pPr>
        <w:jc w:val="both"/>
        <w:rPr>
          <w:rFonts w:asciiTheme="minorHAnsi" w:hAnsiTheme="minorHAnsi" w:cstheme="minorHAnsi"/>
          <w:sz w:val="22"/>
          <w:szCs w:val="18"/>
        </w:rPr>
      </w:pPr>
      <w:r w:rsidRPr="008A2647">
        <w:rPr>
          <w:rFonts w:asciiTheme="minorHAnsi" w:hAnsiTheme="minorHAnsi" w:cstheme="minorHAnsi"/>
          <w:sz w:val="22"/>
          <w:szCs w:val="18"/>
        </w:rPr>
        <w:t>*vypočteno z běžných cen</w:t>
      </w:r>
    </w:p>
    <w:p w14:paraId="558C1CEA" w14:textId="1D1D0233" w:rsidR="00ED121B" w:rsidRDefault="00ED121B" w:rsidP="00ED121B">
      <w:pPr>
        <w:spacing w:after="240" w:line="360" w:lineRule="auto"/>
        <w:jc w:val="both"/>
        <w:rPr>
          <w:rFonts w:ascii="Calibri" w:hAnsi="Calibri" w:cs="Calibri"/>
          <w:sz w:val="26"/>
          <w:szCs w:val="26"/>
        </w:rPr>
      </w:pPr>
      <w:r>
        <w:rPr>
          <w:rFonts w:asciiTheme="minorHAnsi" w:hAnsiTheme="minorHAnsi" w:cstheme="minorHAnsi"/>
          <w:sz w:val="26"/>
          <w:szCs w:val="26"/>
        </w:rPr>
        <w:lastRenderedPageBreak/>
        <w:tab/>
      </w:r>
      <w:r w:rsidRPr="00D612A3">
        <w:rPr>
          <w:rFonts w:ascii="Calibri" w:hAnsi="Calibri" w:cs="Calibri"/>
          <w:b/>
          <w:bCs/>
          <w:sz w:val="26"/>
          <w:szCs w:val="26"/>
        </w:rPr>
        <w:t>Na hospodářském růstu</w:t>
      </w:r>
      <w:r w:rsidRPr="00D612A3">
        <w:rPr>
          <w:rFonts w:ascii="Calibri" w:hAnsi="Calibri" w:cs="Calibri"/>
          <w:sz w:val="26"/>
          <w:szCs w:val="26"/>
        </w:rPr>
        <w:t xml:space="preserve"> </w:t>
      </w:r>
      <w:r w:rsidRPr="00D612A3">
        <w:rPr>
          <w:rFonts w:ascii="Calibri" w:hAnsi="Calibri" w:cs="Calibri"/>
          <w:b/>
          <w:bCs/>
          <w:sz w:val="26"/>
          <w:szCs w:val="26"/>
        </w:rPr>
        <w:t>se</w:t>
      </w:r>
      <w:r w:rsidRPr="00D612A3">
        <w:rPr>
          <w:rFonts w:ascii="Calibri" w:hAnsi="Calibri" w:cs="Calibri"/>
          <w:sz w:val="26"/>
          <w:szCs w:val="26"/>
        </w:rPr>
        <w:t xml:space="preserve"> v</w:t>
      </w:r>
      <w:r>
        <w:rPr>
          <w:rFonts w:ascii="Calibri" w:hAnsi="Calibri" w:cs="Calibri"/>
          <w:sz w:val="26"/>
          <w:szCs w:val="26"/>
        </w:rPr>
        <w:t xml:space="preserve"> 1. pololetí</w:t>
      </w:r>
      <w:r w:rsidRPr="00D612A3">
        <w:rPr>
          <w:rFonts w:ascii="Calibri" w:hAnsi="Calibri" w:cs="Calibri"/>
          <w:sz w:val="26"/>
          <w:szCs w:val="26"/>
        </w:rPr>
        <w:t xml:space="preserve"> 202</w:t>
      </w:r>
      <w:r>
        <w:rPr>
          <w:rFonts w:ascii="Calibri" w:hAnsi="Calibri" w:cs="Calibri"/>
          <w:sz w:val="26"/>
          <w:szCs w:val="26"/>
        </w:rPr>
        <w:t>2</w:t>
      </w:r>
      <w:r w:rsidRPr="00D612A3">
        <w:rPr>
          <w:rFonts w:ascii="Calibri" w:hAnsi="Calibri" w:cs="Calibri"/>
          <w:sz w:val="26"/>
          <w:szCs w:val="26"/>
        </w:rPr>
        <w:t xml:space="preserve"> </w:t>
      </w:r>
      <w:r w:rsidRPr="00D612A3">
        <w:rPr>
          <w:rFonts w:ascii="Calibri" w:hAnsi="Calibri" w:cs="Calibri"/>
          <w:b/>
          <w:bCs/>
          <w:sz w:val="26"/>
          <w:szCs w:val="26"/>
        </w:rPr>
        <w:t>největší měrou podílela tvorba hrubého kapitálu a také výdaje na konečnou spotřebu</w:t>
      </w:r>
      <w:r w:rsidRPr="006319F7">
        <w:rPr>
          <w:rFonts w:ascii="Calibri" w:hAnsi="Calibri" w:cs="Calibri"/>
          <w:b/>
          <w:bCs/>
          <w:sz w:val="26"/>
          <w:szCs w:val="26"/>
        </w:rPr>
        <w:t>.</w:t>
      </w:r>
      <w:r w:rsidRPr="00D612A3">
        <w:rPr>
          <w:rFonts w:ascii="Calibri" w:hAnsi="Calibri" w:cs="Calibri"/>
          <w:sz w:val="26"/>
          <w:szCs w:val="26"/>
        </w:rPr>
        <w:t xml:space="preserve"> </w:t>
      </w:r>
      <w:r w:rsidRPr="00D612A3">
        <w:rPr>
          <w:rFonts w:ascii="Calibri" w:hAnsi="Calibri" w:cs="Calibri"/>
          <w:b/>
          <w:bCs/>
          <w:sz w:val="26"/>
          <w:szCs w:val="26"/>
        </w:rPr>
        <w:t>Naproti tomu příspěvek bilance zahraničního obchodu byl záporný</w:t>
      </w:r>
      <w:r w:rsidRPr="00D612A3">
        <w:rPr>
          <w:rFonts w:ascii="Calibri" w:hAnsi="Calibri" w:cs="Calibri"/>
          <w:sz w:val="26"/>
          <w:szCs w:val="26"/>
        </w:rPr>
        <w:t xml:space="preserve"> a tempo růstu hrubého domácího produktu poměrně výrazně snížil.</w:t>
      </w:r>
      <w:r>
        <w:rPr>
          <w:rFonts w:ascii="Calibri" w:hAnsi="Calibri" w:cs="Calibri"/>
          <w:sz w:val="26"/>
          <w:szCs w:val="26"/>
        </w:rPr>
        <w:t xml:space="preserve"> </w:t>
      </w:r>
      <w:r w:rsidRPr="00D612A3">
        <w:rPr>
          <w:rFonts w:ascii="Calibri" w:hAnsi="Calibri" w:cs="Calibri"/>
          <w:b/>
          <w:bCs/>
          <w:sz w:val="26"/>
          <w:szCs w:val="26"/>
        </w:rPr>
        <w:t>Tvorba hrubého kapitálu se zvýšila</w:t>
      </w:r>
      <w:r w:rsidRPr="00D612A3">
        <w:rPr>
          <w:rFonts w:ascii="Calibri" w:hAnsi="Calibri" w:cs="Calibri"/>
          <w:sz w:val="26"/>
          <w:szCs w:val="26"/>
        </w:rPr>
        <w:t xml:space="preserve"> meziročně </w:t>
      </w:r>
      <w:r>
        <w:rPr>
          <w:rFonts w:ascii="Calibri" w:hAnsi="Calibri" w:cs="Calibri"/>
          <w:b/>
          <w:bCs/>
          <w:sz w:val="26"/>
          <w:szCs w:val="26"/>
        </w:rPr>
        <w:t>v obou</w:t>
      </w:r>
      <w:r w:rsidRPr="00904F35">
        <w:rPr>
          <w:rFonts w:ascii="Calibri" w:hAnsi="Calibri" w:cs="Calibri"/>
          <w:b/>
          <w:bCs/>
          <w:sz w:val="26"/>
          <w:szCs w:val="26"/>
        </w:rPr>
        <w:t xml:space="preserve"> čtvrtletí</w:t>
      </w:r>
      <w:r>
        <w:rPr>
          <w:rFonts w:ascii="Calibri" w:hAnsi="Calibri" w:cs="Calibri"/>
          <w:b/>
          <w:bCs/>
          <w:sz w:val="26"/>
          <w:szCs w:val="26"/>
        </w:rPr>
        <w:t>ch</w:t>
      </w:r>
      <w:r>
        <w:rPr>
          <w:rFonts w:ascii="Calibri" w:hAnsi="Calibri" w:cs="Calibri"/>
          <w:sz w:val="26"/>
          <w:szCs w:val="26"/>
        </w:rPr>
        <w:t xml:space="preserve"> podobně – a to </w:t>
      </w:r>
      <w:r w:rsidRPr="00D612A3">
        <w:rPr>
          <w:rFonts w:ascii="Calibri" w:hAnsi="Calibri" w:cs="Calibri"/>
          <w:b/>
          <w:bCs/>
          <w:sz w:val="26"/>
          <w:szCs w:val="26"/>
        </w:rPr>
        <w:t>o</w:t>
      </w:r>
      <w:r>
        <w:rPr>
          <w:rFonts w:ascii="Calibri" w:hAnsi="Calibri" w:cs="Calibri"/>
          <w:b/>
          <w:bCs/>
          <w:sz w:val="26"/>
          <w:szCs w:val="26"/>
        </w:rPr>
        <w:t xml:space="preserve"> </w:t>
      </w:r>
      <w:r w:rsidRPr="00D612A3">
        <w:rPr>
          <w:rFonts w:ascii="Calibri" w:hAnsi="Calibri" w:cs="Calibri"/>
          <w:b/>
          <w:bCs/>
          <w:sz w:val="26"/>
          <w:szCs w:val="26"/>
        </w:rPr>
        <w:t>1</w:t>
      </w:r>
      <w:r>
        <w:rPr>
          <w:rFonts w:ascii="Calibri" w:hAnsi="Calibri" w:cs="Calibri"/>
          <w:b/>
          <w:bCs/>
          <w:sz w:val="26"/>
          <w:szCs w:val="26"/>
        </w:rPr>
        <w:t>3</w:t>
      </w:r>
      <w:r w:rsidRPr="00D612A3">
        <w:rPr>
          <w:rFonts w:ascii="Calibri" w:hAnsi="Calibri" w:cs="Calibri"/>
          <w:b/>
          <w:bCs/>
          <w:sz w:val="26"/>
          <w:szCs w:val="26"/>
        </w:rPr>
        <w:t>,</w:t>
      </w:r>
      <w:r>
        <w:rPr>
          <w:rFonts w:ascii="Calibri" w:hAnsi="Calibri" w:cs="Calibri"/>
          <w:b/>
          <w:bCs/>
          <w:sz w:val="26"/>
          <w:szCs w:val="26"/>
        </w:rPr>
        <w:t>6 %, resp. 13,0</w:t>
      </w:r>
      <w:r w:rsidRPr="00D612A3">
        <w:rPr>
          <w:rFonts w:ascii="Calibri" w:hAnsi="Calibri" w:cs="Calibri"/>
          <w:b/>
          <w:bCs/>
          <w:sz w:val="26"/>
          <w:szCs w:val="26"/>
        </w:rPr>
        <w:t> %</w:t>
      </w:r>
      <w:r w:rsidRPr="00D612A3">
        <w:rPr>
          <w:rFonts w:ascii="Calibri" w:hAnsi="Calibri" w:cs="Calibri"/>
          <w:sz w:val="26"/>
          <w:szCs w:val="26"/>
        </w:rPr>
        <w:t xml:space="preserve"> (z toho fixní kapitál o </w:t>
      </w:r>
      <w:r>
        <w:rPr>
          <w:rFonts w:ascii="Calibri" w:hAnsi="Calibri" w:cs="Calibri"/>
          <w:sz w:val="26"/>
          <w:szCs w:val="26"/>
        </w:rPr>
        <w:t>6</w:t>
      </w:r>
      <w:r w:rsidRPr="00D612A3">
        <w:rPr>
          <w:rFonts w:ascii="Calibri" w:hAnsi="Calibri" w:cs="Calibri"/>
          <w:sz w:val="26"/>
          <w:szCs w:val="26"/>
        </w:rPr>
        <w:t>,9</w:t>
      </w:r>
      <w:r>
        <w:rPr>
          <w:rFonts w:ascii="Calibri" w:hAnsi="Calibri" w:cs="Calibri"/>
          <w:sz w:val="26"/>
          <w:szCs w:val="26"/>
        </w:rPr>
        <w:t> %, resp.</w:t>
      </w:r>
      <w:r w:rsidR="00BA0CBC">
        <w:rPr>
          <w:rFonts w:ascii="Calibri" w:hAnsi="Calibri" w:cs="Calibri"/>
          <w:sz w:val="26"/>
          <w:szCs w:val="26"/>
        </w:rPr>
        <w:t> </w:t>
      </w:r>
      <w:r>
        <w:rPr>
          <w:rFonts w:ascii="Calibri" w:hAnsi="Calibri" w:cs="Calibri"/>
          <w:sz w:val="26"/>
          <w:szCs w:val="26"/>
        </w:rPr>
        <w:t>6,1 %</w:t>
      </w:r>
      <w:r w:rsidRPr="00D612A3">
        <w:rPr>
          <w:rFonts w:ascii="Calibri" w:hAnsi="Calibri" w:cs="Calibri"/>
          <w:sz w:val="26"/>
          <w:szCs w:val="26"/>
        </w:rPr>
        <w:t>). Největší měrou se na růstu podílela změna stavu zásob (jako</w:t>
      </w:r>
      <w:r>
        <w:rPr>
          <w:rFonts w:ascii="Calibri" w:hAnsi="Calibri" w:cs="Calibri"/>
          <w:sz w:val="26"/>
          <w:szCs w:val="26"/>
        </w:rPr>
        <w:t xml:space="preserve"> </w:t>
      </w:r>
      <w:r w:rsidRPr="00D612A3">
        <w:rPr>
          <w:rFonts w:ascii="Calibri" w:hAnsi="Calibri" w:cs="Calibri"/>
          <w:sz w:val="26"/>
          <w:szCs w:val="26"/>
        </w:rPr>
        <w:t>důsledek nedokončené výroby z</w:t>
      </w:r>
      <w:r>
        <w:rPr>
          <w:rFonts w:ascii="Calibri" w:hAnsi="Calibri" w:cs="Calibri"/>
          <w:sz w:val="26"/>
          <w:szCs w:val="26"/>
        </w:rPr>
        <w:t xml:space="preserve"> </w:t>
      </w:r>
      <w:r w:rsidRPr="00D612A3">
        <w:rPr>
          <w:rFonts w:ascii="Calibri" w:hAnsi="Calibri" w:cs="Calibri"/>
          <w:sz w:val="26"/>
          <w:szCs w:val="26"/>
        </w:rPr>
        <w:t>důvodu chybějících komponentů).</w:t>
      </w:r>
      <w:r>
        <w:rPr>
          <w:rFonts w:ascii="Calibri" w:hAnsi="Calibri" w:cs="Calibri"/>
          <w:sz w:val="26"/>
          <w:szCs w:val="26"/>
        </w:rPr>
        <w:t xml:space="preserve"> </w:t>
      </w:r>
      <w:r w:rsidRPr="00D612A3">
        <w:rPr>
          <w:rFonts w:ascii="Calibri" w:hAnsi="Calibri" w:cs="Calibri"/>
          <w:b/>
          <w:bCs/>
          <w:sz w:val="26"/>
          <w:szCs w:val="26"/>
        </w:rPr>
        <w:t xml:space="preserve">Bilance zahraničního obchodu přispěla ke snížení celkového růstu HDP </w:t>
      </w:r>
      <w:r>
        <w:rPr>
          <w:rFonts w:ascii="Calibri" w:hAnsi="Calibri" w:cs="Calibri"/>
          <w:b/>
          <w:bCs/>
          <w:sz w:val="26"/>
          <w:szCs w:val="26"/>
        </w:rPr>
        <w:t xml:space="preserve">v obou čtvrtletích </w:t>
      </w:r>
      <w:r>
        <w:rPr>
          <w:rFonts w:ascii="Calibri" w:hAnsi="Calibri" w:cs="Calibri"/>
          <w:sz w:val="26"/>
          <w:szCs w:val="26"/>
        </w:rPr>
        <w:t>s tím, že větší dopad byl zaznamenám v 1. čtvrtletí</w:t>
      </w:r>
      <w:r w:rsidRPr="00D612A3">
        <w:rPr>
          <w:rFonts w:ascii="Calibri" w:hAnsi="Calibri" w:cs="Calibri"/>
          <w:sz w:val="26"/>
          <w:szCs w:val="26"/>
        </w:rPr>
        <w:t>.</w:t>
      </w:r>
      <w:r>
        <w:rPr>
          <w:rFonts w:ascii="Calibri" w:hAnsi="Calibri" w:cs="Calibri"/>
          <w:sz w:val="26"/>
          <w:szCs w:val="26"/>
        </w:rPr>
        <w:t xml:space="preserve"> </w:t>
      </w:r>
      <w:r w:rsidRPr="00D612A3">
        <w:rPr>
          <w:rFonts w:ascii="Calibri" w:hAnsi="Calibri" w:cs="Calibri"/>
          <w:b/>
          <w:bCs/>
          <w:sz w:val="26"/>
          <w:szCs w:val="26"/>
        </w:rPr>
        <w:t>Výdaje na konečnou spotřebu přispěly k růstu HDP menší měrou.</w:t>
      </w:r>
      <w:r w:rsidRPr="00D612A3">
        <w:rPr>
          <w:rFonts w:ascii="Calibri" w:hAnsi="Calibri" w:cs="Calibri"/>
          <w:sz w:val="26"/>
          <w:szCs w:val="26"/>
        </w:rPr>
        <w:t xml:space="preserve"> Dominantní vliv měla konečná spotřeba domácností, </w:t>
      </w:r>
      <w:r>
        <w:rPr>
          <w:rFonts w:ascii="Calibri" w:hAnsi="Calibri" w:cs="Calibri"/>
          <w:sz w:val="26"/>
          <w:szCs w:val="26"/>
        </w:rPr>
        <w:t xml:space="preserve">ale pouze </w:t>
      </w:r>
      <w:r w:rsidRPr="0080146E">
        <w:rPr>
          <w:rFonts w:ascii="Calibri" w:hAnsi="Calibri" w:cs="Calibri"/>
          <w:sz w:val="26"/>
          <w:szCs w:val="26"/>
        </w:rPr>
        <w:t xml:space="preserve">v 1. čtvrtletí (+8,2 %). Ve 2. čtvrtletí </w:t>
      </w:r>
      <w:r w:rsidR="00BA0CBC" w:rsidRPr="0080146E">
        <w:rPr>
          <w:rFonts w:ascii="Calibri" w:hAnsi="Calibri" w:cs="Calibri"/>
          <w:sz w:val="26"/>
          <w:szCs w:val="26"/>
        </w:rPr>
        <w:t xml:space="preserve">došlo </w:t>
      </w:r>
      <w:r w:rsidRPr="0080146E">
        <w:rPr>
          <w:rFonts w:ascii="Calibri" w:hAnsi="Calibri" w:cs="Calibri"/>
          <w:sz w:val="26"/>
          <w:szCs w:val="26"/>
        </w:rPr>
        <w:t xml:space="preserve">k její faktické stagnaci (+0,2 %). Výdaje na </w:t>
      </w:r>
      <w:r>
        <w:rPr>
          <w:rFonts w:ascii="Calibri" w:hAnsi="Calibri" w:cs="Calibri"/>
          <w:sz w:val="26"/>
          <w:szCs w:val="26"/>
        </w:rPr>
        <w:t>konečnou spotřebu vládních institucí rostly rovnoměrněji (+2,1 %, resp. +1,3 %) a podílely se (v menší míře) na růstu HDP i ve 2. čtvrtletí (oproti konečné spotřebě domácností).</w:t>
      </w:r>
    </w:p>
    <w:p w14:paraId="7B3E19D7" w14:textId="77777777" w:rsidR="00ED121B" w:rsidRDefault="00ED121B" w:rsidP="00ED121B">
      <w:pPr>
        <w:spacing w:after="240" w:line="360" w:lineRule="auto"/>
        <w:jc w:val="both"/>
        <w:rPr>
          <w:rFonts w:ascii="Calibri" w:hAnsi="Calibri" w:cs="Calibri"/>
          <w:sz w:val="26"/>
          <w:szCs w:val="26"/>
        </w:rPr>
      </w:pPr>
      <w:r>
        <w:rPr>
          <w:rFonts w:ascii="Calibri" w:hAnsi="Calibri" w:cs="Calibri"/>
          <w:sz w:val="26"/>
          <w:szCs w:val="26"/>
        </w:rPr>
        <w:tab/>
      </w:r>
      <w:r w:rsidRPr="00D612A3">
        <w:rPr>
          <w:rFonts w:ascii="Calibri" w:hAnsi="Calibri" w:cs="Calibri"/>
          <w:b/>
          <w:bCs/>
          <w:sz w:val="26"/>
          <w:szCs w:val="26"/>
        </w:rPr>
        <w:t>Na nabídkové straně</w:t>
      </w:r>
      <w:r w:rsidRPr="00D612A3">
        <w:rPr>
          <w:rFonts w:ascii="Calibri" w:hAnsi="Calibri" w:cs="Calibri"/>
          <w:sz w:val="26"/>
          <w:szCs w:val="26"/>
        </w:rPr>
        <w:t xml:space="preserve"> (příspěvky k růstu hrubé přidané hodnoty) </w:t>
      </w:r>
      <w:r w:rsidRPr="00D612A3">
        <w:rPr>
          <w:rFonts w:ascii="Calibri" w:hAnsi="Calibri" w:cs="Calibri"/>
          <w:b/>
          <w:bCs/>
          <w:sz w:val="26"/>
          <w:szCs w:val="26"/>
        </w:rPr>
        <w:t>měly</w:t>
      </w:r>
      <w:r w:rsidRPr="00D612A3">
        <w:rPr>
          <w:rFonts w:ascii="Calibri" w:hAnsi="Calibri" w:cs="Calibri"/>
          <w:sz w:val="26"/>
          <w:szCs w:val="26"/>
        </w:rPr>
        <w:t xml:space="preserve"> </w:t>
      </w:r>
      <w:r w:rsidRPr="00D612A3">
        <w:rPr>
          <w:rFonts w:ascii="Calibri" w:hAnsi="Calibri" w:cs="Calibri"/>
          <w:b/>
          <w:bCs/>
          <w:sz w:val="26"/>
          <w:szCs w:val="26"/>
        </w:rPr>
        <w:t>největší vliv</w:t>
      </w:r>
      <w:r w:rsidRPr="00D612A3">
        <w:rPr>
          <w:rFonts w:ascii="Calibri" w:hAnsi="Calibri" w:cs="Calibri"/>
          <w:sz w:val="26"/>
          <w:szCs w:val="26"/>
        </w:rPr>
        <w:t xml:space="preserve"> </w:t>
      </w:r>
      <w:r w:rsidRPr="00D612A3">
        <w:rPr>
          <w:rFonts w:ascii="Calibri" w:hAnsi="Calibri" w:cs="Calibri"/>
          <w:b/>
          <w:bCs/>
          <w:sz w:val="26"/>
          <w:szCs w:val="26"/>
        </w:rPr>
        <w:t>obchod, doprava, ubytování a pohostinství</w:t>
      </w:r>
      <w:r>
        <w:rPr>
          <w:rFonts w:ascii="Calibri" w:hAnsi="Calibri" w:cs="Calibri"/>
          <w:sz w:val="26"/>
          <w:szCs w:val="26"/>
        </w:rPr>
        <w:t xml:space="preserve">, </w:t>
      </w:r>
      <w:r w:rsidRPr="00975149">
        <w:rPr>
          <w:rFonts w:ascii="Calibri" w:hAnsi="Calibri" w:cs="Calibri"/>
          <w:b/>
          <w:bCs/>
          <w:sz w:val="26"/>
          <w:szCs w:val="26"/>
        </w:rPr>
        <w:t>informační a komunikační činnosti, profesní, vědecké, technické a administrativní činnosti a stavebnictví</w:t>
      </w:r>
      <w:r>
        <w:rPr>
          <w:rFonts w:ascii="Calibri" w:hAnsi="Calibri" w:cs="Calibri"/>
          <w:sz w:val="26"/>
          <w:szCs w:val="26"/>
        </w:rPr>
        <w:t>.</w:t>
      </w:r>
    </w:p>
    <w:p w14:paraId="18724F55" w14:textId="77777777" w:rsidR="00ED121B" w:rsidRPr="009256CC" w:rsidRDefault="00ED121B" w:rsidP="00ED121B">
      <w:pPr>
        <w:spacing w:after="120" w:line="360" w:lineRule="auto"/>
        <w:jc w:val="both"/>
        <w:rPr>
          <w:rFonts w:asciiTheme="minorHAnsi" w:hAnsiTheme="minorHAnsi" w:cstheme="minorHAnsi"/>
          <w:b/>
          <w:bCs/>
          <w:sz w:val="26"/>
          <w:szCs w:val="26"/>
        </w:rPr>
      </w:pPr>
      <w:r w:rsidRPr="009256CC">
        <w:rPr>
          <w:rFonts w:asciiTheme="minorHAnsi" w:hAnsiTheme="minorHAnsi" w:cstheme="minorHAnsi"/>
          <w:sz w:val="26"/>
          <w:szCs w:val="26"/>
        </w:rPr>
        <w:tab/>
      </w:r>
      <w:r w:rsidRPr="009256CC">
        <w:rPr>
          <w:rFonts w:asciiTheme="minorHAnsi" w:hAnsiTheme="minorHAnsi" w:cstheme="minorHAnsi"/>
          <w:b/>
          <w:sz w:val="26"/>
          <w:szCs w:val="26"/>
        </w:rPr>
        <w:t xml:space="preserve">Ekonomickou situaci domácností </w:t>
      </w:r>
      <w:r w:rsidRPr="009256CC">
        <w:rPr>
          <w:rFonts w:asciiTheme="minorHAnsi" w:hAnsiTheme="minorHAnsi" w:cstheme="minorHAnsi"/>
          <w:sz w:val="26"/>
          <w:szCs w:val="26"/>
        </w:rPr>
        <w:t xml:space="preserve">v hodnoceném období </w:t>
      </w:r>
      <w:r w:rsidRPr="009256CC">
        <w:rPr>
          <w:rFonts w:asciiTheme="minorHAnsi" w:hAnsiTheme="minorHAnsi" w:cstheme="minorHAnsi"/>
          <w:b/>
          <w:sz w:val="26"/>
          <w:szCs w:val="26"/>
        </w:rPr>
        <w:t>charakterizovaly zejména tyto skutečnosti:</w:t>
      </w:r>
    </w:p>
    <w:p w14:paraId="745A3E07" w14:textId="77777777" w:rsidR="00ED121B" w:rsidRPr="001932EE" w:rsidRDefault="00ED121B" w:rsidP="004A1968">
      <w:pPr>
        <w:pStyle w:val="Odstavecseseznamem"/>
        <w:numPr>
          <w:ilvl w:val="0"/>
          <w:numId w:val="41"/>
        </w:numPr>
        <w:spacing w:after="120" w:line="360" w:lineRule="auto"/>
        <w:jc w:val="both"/>
        <w:rPr>
          <w:rFonts w:ascii="Calibri" w:hAnsi="Calibri" w:cs="Calibri"/>
          <w:sz w:val="26"/>
          <w:szCs w:val="26"/>
        </w:rPr>
      </w:pPr>
      <w:r w:rsidRPr="006C6F8E">
        <w:rPr>
          <w:rFonts w:asciiTheme="minorHAnsi" w:hAnsiTheme="minorHAnsi" w:cstheme="minorHAnsi"/>
          <w:sz w:val="26"/>
          <w:szCs w:val="26"/>
        </w:rPr>
        <w:t xml:space="preserve">hrubý </w:t>
      </w:r>
      <w:r w:rsidRPr="00320349">
        <w:rPr>
          <w:rFonts w:ascii="Calibri" w:hAnsi="Calibri" w:cs="Calibri"/>
          <w:b/>
          <w:bCs/>
          <w:sz w:val="26"/>
          <w:szCs w:val="26"/>
        </w:rPr>
        <w:t>disponibilní důchod</w:t>
      </w:r>
      <w:r w:rsidRPr="00320349">
        <w:rPr>
          <w:rFonts w:ascii="Calibri" w:hAnsi="Calibri" w:cs="Calibri"/>
          <w:sz w:val="26"/>
          <w:szCs w:val="26"/>
        </w:rPr>
        <w:t xml:space="preserve"> sektoru</w:t>
      </w:r>
      <w:r w:rsidRPr="00320349">
        <w:rPr>
          <w:rFonts w:ascii="Calibri" w:hAnsi="Calibri" w:cs="Calibri"/>
          <w:bCs/>
          <w:sz w:val="26"/>
          <w:szCs w:val="26"/>
        </w:rPr>
        <w:t xml:space="preserve"> </w:t>
      </w:r>
      <w:r w:rsidRPr="00320349">
        <w:rPr>
          <w:rFonts w:ascii="Calibri" w:hAnsi="Calibri" w:cs="Calibri"/>
          <w:b/>
          <w:bCs/>
          <w:sz w:val="26"/>
          <w:szCs w:val="26"/>
        </w:rPr>
        <w:t>domácností</w:t>
      </w:r>
      <w:r w:rsidRPr="00320349">
        <w:rPr>
          <w:rFonts w:ascii="Calibri" w:hAnsi="Calibri" w:cs="Calibri"/>
          <w:bCs/>
          <w:sz w:val="26"/>
          <w:szCs w:val="26"/>
        </w:rPr>
        <w:t xml:space="preserve"> </w:t>
      </w:r>
      <w:r w:rsidRPr="00320349">
        <w:rPr>
          <w:rFonts w:ascii="Calibri" w:hAnsi="Calibri" w:cs="Calibri"/>
          <w:sz w:val="26"/>
          <w:szCs w:val="26"/>
        </w:rPr>
        <w:t>(na makroúrovni statistiky národních účtů)</w:t>
      </w:r>
      <w:r w:rsidRPr="00320349">
        <w:rPr>
          <w:rFonts w:ascii="Calibri" w:hAnsi="Calibri" w:cs="Calibri"/>
          <w:bCs/>
          <w:sz w:val="26"/>
          <w:szCs w:val="26"/>
        </w:rPr>
        <w:t xml:space="preserve"> </w:t>
      </w:r>
      <w:r w:rsidRPr="00320349">
        <w:rPr>
          <w:rFonts w:ascii="Calibri" w:hAnsi="Calibri" w:cs="Calibri"/>
          <w:b/>
          <w:bCs/>
          <w:sz w:val="26"/>
          <w:szCs w:val="26"/>
        </w:rPr>
        <w:t>vzrostl</w:t>
      </w:r>
      <w:r w:rsidRPr="00320349">
        <w:rPr>
          <w:rFonts w:ascii="Calibri" w:hAnsi="Calibri" w:cs="Calibri"/>
          <w:bCs/>
          <w:sz w:val="26"/>
          <w:szCs w:val="26"/>
        </w:rPr>
        <w:t xml:space="preserve"> </w:t>
      </w:r>
      <w:r w:rsidRPr="00320349">
        <w:rPr>
          <w:rFonts w:ascii="Calibri" w:hAnsi="Calibri" w:cs="Calibri"/>
          <w:sz w:val="26"/>
          <w:szCs w:val="26"/>
        </w:rPr>
        <w:t xml:space="preserve">nominálně </w:t>
      </w:r>
      <w:r w:rsidRPr="00320349">
        <w:rPr>
          <w:rFonts w:ascii="Calibri" w:hAnsi="Calibri" w:cs="Calibri"/>
          <w:b/>
          <w:bCs/>
          <w:sz w:val="26"/>
          <w:szCs w:val="26"/>
        </w:rPr>
        <w:t>o 9,1 % na 1 758,0 mld. Kč,</w:t>
      </w:r>
      <w:r w:rsidRPr="00320349">
        <w:rPr>
          <w:rFonts w:ascii="Calibri" w:hAnsi="Calibri" w:cs="Calibri"/>
          <w:bCs/>
          <w:sz w:val="26"/>
          <w:szCs w:val="26"/>
        </w:rPr>
        <w:t xml:space="preserve"> </w:t>
      </w:r>
      <w:r w:rsidRPr="00320349">
        <w:rPr>
          <w:rFonts w:ascii="Calibri" w:hAnsi="Calibri" w:cs="Calibri"/>
          <w:sz w:val="26"/>
          <w:szCs w:val="26"/>
        </w:rPr>
        <w:t xml:space="preserve">což při zohlednění </w:t>
      </w:r>
      <w:r w:rsidRPr="001932EE">
        <w:rPr>
          <w:rFonts w:ascii="Calibri" w:hAnsi="Calibri" w:cs="Calibri"/>
          <w:sz w:val="26"/>
          <w:szCs w:val="26"/>
        </w:rPr>
        <w:t xml:space="preserve">cenové inflace znamenalo jeho </w:t>
      </w:r>
      <w:r w:rsidRPr="001932EE">
        <w:rPr>
          <w:rFonts w:ascii="Calibri" w:hAnsi="Calibri" w:cs="Calibri"/>
          <w:b/>
          <w:bCs/>
          <w:sz w:val="26"/>
          <w:szCs w:val="26"/>
        </w:rPr>
        <w:t xml:space="preserve">reálné snížení o 3,9 %, </w:t>
      </w:r>
    </w:p>
    <w:p w14:paraId="450A7DB1" w14:textId="77777777" w:rsidR="00ED121B" w:rsidRPr="001932EE" w:rsidRDefault="00ED121B" w:rsidP="004A1968">
      <w:pPr>
        <w:numPr>
          <w:ilvl w:val="0"/>
          <w:numId w:val="41"/>
        </w:numPr>
        <w:spacing w:after="120" w:line="360" w:lineRule="auto"/>
        <w:jc w:val="both"/>
        <w:rPr>
          <w:rFonts w:asciiTheme="minorHAnsi" w:hAnsiTheme="minorHAnsi" w:cstheme="minorHAnsi"/>
          <w:bCs/>
          <w:sz w:val="26"/>
          <w:szCs w:val="26"/>
        </w:rPr>
      </w:pPr>
      <w:r w:rsidRPr="001932EE">
        <w:rPr>
          <w:rFonts w:asciiTheme="minorHAnsi" w:hAnsiTheme="minorHAnsi" w:cstheme="minorHAnsi"/>
          <w:b/>
          <w:bCs/>
          <w:sz w:val="26"/>
          <w:szCs w:val="26"/>
        </w:rPr>
        <w:t xml:space="preserve">největším </w:t>
      </w:r>
      <w:r w:rsidRPr="001932EE">
        <w:rPr>
          <w:rFonts w:ascii="Calibri" w:hAnsi="Calibri" w:cs="Calibri"/>
          <w:b/>
          <w:bCs/>
          <w:sz w:val="26"/>
          <w:szCs w:val="26"/>
        </w:rPr>
        <w:t>zdrojem peněžních příjmů</w:t>
      </w:r>
      <w:r w:rsidRPr="001932EE">
        <w:rPr>
          <w:rFonts w:ascii="Calibri" w:hAnsi="Calibri" w:cs="Calibri"/>
          <w:bCs/>
          <w:sz w:val="26"/>
          <w:szCs w:val="26"/>
        </w:rPr>
        <w:t xml:space="preserve"> domácností byly </w:t>
      </w:r>
      <w:r w:rsidRPr="001932EE">
        <w:rPr>
          <w:rFonts w:ascii="Calibri" w:hAnsi="Calibri" w:cs="Calibri"/>
          <w:b/>
          <w:bCs/>
          <w:sz w:val="26"/>
          <w:szCs w:val="26"/>
        </w:rPr>
        <w:t>mzdy;</w:t>
      </w:r>
      <w:r w:rsidRPr="001932EE">
        <w:rPr>
          <w:rFonts w:ascii="Calibri" w:hAnsi="Calibri" w:cs="Calibri"/>
          <w:b/>
          <w:sz w:val="26"/>
          <w:szCs w:val="26"/>
        </w:rPr>
        <w:t xml:space="preserve"> </w:t>
      </w:r>
      <w:r w:rsidRPr="001932EE">
        <w:rPr>
          <w:rFonts w:ascii="Calibri" w:hAnsi="Calibri" w:cs="Calibri"/>
          <w:b/>
          <w:bCs/>
          <w:sz w:val="26"/>
          <w:szCs w:val="26"/>
        </w:rPr>
        <w:t>průměrná měsíční nominální mzda v</w:t>
      </w:r>
      <w:r>
        <w:rPr>
          <w:rFonts w:ascii="Calibri" w:hAnsi="Calibri" w:cs="Calibri"/>
          <w:b/>
          <w:bCs/>
          <w:sz w:val="26"/>
          <w:szCs w:val="26"/>
        </w:rPr>
        <w:t xml:space="preserve"> </w:t>
      </w:r>
      <w:r w:rsidRPr="001932EE">
        <w:rPr>
          <w:rFonts w:ascii="Calibri" w:hAnsi="Calibri" w:cs="Calibri"/>
          <w:b/>
          <w:bCs/>
          <w:sz w:val="26"/>
          <w:szCs w:val="26"/>
        </w:rPr>
        <w:t>národním hospodářství</w:t>
      </w:r>
      <w:r w:rsidRPr="001932EE">
        <w:rPr>
          <w:rFonts w:ascii="Calibri" w:hAnsi="Calibri" w:cs="Calibri"/>
          <w:bCs/>
          <w:sz w:val="26"/>
          <w:szCs w:val="26"/>
        </w:rPr>
        <w:t xml:space="preserve"> (na přepočtené počty zaměstnanců) činila </w:t>
      </w:r>
      <w:r w:rsidRPr="001932EE">
        <w:rPr>
          <w:rFonts w:ascii="Calibri" w:hAnsi="Calibri" w:cs="Calibri"/>
          <w:b/>
          <w:bCs/>
          <w:sz w:val="26"/>
          <w:szCs w:val="26"/>
        </w:rPr>
        <w:t>39 033 Kč a její meziroční dynamika růstu se</w:t>
      </w:r>
      <w:r w:rsidRPr="001932EE">
        <w:rPr>
          <w:rFonts w:ascii="Calibri" w:hAnsi="Calibri" w:cs="Calibri"/>
          <w:bCs/>
          <w:sz w:val="26"/>
          <w:szCs w:val="26"/>
        </w:rPr>
        <w:t xml:space="preserve"> </w:t>
      </w:r>
      <w:r w:rsidRPr="001932EE">
        <w:rPr>
          <w:rFonts w:ascii="Calibri" w:hAnsi="Calibri" w:cs="Calibri"/>
          <w:b/>
          <w:bCs/>
          <w:sz w:val="26"/>
          <w:szCs w:val="26"/>
        </w:rPr>
        <w:t xml:space="preserve">snížila </w:t>
      </w:r>
      <w:r w:rsidRPr="001932EE">
        <w:rPr>
          <w:rFonts w:ascii="Calibri" w:hAnsi="Calibri" w:cs="Calibri"/>
          <w:sz w:val="26"/>
          <w:szCs w:val="26"/>
        </w:rPr>
        <w:t>o</w:t>
      </w:r>
      <w:r>
        <w:rPr>
          <w:rFonts w:ascii="Calibri" w:hAnsi="Calibri" w:cs="Calibri"/>
          <w:sz w:val="26"/>
          <w:szCs w:val="26"/>
        </w:rPr>
        <w:t xml:space="preserve"> </w:t>
      </w:r>
      <w:r w:rsidRPr="001932EE">
        <w:rPr>
          <w:rFonts w:ascii="Calibri" w:hAnsi="Calibri" w:cs="Calibri"/>
          <w:sz w:val="26"/>
          <w:szCs w:val="26"/>
        </w:rPr>
        <w:t xml:space="preserve">0,2 p. b. </w:t>
      </w:r>
      <w:r w:rsidRPr="001932EE">
        <w:rPr>
          <w:rFonts w:ascii="Calibri" w:hAnsi="Calibri" w:cs="Calibri"/>
          <w:b/>
          <w:bCs/>
          <w:sz w:val="26"/>
          <w:szCs w:val="26"/>
        </w:rPr>
        <w:t>na 5,8 %</w:t>
      </w:r>
      <w:r w:rsidRPr="001932EE">
        <w:rPr>
          <w:rFonts w:ascii="Calibri" w:hAnsi="Calibri" w:cs="Calibri"/>
          <w:bCs/>
          <w:sz w:val="26"/>
          <w:szCs w:val="26"/>
        </w:rPr>
        <w:t>; po zohlednění vývoje cenové inflace však došlo k</w:t>
      </w:r>
      <w:r>
        <w:rPr>
          <w:rFonts w:ascii="Calibri" w:hAnsi="Calibri" w:cs="Calibri"/>
          <w:bCs/>
          <w:sz w:val="26"/>
          <w:szCs w:val="26"/>
        </w:rPr>
        <w:t xml:space="preserve"> </w:t>
      </w:r>
      <w:r w:rsidRPr="001932EE">
        <w:rPr>
          <w:rFonts w:ascii="Calibri" w:hAnsi="Calibri" w:cs="Calibri"/>
          <w:bCs/>
          <w:sz w:val="26"/>
          <w:szCs w:val="26"/>
        </w:rPr>
        <w:t xml:space="preserve">výraznému </w:t>
      </w:r>
      <w:r w:rsidRPr="001932EE">
        <w:rPr>
          <w:rFonts w:ascii="Calibri" w:hAnsi="Calibri" w:cs="Calibri"/>
          <w:b/>
          <w:bCs/>
          <w:sz w:val="26"/>
          <w:szCs w:val="26"/>
        </w:rPr>
        <w:t>poklesu reálné úrovně průměrné mzdy o</w:t>
      </w:r>
      <w:r>
        <w:rPr>
          <w:rFonts w:ascii="Calibri" w:hAnsi="Calibri" w:cs="Calibri"/>
          <w:b/>
          <w:bCs/>
          <w:sz w:val="26"/>
          <w:szCs w:val="26"/>
        </w:rPr>
        <w:t xml:space="preserve"> </w:t>
      </w:r>
      <w:r w:rsidRPr="001932EE">
        <w:rPr>
          <w:rFonts w:ascii="Calibri" w:hAnsi="Calibri" w:cs="Calibri"/>
          <w:b/>
          <w:bCs/>
          <w:sz w:val="26"/>
          <w:szCs w:val="26"/>
        </w:rPr>
        <w:t>6,8 %</w:t>
      </w:r>
      <w:r w:rsidRPr="001932EE">
        <w:rPr>
          <w:rFonts w:asciiTheme="minorHAnsi" w:hAnsiTheme="minorHAnsi" w:cstheme="minorHAnsi"/>
          <w:bCs/>
          <w:sz w:val="26"/>
          <w:szCs w:val="26"/>
        </w:rPr>
        <w:t>,</w:t>
      </w:r>
    </w:p>
    <w:p w14:paraId="3E84BF8D" w14:textId="3D3145F9" w:rsidR="00ED121B" w:rsidRPr="001932EE" w:rsidRDefault="00ED121B" w:rsidP="004A1968">
      <w:pPr>
        <w:pStyle w:val="Odstavecseseznamem"/>
        <w:numPr>
          <w:ilvl w:val="0"/>
          <w:numId w:val="42"/>
        </w:numPr>
        <w:spacing w:after="120" w:line="360" w:lineRule="auto"/>
        <w:jc w:val="both"/>
        <w:rPr>
          <w:rFonts w:asciiTheme="minorHAnsi" w:hAnsiTheme="minorHAnsi" w:cstheme="minorHAnsi"/>
          <w:sz w:val="26"/>
          <w:szCs w:val="26"/>
        </w:rPr>
      </w:pPr>
      <w:r w:rsidRPr="001932EE">
        <w:rPr>
          <w:rFonts w:asciiTheme="minorHAnsi" w:hAnsiTheme="minorHAnsi" w:cstheme="minorHAnsi"/>
          <w:b/>
          <w:bCs/>
          <w:sz w:val="26"/>
          <w:szCs w:val="26"/>
        </w:rPr>
        <w:lastRenderedPageBreak/>
        <w:t>příjmy sociálního charakteru</w:t>
      </w:r>
      <w:r w:rsidRPr="001932EE">
        <w:rPr>
          <w:rFonts w:asciiTheme="minorHAnsi" w:hAnsiTheme="minorHAnsi" w:cstheme="minorHAnsi"/>
          <w:bCs/>
          <w:sz w:val="26"/>
          <w:szCs w:val="26"/>
        </w:rPr>
        <w:t xml:space="preserve"> – </w:t>
      </w:r>
      <w:r w:rsidRPr="001932EE">
        <w:rPr>
          <w:rFonts w:asciiTheme="minorHAnsi" w:hAnsiTheme="minorHAnsi" w:cstheme="minorHAnsi"/>
          <w:sz w:val="26"/>
          <w:szCs w:val="26"/>
        </w:rPr>
        <w:t xml:space="preserve">druhé nejvýznamnější složky úhrnných příjmů domácností – </w:t>
      </w:r>
      <w:r w:rsidRPr="001932EE">
        <w:rPr>
          <w:rFonts w:asciiTheme="minorHAnsi" w:hAnsiTheme="minorHAnsi" w:cstheme="minorHAnsi"/>
          <w:b/>
          <w:bCs/>
          <w:sz w:val="26"/>
          <w:szCs w:val="26"/>
        </w:rPr>
        <w:t xml:space="preserve">vzrostly </w:t>
      </w:r>
      <w:r w:rsidRPr="001932EE">
        <w:rPr>
          <w:rFonts w:asciiTheme="minorHAnsi" w:hAnsiTheme="minorHAnsi" w:cstheme="minorHAnsi"/>
          <w:bCs/>
          <w:sz w:val="26"/>
          <w:szCs w:val="26"/>
        </w:rPr>
        <w:t xml:space="preserve">(o 6,0 %); </w:t>
      </w:r>
      <w:r w:rsidRPr="001932EE">
        <w:rPr>
          <w:rFonts w:asciiTheme="minorHAnsi" w:hAnsiTheme="minorHAnsi" w:cstheme="minorHAnsi"/>
          <w:b/>
          <w:bCs/>
          <w:sz w:val="26"/>
          <w:szCs w:val="26"/>
        </w:rPr>
        <w:t>nárůst</w:t>
      </w:r>
      <w:r w:rsidRPr="001932EE">
        <w:rPr>
          <w:rFonts w:asciiTheme="minorHAnsi" w:hAnsiTheme="minorHAnsi" w:cstheme="minorHAnsi"/>
          <w:sz w:val="26"/>
          <w:szCs w:val="26"/>
        </w:rPr>
        <w:t xml:space="preserve"> byl zaznamenán u </w:t>
      </w:r>
      <w:r w:rsidRPr="001932EE">
        <w:rPr>
          <w:rFonts w:asciiTheme="minorHAnsi" w:hAnsiTheme="minorHAnsi" w:cstheme="minorHAnsi"/>
          <w:b/>
          <w:bCs/>
          <w:sz w:val="26"/>
          <w:szCs w:val="26"/>
        </w:rPr>
        <w:t>dávek pomoci v</w:t>
      </w:r>
      <w:r>
        <w:rPr>
          <w:rFonts w:asciiTheme="minorHAnsi" w:hAnsiTheme="minorHAnsi" w:cstheme="minorHAnsi"/>
          <w:b/>
          <w:bCs/>
          <w:sz w:val="26"/>
          <w:szCs w:val="26"/>
        </w:rPr>
        <w:t xml:space="preserve"> </w:t>
      </w:r>
      <w:r w:rsidRPr="001932EE">
        <w:rPr>
          <w:rFonts w:asciiTheme="minorHAnsi" w:hAnsiTheme="minorHAnsi" w:cstheme="minorHAnsi"/>
          <w:b/>
          <w:bCs/>
          <w:sz w:val="26"/>
          <w:szCs w:val="26"/>
        </w:rPr>
        <w:t xml:space="preserve">hmotné </w:t>
      </w:r>
      <w:r w:rsidRPr="0080146E">
        <w:rPr>
          <w:rFonts w:asciiTheme="minorHAnsi" w:hAnsiTheme="minorHAnsi" w:cstheme="minorHAnsi"/>
          <w:b/>
          <w:bCs/>
          <w:sz w:val="26"/>
          <w:szCs w:val="26"/>
        </w:rPr>
        <w:t xml:space="preserve">nouzi a humanitární pomoci občanům Ukrajiny, příspěvku na péči, dávek </w:t>
      </w:r>
      <w:r w:rsidRPr="001932EE">
        <w:rPr>
          <w:rFonts w:asciiTheme="minorHAnsi" w:hAnsiTheme="minorHAnsi" w:cstheme="minorHAnsi"/>
          <w:b/>
          <w:bCs/>
          <w:sz w:val="26"/>
          <w:szCs w:val="26"/>
        </w:rPr>
        <w:t xml:space="preserve">důchodového pojištění </w:t>
      </w:r>
      <w:r w:rsidRPr="001932EE">
        <w:rPr>
          <w:rFonts w:asciiTheme="minorHAnsi" w:hAnsiTheme="minorHAnsi" w:cstheme="minorHAnsi"/>
          <w:sz w:val="26"/>
          <w:szCs w:val="26"/>
        </w:rPr>
        <w:t>a</w:t>
      </w:r>
      <w:r w:rsidRPr="001932EE">
        <w:rPr>
          <w:rFonts w:asciiTheme="minorHAnsi" w:hAnsiTheme="minorHAnsi" w:cstheme="minorHAnsi"/>
          <w:b/>
          <w:bCs/>
          <w:sz w:val="26"/>
          <w:szCs w:val="26"/>
        </w:rPr>
        <w:t xml:space="preserve"> dávek pro osoby se zdravotním postižením</w:t>
      </w:r>
      <w:r w:rsidRPr="001932EE">
        <w:rPr>
          <w:rFonts w:asciiTheme="minorHAnsi" w:hAnsiTheme="minorHAnsi" w:cstheme="minorHAnsi"/>
          <w:sz w:val="26"/>
          <w:szCs w:val="26"/>
        </w:rPr>
        <w:t xml:space="preserve">; </w:t>
      </w:r>
      <w:r w:rsidRPr="001932EE">
        <w:rPr>
          <w:rFonts w:asciiTheme="minorHAnsi" w:hAnsiTheme="minorHAnsi" w:cstheme="minorHAnsi"/>
          <w:b/>
          <w:bCs/>
          <w:sz w:val="26"/>
          <w:szCs w:val="26"/>
        </w:rPr>
        <w:t xml:space="preserve">příjmy </w:t>
      </w:r>
      <w:r w:rsidRPr="001932EE">
        <w:rPr>
          <w:rFonts w:asciiTheme="minorHAnsi" w:hAnsiTheme="minorHAnsi" w:cstheme="minorHAnsi"/>
          <w:sz w:val="26"/>
          <w:szCs w:val="26"/>
        </w:rPr>
        <w:t>občanů</w:t>
      </w:r>
      <w:r w:rsidRPr="001932EE">
        <w:rPr>
          <w:rFonts w:asciiTheme="minorHAnsi" w:hAnsiTheme="minorHAnsi" w:cstheme="minorHAnsi"/>
          <w:b/>
          <w:bCs/>
          <w:sz w:val="26"/>
          <w:szCs w:val="26"/>
        </w:rPr>
        <w:t xml:space="preserve"> z</w:t>
      </w:r>
      <w:r>
        <w:rPr>
          <w:rFonts w:asciiTheme="minorHAnsi" w:hAnsiTheme="minorHAnsi" w:cstheme="minorHAnsi"/>
          <w:b/>
          <w:bCs/>
          <w:sz w:val="26"/>
          <w:szCs w:val="26"/>
        </w:rPr>
        <w:t xml:space="preserve"> </w:t>
      </w:r>
      <w:r w:rsidRPr="001932EE">
        <w:rPr>
          <w:rFonts w:asciiTheme="minorHAnsi" w:hAnsiTheme="minorHAnsi" w:cstheme="minorHAnsi"/>
          <w:b/>
          <w:bCs/>
          <w:sz w:val="26"/>
          <w:szCs w:val="26"/>
        </w:rPr>
        <w:t xml:space="preserve">ostatních druhů </w:t>
      </w:r>
      <w:r w:rsidRPr="001932EE">
        <w:rPr>
          <w:rFonts w:asciiTheme="minorHAnsi" w:hAnsiTheme="minorHAnsi" w:cstheme="minorHAnsi"/>
          <w:sz w:val="26"/>
          <w:szCs w:val="26"/>
        </w:rPr>
        <w:t>sociálních</w:t>
      </w:r>
      <w:r w:rsidRPr="001932EE">
        <w:rPr>
          <w:rFonts w:asciiTheme="minorHAnsi" w:hAnsiTheme="minorHAnsi" w:cstheme="minorHAnsi"/>
          <w:b/>
          <w:bCs/>
          <w:sz w:val="26"/>
          <w:szCs w:val="26"/>
        </w:rPr>
        <w:t xml:space="preserve"> dávek se snížily</w:t>
      </w:r>
      <w:r w:rsidRPr="001932EE">
        <w:rPr>
          <w:rFonts w:asciiTheme="minorHAnsi" w:hAnsiTheme="minorHAnsi" w:cstheme="minorHAnsi"/>
          <w:sz w:val="26"/>
          <w:szCs w:val="26"/>
        </w:rPr>
        <w:t>,</w:t>
      </w:r>
    </w:p>
    <w:p w14:paraId="05B54C4F" w14:textId="5BB6B84F" w:rsidR="00ED121B" w:rsidRPr="001932EE" w:rsidRDefault="00ED121B" w:rsidP="004A1968">
      <w:pPr>
        <w:pStyle w:val="Odstavecseseznamem"/>
        <w:numPr>
          <w:ilvl w:val="0"/>
          <w:numId w:val="42"/>
        </w:numPr>
        <w:spacing w:after="120" w:line="360" w:lineRule="auto"/>
        <w:jc w:val="both"/>
        <w:rPr>
          <w:rFonts w:asciiTheme="minorHAnsi" w:hAnsiTheme="minorHAnsi" w:cstheme="minorHAnsi"/>
          <w:sz w:val="26"/>
          <w:szCs w:val="26"/>
        </w:rPr>
      </w:pPr>
      <w:r w:rsidRPr="001932EE">
        <w:rPr>
          <w:rFonts w:asciiTheme="minorHAnsi" w:hAnsiTheme="minorHAnsi" w:cstheme="minorHAnsi"/>
          <w:b/>
          <w:bCs/>
          <w:sz w:val="26"/>
          <w:szCs w:val="26"/>
        </w:rPr>
        <w:t>průměrná výše</w:t>
      </w:r>
      <w:r w:rsidRPr="001932EE">
        <w:rPr>
          <w:rFonts w:asciiTheme="minorHAnsi" w:hAnsiTheme="minorHAnsi" w:cstheme="minorHAnsi"/>
          <w:sz w:val="26"/>
          <w:szCs w:val="26"/>
        </w:rPr>
        <w:t xml:space="preserve"> (samostatně vypláceného) </w:t>
      </w:r>
      <w:r w:rsidRPr="001932EE">
        <w:rPr>
          <w:rFonts w:asciiTheme="minorHAnsi" w:hAnsiTheme="minorHAnsi" w:cstheme="minorHAnsi"/>
          <w:b/>
          <w:sz w:val="26"/>
          <w:szCs w:val="26"/>
        </w:rPr>
        <w:t xml:space="preserve">starobního </w:t>
      </w:r>
      <w:r w:rsidRPr="001932EE">
        <w:rPr>
          <w:rFonts w:asciiTheme="minorHAnsi" w:hAnsiTheme="minorHAnsi" w:cstheme="minorHAnsi"/>
          <w:b/>
          <w:bCs/>
          <w:sz w:val="26"/>
          <w:szCs w:val="26"/>
        </w:rPr>
        <w:t>důchodu</w:t>
      </w:r>
      <w:r w:rsidRPr="001932EE">
        <w:rPr>
          <w:rFonts w:asciiTheme="minorHAnsi" w:hAnsiTheme="minorHAnsi" w:cstheme="minorHAnsi"/>
          <w:sz w:val="26"/>
          <w:szCs w:val="26"/>
        </w:rPr>
        <w:t xml:space="preserve"> </w:t>
      </w:r>
      <w:r w:rsidRPr="001932EE">
        <w:rPr>
          <w:rFonts w:asciiTheme="minorHAnsi" w:hAnsiTheme="minorHAnsi" w:cstheme="minorHAnsi"/>
          <w:b/>
          <w:sz w:val="26"/>
          <w:szCs w:val="26"/>
        </w:rPr>
        <w:t>vzrostla o 7,0 % na</w:t>
      </w:r>
      <w:r w:rsidR="00573435">
        <w:rPr>
          <w:rFonts w:asciiTheme="minorHAnsi" w:hAnsiTheme="minorHAnsi" w:cstheme="minorHAnsi"/>
          <w:b/>
          <w:sz w:val="26"/>
          <w:szCs w:val="26"/>
        </w:rPr>
        <w:t> </w:t>
      </w:r>
      <w:r w:rsidRPr="001932EE">
        <w:rPr>
          <w:rFonts w:asciiTheme="minorHAnsi" w:hAnsiTheme="minorHAnsi" w:cstheme="minorHAnsi"/>
          <w:b/>
          <w:bCs/>
          <w:sz w:val="26"/>
          <w:szCs w:val="26"/>
        </w:rPr>
        <w:t>16 455 Kč,</w:t>
      </w:r>
      <w:r w:rsidRPr="001932EE">
        <w:rPr>
          <w:rFonts w:asciiTheme="minorHAnsi" w:hAnsiTheme="minorHAnsi" w:cstheme="minorHAnsi"/>
          <w:sz w:val="26"/>
          <w:szCs w:val="26"/>
        </w:rPr>
        <w:t xml:space="preserve"> jeho </w:t>
      </w:r>
      <w:r w:rsidRPr="001932EE">
        <w:rPr>
          <w:rFonts w:asciiTheme="minorHAnsi" w:hAnsiTheme="minorHAnsi" w:cstheme="minorHAnsi"/>
          <w:b/>
          <w:bCs/>
          <w:sz w:val="26"/>
          <w:szCs w:val="26"/>
        </w:rPr>
        <w:t>reálná hodnota</w:t>
      </w:r>
      <w:r w:rsidRPr="001932EE">
        <w:rPr>
          <w:rFonts w:asciiTheme="minorHAnsi" w:hAnsiTheme="minorHAnsi" w:cstheme="minorHAnsi"/>
          <w:sz w:val="26"/>
          <w:szCs w:val="26"/>
        </w:rPr>
        <w:t xml:space="preserve"> </w:t>
      </w:r>
      <w:r w:rsidRPr="001932EE">
        <w:rPr>
          <w:rFonts w:asciiTheme="minorHAnsi" w:hAnsiTheme="minorHAnsi" w:cstheme="minorHAnsi"/>
          <w:b/>
          <w:bCs/>
          <w:sz w:val="26"/>
          <w:szCs w:val="26"/>
        </w:rPr>
        <w:t>však</w:t>
      </w:r>
      <w:r w:rsidRPr="001932EE">
        <w:rPr>
          <w:rFonts w:asciiTheme="minorHAnsi" w:hAnsiTheme="minorHAnsi" w:cstheme="minorHAnsi"/>
          <w:sz w:val="26"/>
          <w:szCs w:val="26"/>
        </w:rPr>
        <w:t xml:space="preserve"> </w:t>
      </w:r>
      <w:r w:rsidRPr="001932EE">
        <w:rPr>
          <w:rFonts w:asciiTheme="minorHAnsi" w:hAnsiTheme="minorHAnsi" w:cstheme="minorHAnsi"/>
          <w:b/>
          <w:bCs/>
          <w:sz w:val="26"/>
          <w:szCs w:val="26"/>
        </w:rPr>
        <w:t>klesla o 5,3 %</w:t>
      </w:r>
      <w:r w:rsidRPr="001932EE">
        <w:rPr>
          <w:rFonts w:asciiTheme="minorHAnsi" w:hAnsiTheme="minorHAnsi" w:cstheme="minorHAnsi"/>
          <w:sz w:val="26"/>
          <w:szCs w:val="26"/>
        </w:rPr>
        <w:t xml:space="preserve"> (při použití indexu životních nákladů domácností důchodců ve výši 113,0 %),</w:t>
      </w:r>
    </w:p>
    <w:p w14:paraId="173D1C23" w14:textId="2D8F77FA" w:rsidR="00ED121B" w:rsidRPr="001B63E5" w:rsidRDefault="00ED121B" w:rsidP="004A1968">
      <w:pPr>
        <w:pStyle w:val="Odstavecseseznamem"/>
        <w:numPr>
          <w:ilvl w:val="0"/>
          <w:numId w:val="42"/>
        </w:numPr>
        <w:spacing w:after="120" w:line="360" w:lineRule="auto"/>
        <w:jc w:val="both"/>
        <w:rPr>
          <w:rFonts w:asciiTheme="minorHAnsi" w:hAnsiTheme="minorHAnsi" w:cstheme="minorHAnsi"/>
          <w:b/>
          <w:bCs/>
          <w:sz w:val="26"/>
          <w:szCs w:val="26"/>
        </w:rPr>
      </w:pPr>
      <w:r w:rsidRPr="001932EE">
        <w:rPr>
          <w:rFonts w:asciiTheme="minorHAnsi" w:hAnsiTheme="minorHAnsi" w:cstheme="minorHAnsi"/>
          <w:b/>
          <w:sz w:val="26"/>
          <w:szCs w:val="26"/>
        </w:rPr>
        <w:t xml:space="preserve">snížil se průměrný </w:t>
      </w:r>
      <w:r w:rsidRPr="001932EE">
        <w:rPr>
          <w:rFonts w:asciiTheme="minorHAnsi" w:hAnsiTheme="minorHAnsi" w:cstheme="minorHAnsi"/>
          <w:b/>
          <w:bCs/>
          <w:sz w:val="26"/>
          <w:szCs w:val="26"/>
        </w:rPr>
        <w:t xml:space="preserve">počet evidovaných nezaměstnaných </w:t>
      </w:r>
      <w:r w:rsidRPr="001932EE">
        <w:rPr>
          <w:rFonts w:asciiTheme="minorHAnsi" w:hAnsiTheme="minorHAnsi" w:cstheme="minorHAnsi"/>
          <w:sz w:val="26"/>
          <w:szCs w:val="26"/>
        </w:rPr>
        <w:t xml:space="preserve">(o 47,7 tis. na 251,2 tis.) </w:t>
      </w:r>
      <w:r w:rsidRPr="001932EE">
        <w:rPr>
          <w:rFonts w:asciiTheme="minorHAnsi" w:hAnsiTheme="minorHAnsi" w:cstheme="minorHAnsi"/>
          <w:bCs/>
          <w:sz w:val="26"/>
          <w:szCs w:val="26"/>
        </w:rPr>
        <w:t>a zároveň i počet evidovaných nezaměstnaných s nárokem na podporu, přičemž</w:t>
      </w:r>
      <w:r w:rsidRPr="001932EE">
        <w:rPr>
          <w:rFonts w:asciiTheme="minorHAnsi" w:hAnsiTheme="minorHAnsi" w:cstheme="minorHAnsi"/>
          <w:b/>
          <w:bCs/>
          <w:sz w:val="26"/>
          <w:szCs w:val="26"/>
        </w:rPr>
        <w:t xml:space="preserve"> průměrná výše podpory v nezaměstnanosti se</w:t>
      </w:r>
      <w:r w:rsidRPr="001932EE">
        <w:rPr>
          <w:rFonts w:asciiTheme="minorHAnsi" w:hAnsiTheme="minorHAnsi" w:cstheme="minorHAnsi"/>
          <w:bCs/>
          <w:sz w:val="26"/>
          <w:szCs w:val="26"/>
        </w:rPr>
        <w:t xml:space="preserve"> meziročně </w:t>
      </w:r>
      <w:r w:rsidRPr="001932EE">
        <w:rPr>
          <w:rFonts w:asciiTheme="minorHAnsi" w:hAnsiTheme="minorHAnsi" w:cstheme="minorHAnsi"/>
          <w:b/>
          <w:bCs/>
          <w:sz w:val="26"/>
          <w:szCs w:val="26"/>
        </w:rPr>
        <w:t>zvýšila o 10,1 % na</w:t>
      </w:r>
      <w:r w:rsidR="00573435">
        <w:rPr>
          <w:rFonts w:asciiTheme="minorHAnsi" w:hAnsiTheme="minorHAnsi" w:cstheme="minorHAnsi"/>
          <w:b/>
          <w:bCs/>
          <w:sz w:val="26"/>
          <w:szCs w:val="26"/>
        </w:rPr>
        <w:t xml:space="preserve"> </w:t>
      </w:r>
      <w:r w:rsidRPr="001932EE">
        <w:rPr>
          <w:rFonts w:asciiTheme="minorHAnsi" w:hAnsiTheme="minorHAnsi" w:cstheme="minorHAnsi"/>
          <w:b/>
          <w:bCs/>
          <w:sz w:val="26"/>
          <w:szCs w:val="26"/>
        </w:rPr>
        <w:t xml:space="preserve">9 327 Kč </w:t>
      </w:r>
      <w:r w:rsidRPr="001932EE">
        <w:rPr>
          <w:rFonts w:asciiTheme="minorHAnsi" w:hAnsiTheme="minorHAnsi" w:cstheme="minorHAnsi"/>
          <w:bCs/>
          <w:sz w:val="26"/>
          <w:szCs w:val="26"/>
        </w:rPr>
        <w:t>měsíčně,</w:t>
      </w:r>
    </w:p>
    <w:p w14:paraId="1E6D2F5A" w14:textId="619B58B5" w:rsidR="00ED121B" w:rsidRPr="001B63E5" w:rsidRDefault="00ED121B" w:rsidP="004A1968">
      <w:pPr>
        <w:pStyle w:val="Odstavecseseznamem"/>
        <w:numPr>
          <w:ilvl w:val="0"/>
          <w:numId w:val="42"/>
        </w:numPr>
        <w:spacing w:after="120" w:line="360" w:lineRule="auto"/>
        <w:jc w:val="both"/>
        <w:rPr>
          <w:rFonts w:asciiTheme="minorHAnsi" w:hAnsiTheme="minorHAnsi" w:cstheme="minorHAnsi"/>
          <w:b/>
          <w:bCs/>
          <w:sz w:val="26"/>
          <w:szCs w:val="26"/>
        </w:rPr>
      </w:pPr>
      <w:r w:rsidRPr="001B63E5">
        <w:rPr>
          <w:rFonts w:asciiTheme="minorHAnsi" w:hAnsiTheme="minorHAnsi" w:cstheme="minorHAnsi"/>
          <w:sz w:val="26"/>
          <w:szCs w:val="26"/>
        </w:rPr>
        <w:t xml:space="preserve">oproti minulému roku </w:t>
      </w:r>
      <w:r w:rsidR="00D819D1">
        <w:rPr>
          <w:rFonts w:asciiTheme="minorHAnsi" w:hAnsiTheme="minorHAnsi" w:cstheme="minorHAnsi"/>
          <w:b/>
          <w:bCs/>
          <w:sz w:val="26"/>
          <w:szCs w:val="26"/>
        </w:rPr>
        <w:t>značně</w:t>
      </w:r>
      <w:r w:rsidRPr="001B63E5">
        <w:rPr>
          <w:rFonts w:asciiTheme="minorHAnsi" w:hAnsiTheme="minorHAnsi" w:cstheme="minorHAnsi"/>
          <w:b/>
          <w:bCs/>
          <w:sz w:val="26"/>
          <w:szCs w:val="26"/>
        </w:rPr>
        <w:t xml:space="preserve"> zrychlil</w:t>
      </w:r>
      <w:r w:rsidRPr="001B63E5">
        <w:rPr>
          <w:rFonts w:asciiTheme="minorHAnsi" w:hAnsiTheme="minorHAnsi" w:cstheme="minorHAnsi"/>
          <w:b/>
          <w:sz w:val="26"/>
          <w:szCs w:val="26"/>
        </w:rPr>
        <w:t xml:space="preserve"> průměrný meziroční růst spotřebitelských cen, </w:t>
      </w:r>
      <w:r w:rsidRPr="001B63E5">
        <w:rPr>
          <w:rFonts w:asciiTheme="minorHAnsi" w:hAnsiTheme="minorHAnsi" w:cstheme="minorHAnsi"/>
          <w:sz w:val="26"/>
          <w:szCs w:val="26"/>
        </w:rPr>
        <w:t>který za první pololetí</w:t>
      </w:r>
      <w:r w:rsidRPr="001B63E5">
        <w:rPr>
          <w:rFonts w:asciiTheme="minorHAnsi" w:hAnsiTheme="minorHAnsi" w:cstheme="minorHAnsi"/>
          <w:b/>
          <w:sz w:val="26"/>
          <w:szCs w:val="26"/>
        </w:rPr>
        <w:t xml:space="preserve"> </w:t>
      </w:r>
      <w:r w:rsidRPr="001B63E5">
        <w:rPr>
          <w:rFonts w:asciiTheme="minorHAnsi" w:hAnsiTheme="minorHAnsi" w:cstheme="minorHAnsi"/>
          <w:sz w:val="26"/>
          <w:szCs w:val="26"/>
        </w:rPr>
        <w:t>2022</w:t>
      </w:r>
      <w:r w:rsidRPr="001B63E5">
        <w:rPr>
          <w:rFonts w:asciiTheme="minorHAnsi" w:hAnsiTheme="minorHAnsi" w:cstheme="minorHAnsi"/>
          <w:b/>
          <w:sz w:val="26"/>
          <w:szCs w:val="26"/>
        </w:rPr>
        <w:t xml:space="preserve"> činil 13,5 % </w:t>
      </w:r>
      <w:r w:rsidRPr="001B63E5">
        <w:rPr>
          <w:rFonts w:asciiTheme="minorHAnsi" w:hAnsiTheme="minorHAnsi" w:cstheme="minorHAnsi"/>
          <w:bCs/>
          <w:sz w:val="26"/>
          <w:szCs w:val="26"/>
        </w:rPr>
        <w:t>a dosáhl nejvyšší úrovně od roku 1993;</w:t>
      </w:r>
      <w:r w:rsidRPr="001B63E5">
        <w:rPr>
          <w:rFonts w:asciiTheme="minorHAnsi" w:hAnsiTheme="minorHAnsi" w:cstheme="minorHAnsi"/>
          <w:sz w:val="26"/>
          <w:szCs w:val="26"/>
        </w:rPr>
        <w:t xml:space="preserve"> proinflačně působilo zejména výrazné zvýšení nákladů v cenových oddílech bydlení, potraviny a nealkoholické nápoje a doprava,</w:t>
      </w:r>
    </w:p>
    <w:p w14:paraId="5DBE51DB" w14:textId="77777777" w:rsidR="00ED121B" w:rsidRPr="001B63E5" w:rsidRDefault="00ED121B" w:rsidP="004A1968">
      <w:pPr>
        <w:pStyle w:val="Odstavecseseznamem"/>
        <w:numPr>
          <w:ilvl w:val="0"/>
          <w:numId w:val="42"/>
        </w:numPr>
        <w:spacing w:after="120" w:line="360" w:lineRule="auto"/>
        <w:jc w:val="both"/>
        <w:rPr>
          <w:rFonts w:asciiTheme="minorHAnsi" w:hAnsiTheme="minorHAnsi" w:cstheme="minorHAnsi"/>
          <w:b/>
          <w:bCs/>
          <w:sz w:val="26"/>
          <w:szCs w:val="26"/>
        </w:rPr>
      </w:pPr>
      <w:r w:rsidRPr="001B63E5">
        <w:rPr>
          <w:rFonts w:asciiTheme="minorHAnsi" w:hAnsiTheme="minorHAnsi" w:cstheme="minorHAnsi"/>
          <w:b/>
          <w:bCs/>
          <w:sz w:val="26"/>
          <w:szCs w:val="26"/>
        </w:rPr>
        <w:t>sektor domácností vynaložil 1 520,8 mld. Kč</w:t>
      </w:r>
      <w:r w:rsidRPr="001B63E5">
        <w:rPr>
          <w:rFonts w:asciiTheme="minorHAnsi" w:hAnsiTheme="minorHAnsi" w:cstheme="minorHAnsi"/>
          <w:sz w:val="26"/>
          <w:szCs w:val="26"/>
        </w:rPr>
        <w:t xml:space="preserve"> </w:t>
      </w:r>
      <w:r w:rsidRPr="001B63E5">
        <w:rPr>
          <w:rFonts w:asciiTheme="minorHAnsi" w:hAnsiTheme="minorHAnsi"/>
          <w:b/>
          <w:bCs/>
          <w:sz w:val="26"/>
          <w:szCs w:val="26"/>
        </w:rPr>
        <w:t xml:space="preserve">na výdaje spojené s individuální spotřebou </w:t>
      </w:r>
      <w:r w:rsidRPr="001B63E5">
        <w:rPr>
          <w:rFonts w:asciiTheme="minorHAnsi" w:hAnsiTheme="minorHAnsi"/>
          <w:bCs/>
          <w:sz w:val="26"/>
          <w:szCs w:val="26"/>
        </w:rPr>
        <w:t>(</w:t>
      </w:r>
      <w:r w:rsidRPr="001B63E5">
        <w:rPr>
          <w:rFonts w:asciiTheme="minorHAnsi" w:hAnsiTheme="minorHAnsi"/>
          <w:sz w:val="26"/>
          <w:szCs w:val="26"/>
        </w:rPr>
        <w:t>reálně o 4,7 % meziročně více),</w:t>
      </w:r>
    </w:p>
    <w:p w14:paraId="6957274E" w14:textId="77777777" w:rsidR="00ED121B" w:rsidRPr="006319F7" w:rsidRDefault="00ED121B" w:rsidP="004A1968">
      <w:pPr>
        <w:pStyle w:val="Odstavecseseznamem"/>
        <w:numPr>
          <w:ilvl w:val="0"/>
          <w:numId w:val="42"/>
        </w:numPr>
        <w:spacing w:after="120" w:line="360" w:lineRule="auto"/>
        <w:jc w:val="both"/>
        <w:rPr>
          <w:rFonts w:asciiTheme="minorHAnsi" w:hAnsiTheme="minorHAnsi" w:cstheme="minorHAnsi"/>
          <w:bCs/>
          <w:sz w:val="26"/>
          <w:szCs w:val="26"/>
        </w:rPr>
      </w:pPr>
      <w:r w:rsidRPr="001B63E5">
        <w:rPr>
          <w:rFonts w:asciiTheme="minorHAnsi" w:hAnsiTheme="minorHAnsi" w:cstheme="minorHAnsi"/>
          <w:b/>
          <w:bCs/>
          <w:sz w:val="26"/>
          <w:szCs w:val="26"/>
        </w:rPr>
        <w:t xml:space="preserve">celkový objem půjček domácností u bank </w:t>
      </w:r>
      <w:r w:rsidRPr="001B63E5">
        <w:rPr>
          <w:rFonts w:asciiTheme="minorHAnsi" w:hAnsiTheme="minorHAnsi" w:cstheme="minorHAnsi"/>
          <w:bCs/>
          <w:sz w:val="26"/>
          <w:szCs w:val="26"/>
        </w:rPr>
        <w:t xml:space="preserve">se meziročně </w:t>
      </w:r>
      <w:r w:rsidRPr="00A410BC">
        <w:rPr>
          <w:rFonts w:asciiTheme="minorHAnsi" w:hAnsiTheme="minorHAnsi" w:cstheme="minorHAnsi"/>
          <w:bCs/>
          <w:sz w:val="26"/>
          <w:szCs w:val="26"/>
        </w:rPr>
        <w:t>zvýšil o 160,4 mld. Kč a </w:t>
      </w:r>
      <w:r w:rsidRPr="00A410BC">
        <w:rPr>
          <w:rFonts w:asciiTheme="minorHAnsi" w:hAnsiTheme="minorHAnsi" w:cstheme="minorHAnsi"/>
          <w:b/>
          <w:bCs/>
          <w:sz w:val="26"/>
          <w:szCs w:val="26"/>
        </w:rPr>
        <w:t>dosáhl 2 099,6 mld. Kč;</w:t>
      </w:r>
      <w:r w:rsidRPr="00A410BC">
        <w:rPr>
          <w:rFonts w:asciiTheme="minorHAnsi" w:hAnsiTheme="minorHAnsi" w:cstheme="minorHAnsi"/>
          <w:sz w:val="26"/>
          <w:szCs w:val="26"/>
        </w:rPr>
        <w:t xml:space="preserve"> </w:t>
      </w:r>
      <w:r w:rsidRPr="00A410BC">
        <w:rPr>
          <w:rFonts w:asciiTheme="minorHAnsi" w:hAnsiTheme="minorHAnsi" w:cstheme="minorHAnsi"/>
          <w:b/>
          <w:sz w:val="26"/>
          <w:szCs w:val="26"/>
        </w:rPr>
        <w:t>rozhodující část</w:t>
      </w:r>
      <w:r w:rsidRPr="00A410BC">
        <w:rPr>
          <w:rFonts w:asciiTheme="minorHAnsi" w:hAnsiTheme="minorHAnsi" w:cstheme="minorHAnsi"/>
          <w:sz w:val="26"/>
          <w:szCs w:val="26"/>
        </w:rPr>
        <w:t xml:space="preserve"> nadále</w:t>
      </w:r>
      <w:r w:rsidRPr="00A410BC">
        <w:rPr>
          <w:rFonts w:asciiTheme="minorHAnsi" w:hAnsiTheme="minorHAnsi" w:cstheme="minorHAnsi"/>
          <w:bCs/>
          <w:sz w:val="26"/>
          <w:szCs w:val="26"/>
        </w:rPr>
        <w:t xml:space="preserve"> </w:t>
      </w:r>
      <w:r w:rsidRPr="00A410BC">
        <w:rPr>
          <w:rFonts w:asciiTheme="minorHAnsi" w:hAnsiTheme="minorHAnsi" w:cstheme="minorHAnsi"/>
          <w:b/>
          <w:bCs/>
          <w:sz w:val="26"/>
          <w:szCs w:val="26"/>
        </w:rPr>
        <w:t>představovaly</w:t>
      </w:r>
      <w:r w:rsidRPr="00A410BC">
        <w:rPr>
          <w:rFonts w:asciiTheme="minorHAnsi" w:hAnsiTheme="minorHAnsi" w:cstheme="minorHAnsi"/>
          <w:bCs/>
          <w:sz w:val="26"/>
          <w:szCs w:val="26"/>
        </w:rPr>
        <w:t xml:space="preserve"> </w:t>
      </w:r>
      <w:r w:rsidRPr="00A410BC">
        <w:rPr>
          <w:rFonts w:asciiTheme="minorHAnsi" w:hAnsiTheme="minorHAnsi" w:cstheme="minorHAnsi"/>
          <w:b/>
          <w:bCs/>
          <w:sz w:val="26"/>
          <w:szCs w:val="26"/>
        </w:rPr>
        <w:t xml:space="preserve">úvěry na bydlení </w:t>
      </w:r>
      <w:r w:rsidRPr="00A410BC">
        <w:rPr>
          <w:rFonts w:asciiTheme="minorHAnsi" w:hAnsiTheme="minorHAnsi" w:cstheme="minorHAnsi"/>
          <w:bCs/>
          <w:sz w:val="26"/>
          <w:szCs w:val="26"/>
        </w:rPr>
        <w:t>(přírůstek 132,5 mld. Kč, tj. o 8,8 % meziročně),</w:t>
      </w:r>
    </w:p>
    <w:p w14:paraId="4F8BD8FD" w14:textId="77777777" w:rsidR="00ED121B" w:rsidRPr="006319F7" w:rsidRDefault="00ED121B" w:rsidP="004A1968">
      <w:pPr>
        <w:pStyle w:val="Odstavecseseznamem"/>
        <w:numPr>
          <w:ilvl w:val="0"/>
          <w:numId w:val="42"/>
        </w:numPr>
        <w:spacing w:line="360" w:lineRule="auto"/>
        <w:jc w:val="both"/>
        <w:rPr>
          <w:rFonts w:asciiTheme="minorHAnsi" w:hAnsiTheme="minorHAnsi" w:cstheme="minorHAnsi"/>
          <w:b/>
          <w:bCs/>
          <w:sz w:val="26"/>
          <w:szCs w:val="26"/>
        </w:rPr>
      </w:pPr>
      <w:r w:rsidRPr="006319F7">
        <w:rPr>
          <w:rFonts w:asciiTheme="minorHAnsi" w:hAnsiTheme="minorHAnsi" w:cstheme="minorHAnsi"/>
          <w:b/>
          <w:bCs/>
          <w:sz w:val="26"/>
          <w:szCs w:val="26"/>
        </w:rPr>
        <w:t>u domácností</w:t>
      </w:r>
      <w:r w:rsidRPr="006319F7">
        <w:rPr>
          <w:rFonts w:asciiTheme="minorHAnsi" w:hAnsiTheme="minorHAnsi" w:cstheme="minorHAnsi"/>
          <w:bCs/>
          <w:sz w:val="26"/>
          <w:szCs w:val="26"/>
        </w:rPr>
        <w:t xml:space="preserve"> výrazně </w:t>
      </w:r>
      <w:r w:rsidRPr="006319F7">
        <w:rPr>
          <w:rFonts w:asciiTheme="minorHAnsi" w:hAnsiTheme="minorHAnsi" w:cstheme="minorHAnsi"/>
          <w:b/>
          <w:sz w:val="26"/>
          <w:szCs w:val="26"/>
        </w:rPr>
        <w:t>zpomalil nárůst</w:t>
      </w:r>
      <w:r w:rsidRPr="006319F7">
        <w:rPr>
          <w:rFonts w:asciiTheme="minorHAnsi" w:hAnsiTheme="minorHAnsi" w:cstheme="minorHAnsi"/>
          <w:b/>
          <w:bCs/>
          <w:sz w:val="26"/>
          <w:szCs w:val="26"/>
        </w:rPr>
        <w:t xml:space="preserve"> </w:t>
      </w:r>
      <w:r w:rsidRPr="006319F7">
        <w:rPr>
          <w:rFonts w:asciiTheme="minorHAnsi" w:hAnsiTheme="minorHAnsi" w:cstheme="minorHAnsi"/>
          <w:bCs/>
          <w:sz w:val="26"/>
          <w:szCs w:val="26"/>
        </w:rPr>
        <w:t>bankovních</w:t>
      </w:r>
      <w:r w:rsidRPr="006319F7">
        <w:rPr>
          <w:rFonts w:asciiTheme="minorHAnsi" w:hAnsiTheme="minorHAnsi" w:cstheme="minorHAnsi"/>
          <w:b/>
          <w:bCs/>
          <w:sz w:val="26"/>
          <w:szCs w:val="26"/>
        </w:rPr>
        <w:t xml:space="preserve"> úspor </w:t>
      </w:r>
      <w:r w:rsidRPr="006319F7">
        <w:rPr>
          <w:rFonts w:asciiTheme="minorHAnsi" w:hAnsiTheme="minorHAnsi" w:cstheme="minorHAnsi"/>
          <w:bCs/>
          <w:sz w:val="26"/>
          <w:szCs w:val="26"/>
        </w:rPr>
        <w:t>–</w:t>
      </w:r>
      <w:r w:rsidRPr="006319F7">
        <w:rPr>
          <w:rFonts w:asciiTheme="minorHAnsi" w:hAnsiTheme="minorHAnsi" w:cstheme="minorHAnsi"/>
          <w:b/>
          <w:bCs/>
          <w:sz w:val="26"/>
          <w:szCs w:val="26"/>
        </w:rPr>
        <w:t xml:space="preserve"> </w:t>
      </w:r>
      <w:r w:rsidRPr="006319F7">
        <w:rPr>
          <w:rFonts w:asciiTheme="minorHAnsi" w:hAnsiTheme="minorHAnsi" w:cstheme="minorHAnsi"/>
          <w:bCs/>
          <w:sz w:val="26"/>
          <w:szCs w:val="26"/>
        </w:rPr>
        <w:t>jejich</w:t>
      </w:r>
      <w:r w:rsidRPr="006319F7">
        <w:rPr>
          <w:rFonts w:asciiTheme="minorHAnsi" w:hAnsiTheme="minorHAnsi" w:cstheme="minorHAnsi"/>
          <w:b/>
          <w:bCs/>
          <w:sz w:val="26"/>
          <w:szCs w:val="26"/>
        </w:rPr>
        <w:t xml:space="preserve"> </w:t>
      </w:r>
      <w:r w:rsidRPr="006319F7">
        <w:rPr>
          <w:rFonts w:asciiTheme="minorHAnsi" w:hAnsiTheme="minorHAnsi" w:cstheme="minorHAnsi"/>
          <w:bCs/>
          <w:sz w:val="26"/>
          <w:szCs w:val="26"/>
        </w:rPr>
        <w:t>objem</w:t>
      </w:r>
      <w:r w:rsidRPr="006319F7">
        <w:rPr>
          <w:rFonts w:asciiTheme="minorHAnsi" w:hAnsiTheme="minorHAnsi" w:cstheme="minorHAnsi"/>
          <w:sz w:val="26"/>
          <w:szCs w:val="26"/>
        </w:rPr>
        <w:t xml:space="preserve"> </w:t>
      </w:r>
      <w:r w:rsidRPr="006319F7">
        <w:rPr>
          <w:rFonts w:asciiTheme="minorHAnsi" w:hAnsiTheme="minorHAnsi" w:cstheme="minorHAnsi"/>
          <w:bCs/>
          <w:sz w:val="26"/>
          <w:szCs w:val="26"/>
        </w:rPr>
        <w:t xml:space="preserve">se </w:t>
      </w:r>
      <w:r w:rsidRPr="006319F7">
        <w:rPr>
          <w:rFonts w:asciiTheme="minorHAnsi" w:hAnsiTheme="minorHAnsi" w:cstheme="minorHAnsi"/>
          <w:sz w:val="26"/>
          <w:szCs w:val="26"/>
        </w:rPr>
        <w:t xml:space="preserve">podle dostupných údajů České národní banky </w:t>
      </w:r>
      <w:r w:rsidRPr="006319F7">
        <w:rPr>
          <w:rFonts w:asciiTheme="minorHAnsi" w:hAnsiTheme="minorHAnsi" w:cstheme="minorHAnsi"/>
          <w:bCs/>
          <w:sz w:val="26"/>
          <w:szCs w:val="26"/>
        </w:rPr>
        <w:t>v červnu</w:t>
      </w:r>
      <w:r w:rsidRPr="006319F7">
        <w:rPr>
          <w:rFonts w:asciiTheme="minorHAnsi" w:hAnsiTheme="minorHAnsi" w:cstheme="minorHAnsi"/>
          <w:sz w:val="26"/>
          <w:szCs w:val="26"/>
        </w:rPr>
        <w:t xml:space="preserve"> letošního roku meziročně </w:t>
      </w:r>
      <w:r w:rsidRPr="006319F7">
        <w:rPr>
          <w:rFonts w:asciiTheme="minorHAnsi" w:hAnsiTheme="minorHAnsi" w:cstheme="minorHAnsi"/>
          <w:bCs/>
          <w:sz w:val="26"/>
          <w:szCs w:val="26"/>
        </w:rPr>
        <w:t>zvýšil pouze o</w:t>
      </w:r>
      <w:r>
        <w:rPr>
          <w:rFonts w:asciiTheme="minorHAnsi" w:hAnsiTheme="minorHAnsi" w:cstheme="minorHAnsi"/>
          <w:bCs/>
          <w:sz w:val="26"/>
          <w:szCs w:val="26"/>
        </w:rPr>
        <w:t xml:space="preserve"> </w:t>
      </w:r>
      <w:r w:rsidRPr="006319F7">
        <w:rPr>
          <w:rFonts w:asciiTheme="minorHAnsi" w:hAnsiTheme="minorHAnsi" w:cstheme="minorHAnsi"/>
          <w:bCs/>
          <w:sz w:val="26"/>
          <w:szCs w:val="26"/>
        </w:rPr>
        <w:t>98,5 mld. Kč</w:t>
      </w:r>
      <w:r w:rsidRPr="006319F7">
        <w:rPr>
          <w:rFonts w:asciiTheme="minorHAnsi" w:hAnsiTheme="minorHAnsi" w:cstheme="minorHAnsi"/>
          <w:b/>
          <w:bCs/>
          <w:sz w:val="26"/>
          <w:szCs w:val="26"/>
        </w:rPr>
        <w:t xml:space="preserve"> na 3 323,5 mld. Kč</w:t>
      </w:r>
      <w:r>
        <w:rPr>
          <w:rFonts w:asciiTheme="minorHAnsi" w:hAnsiTheme="minorHAnsi" w:cstheme="minorHAnsi"/>
          <w:b/>
          <w:bCs/>
          <w:sz w:val="26"/>
          <w:szCs w:val="26"/>
          <w:lang w:val="en-US"/>
        </w:rPr>
        <w:t xml:space="preserve"> </w:t>
      </w:r>
      <w:r w:rsidRPr="006319F7">
        <w:rPr>
          <w:rFonts w:asciiTheme="minorHAnsi" w:hAnsiTheme="minorHAnsi" w:cstheme="minorHAnsi"/>
          <w:sz w:val="26"/>
          <w:szCs w:val="26"/>
          <w:lang w:val="en-US"/>
        </w:rPr>
        <w:t>–</w:t>
      </w:r>
      <w:r>
        <w:rPr>
          <w:rFonts w:asciiTheme="minorHAnsi" w:hAnsiTheme="minorHAnsi" w:cstheme="minorHAnsi"/>
          <w:b/>
          <w:bCs/>
          <w:sz w:val="26"/>
          <w:szCs w:val="26"/>
        </w:rPr>
        <w:t xml:space="preserve"> </w:t>
      </w:r>
      <w:r w:rsidRPr="006319F7">
        <w:rPr>
          <w:rFonts w:asciiTheme="minorHAnsi" w:hAnsiTheme="minorHAnsi" w:cstheme="minorHAnsi"/>
          <w:sz w:val="26"/>
          <w:szCs w:val="26"/>
        </w:rPr>
        <w:t>v</w:t>
      </w:r>
      <w:r>
        <w:rPr>
          <w:rFonts w:asciiTheme="minorHAnsi" w:hAnsiTheme="minorHAnsi" w:cstheme="minorHAnsi"/>
          <w:sz w:val="26"/>
          <w:szCs w:val="26"/>
        </w:rPr>
        <w:t xml:space="preserve"> </w:t>
      </w:r>
      <w:r w:rsidRPr="006319F7">
        <w:rPr>
          <w:rFonts w:asciiTheme="minorHAnsi" w:hAnsiTheme="minorHAnsi" w:cstheme="minorHAnsi"/>
          <w:sz w:val="26"/>
          <w:szCs w:val="26"/>
        </w:rPr>
        <w:t>tomto roce došlo</w:t>
      </w:r>
      <w:r w:rsidRPr="006319F7">
        <w:rPr>
          <w:rFonts w:asciiTheme="minorHAnsi" w:hAnsiTheme="minorHAnsi" w:cstheme="minorHAnsi"/>
          <w:b/>
          <w:bCs/>
          <w:sz w:val="26"/>
          <w:szCs w:val="26"/>
        </w:rPr>
        <w:t xml:space="preserve"> </w:t>
      </w:r>
      <w:r w:rsidRPr="006319F7">
        <w:rPr>
          <w:rFonts w:asciiTheme="minorHAnsi" w:hAnsiTheme="minorHAnsi" w:cstheme="minorHAnsi"/>
          <w:bCs/>
          <w:sz w:val="26"/>
          <w:szCs w:val="26"/>
        </w:rPr>
        <w:t>poprvé od roku 1998 k meziročnímu poklesu netermínovaných vkladů a k</w:t>
      </w:r>
      <w:r>
        <w:rPr>
          <w:rFonts w:asciiTheme="minorHAnsi" w:hAnsiTheme="minorHAnsi" w:cstheme="minorHAnsi"/>
          <w:bCs/>
          <w:sz w:val="26"/>
          <w:szCs w:val="26"/>
        </w:rPr>
        <w:t xml:space="preserve"> </w:t>
      </w:r>
      <w:r w:rsidRPr="006319F7">
        <w:rPr>
          <w:rFonts w:asciiTheme="minorHAnsi" w:hAnsiTheme="minorHAnsi" w:cstheme="minorHAnsi"/>
          <w:bCs/>
          <w:sz w:val="26"/>
          <w:szCs w:val="26"/>
        </w:rPr>
        <w:t>celkovému navýšení objemu úspor došlo pouze nárůstem termínových vkladů</w:t>
      </w:r>
      <w:r w:rsidRPr="006319F7">
        <w:rPr>
          <w:rFonts w:asciiTheme="minorHAnsi" w:hAnsiTheme="minorHAnsi" w:cstheme="minorHAnsi"/>
          <w:sz w:val="26"/>
          <w:szCs w:val="26"/>
        </w:rPr>
        <w:t>.</w:t>
      </w:r>
    </w:p>
    <w:p w14:paraId="43105334" w14:textId="77777777" w:rsidR="00ED121B" w:rsidRPr="006D18BF" w:rsidRDefault="00ED121B" w:rsidP="00ED121B">
      <w:pPr>
        <w:jc w:val="center"/>
        <w:rPr>
          <w:rFonts w:asciiTheme="minorHAnsi" w:hAnsiTheme="minorHAnsi" w:cstheme="minorHAnsi"/>
          <w:bCs/>
          <w:sz w:val="26"/>
          <w:szCs w:val="26"/>
        </w:rPr>
      </w:pPr>
    </w:p>
    <w:p w14:paraId="6454BDF1" w14:textId="77777777" w:rsidR="00ED121B" w:rsidRDefault="00ED121B" w:rsidP="00ED121B">
      <w:pPr>
        <w:jc w:val="center"/>
      </w:pPr>
      <w:r w:rsidRPr="006D18BF">
        <w:rPr>
          <w:rFonts w:asciiTheme="minorHAnsi" w:hAnsiTheme="minorHAnsi" w:cstheme="minorHAnsi"/>
          <w:bCs/>
          <w:sz w:val="26"/>
          <w:szCs w:val="26"/>
        </w:rPr>
        <w:t>*</w:t>
      </w:r>
      <w:r w:rsidRPr="006D18BF">
        <w:rPr>
          <w:rFonts w:asciiTheme="minorHAnsi" w:hAnsiTheme="minorHAnsi" w:cstheme="minorHAnsi"/>
          <w:i/>
          <w:iCs/>
          <w:sz w:val="26"/>
          <w:szCs w:val="26"/>
        </w:rPr>
        <w:t xml:space="preserve">                         *                         *</w:t>
      </w:r>
    </w:p>
    <w:p w14:paraId="538743F8" w14:textId="77777777" w:rsidR="002F42EA" w:rsidRPr="00710980" w:rsidRDefault="002F42EA" w:rsidP="002F42EA">
      <w:pPr>
        <w:pStyle w:val="Nadpis1"/>
        <w:numPr>
          <w:ilvl w:val="0"/>
          <w:numId w:val="17"/>
        </w:numPr>
        <w:tabs>
          <w:tab w:val="num" w:pos="360"/>
          <w:tab w:val="left" w:pos="708"/>
        </w:tabs>
        <w:spacing w:after="360" w:line="240" w:lineRule="auto"/>
        <w:ind w:left="0" w:firstLine="0"/>
        <w:rPr>
          <w:rFonts w:asciiTheme="minorHAnsi" w:hAnsiTheme="minorHAnsi"/>
          <w:b w:val="0"/>
          <w:smallCaps/>
          <w:color w:val="1F497D"/>
          <w:sz w:val="44"/>
        </w:rPr>
      </w:pPr>
      <w:r w:rsidRPr="00710980">
        <w:rPr>
          <w:rFonts w:asciiTheme="minorHAnsi" w:hAnsiTheme="minorHAnsi"/>
          <w:smallCaps/>
          <w:color w:val="1F497D"/>
          <w:sz w:val="44"/>
        </w:rPr>
        <w:lastRenderedPageBreak/>
        <w:t xml:space="preserve">Vývoj rozhodujících skupin příjmů, životních nákladů, výdajů, úvěrů a úspor domácností </w:t>
      </w:r>
      <w:r w:rsidRPr="00710980">
        <w:rPr>
          <w:rFonts w:asciiTheme="minorHAnsi" w:hAnsiTheme="minorHAnsi"/>
          <w:b w:val="0"/>
          <w:smallCaps/>
          <w:color w:val="1F497D"/>
          <w:sz w:val="44"/>
        </w:rPr>
        <w:t>(podrobnější zhodnocení)</w:t>
      </w:r>
    </w:p>
    <w:p w14:paraId="074768E0" w14:textId="77777777" w:rsidR="002F42EA" w:rsidRPr="00710980" w:rsidRDefault="002F42EA" w:rsidP="006C3C15">
      <w:pPr>
        <w:spacing w:after="120" w:line="360" w:lineRule="auto"/>
        <w:jc w:val="both"/>
        <w:rPr>
          <w:rFonts w:asciiTheme="minorHAnsi" w:hAnsiTheme="minorHAnsi" w:cs="Arial"/>
          <w:b/>
          <w:smallCaps/>
          <w:color w:val="1F497D"/>
          <w:sz w:val="40"/>
          <w:szCs w:val="40"/>
        </w:rPr>
      </w:pPr>
      <w:r w:rsidRPr="00710980">
        <w:rPr>
          <w:rFonts w:asciiTheme="minorHAnsi" w:hAnsiTheme="minorHAnsi" w:cs="Arial"/>
          <w:b/>
          <w:smallCaps/>
          <w:color w:val="1F497D"/>
          <w:sz w:val="40"/>
          <w:szCs w:val="40"/>
        </w:rPr>
        <w:t>1. Příjmy domácností</w:t>
      </w:r>
    </w:p>
    <w:p w14:paraId="598EFC71" w14:textId="1866191A" w:rsidR="002F42EA" w:rsidRPr="00710980" w:rsidRDefault="002F42EA" w:rsidP="006C3C15">
      <w:pPr>
        <w:spacing w:after="120" w:line="360" w:lineRule="auto"/>
        <w:jc w:val="both"/>
        <w:rPr>
          <w:rFonts w:asciiTheme="minorHAnsi" w:hAnsiTheme="minorHAnsi" w:cs="Arial"/>
          <w:smallCaps/>
          <w:color w:val="1F497D"/>
          <w:sz w:val="36"/>
          <w:szCs w:val="36"/>
        </w:rPr>
      </w:pPr>
      <w:r w:rsidRPr="00710980">
        <w:rPr>
          <w:rFonts w:asciiTheme="minorHAnsi" w:hAnsiTheme="minorHAnsi"/>
          <w:b/>
          <w:bCs/>
          <w:i/>
          <w:iCs/>
          <w:smallCaps/>
          <w:color w:val="1F497D"/>
          <w:sz w:val="36"/>
          <w:szCs w:val="36"/>
        </w:rPr>
        <w:t>1.1</w:t>
      </w:r>
      <w:r w:rsidR="00F07F6D">
        <w:rPr>
          <w:rFonts w:asciiTheme="minorHAnsi" w:hAnsiTheme="minorHAnsi"/>
          <w:b/>
          <w:bCs/>
          <w:i/>
          <w:iCs/>
          <w:smallCaps/>
          <w:color w:val="1F497D"/>
          <w:sz w:val="36"/>
          <w:szCs w:val="36"/>
        </w:rPr>
        <w:t>.</w:t>
      </w:r>
      <w:r w:rsidRPr="00710980">
        <w:rPr>
          <w:rFonts w:asciiTheme="minorHAnsi" w:hAnsiTheme="minorHAnsi"/>
          <w:b/>
          <w:bCs/>
          <w:i/>
          <w:iCs/>
          <w:smallCaps/>
          <w:color w:val="1F497D"/>
          <w:sz w:val="36"/>
          <w:szCs w:val="36"/>
        </w:rPr>
        <w:t xml:space="preserve"> Základní charakteristika</w:t>
      </w:r>
    </w:p>
    <w:p w14:paraId="7C06845A" w14:textId="2DE8617A" w:rsidR="006C3C15" w:rsidRPr="004E4535" w:rsidRDefault="006C3C15" w:rsidP="006C3C15">
      <w:pPr>
        <w:spacing w:after="120" w:line="360" w:lineRule="auto"/>
        <w:jc w:val="both"/>
        <w:rPr>
          <w:rFonts w:asciiTheme="minorHAnsi" w:hAnsiTheme="minorHAnsi" w:cstheme="minorHAnsi"/>
          <w:sz w:val="26"/>
          <w:szCs w:val="26"/>
        </w:rPr>
      </w:pPr>
      <w:r w:rsidRPr="004E4535">
        <w:rPr>
          <w:rFonts w:asciiTheme="minorHAnsi" w:hAnsiTheme="minorHAnsi" w:cstheme="minorHAnsi"/>
          <w:sz w:val="26"/>
          <w:szCs w:val="26"/>
        </w:rPr>
        <w:tab/>
      </w:r>
      <w:r w:rsidRPr="004E4535">
        <w:rPr>
          <w:rFonts w:asciiTheme="minorHAnsi" w:hAnsiTheme="minorHAnsi" w:cstheme="minorHAnsi"/>
          <w:b/>
          <w:bCs/>
          <w:sz w:val="26"/>
          <w:szCs w:val="26"/>
        </w:rPr>
        <w:t xml:space="preserve">Běžné příjmy </w:t>
      </w:r>
      <w:r w:rsidRPr="004E4535">
        <w:rPr>
          <w:rFonts w:asciiTheme="minorHAnsi" w:hAnsiTheme="minorHAnsi" w:cstheme="minorHAnsi"/>
          <w:sz w:val="26"/>
          <w:szCs w:val="26"/>
        </w:rPr>
        <w:t>sektoru domácností</w:t>
      </w:r>
      <w:r w:rsidRPr="004E4535">
        <w:rPr>
          <w:rFonts w:asciiTheme="minorHAnsi" w:hAnsiTheme="minorHAnsi" w:cstheme="minorHAnsi"/>
          <w:b/>
          <w:bCs/>
          <w:sz w:val="26"/>
          <w:szCs w:val="26"/>
        </w:rPr>
        <w:t xml:space="preserve"> </w:t>
      </w:r>
      <w:r w:rsidRPr="004E4535">
        <w:rPr>
          <w:rFonts w:asciiTheme="minorHAnsi" w:hAnsiTheme="minorHAnsi" w:cstheme="minorHAnsi"/>
          <w:sz w:val="26"/>
          <w:szCs w:val="26"/>
        </w:rPr>
        <w:t>(podle statistiky národních účtů)</w:t>
      </w:r>
      <w:r w:rsidRPr="004E4535">
        <w:rPr>
          <w:rFonts w:asciiTheme="minorHAnsi" w:hAnsiTheme="minorHAnsi" w:cstheme="minorHAnsi"/>
          <w:b/>
          <w:bCs/>
          <w:sz w:val="26"/>
          <w:szCs w:val="26"/>
        </w:rPr>
        <w:t xml:space="preserve"> dosáhly </w:t>
      </w:r>
      <w:r w:rsidRPr="004E4535">
        <w:rPr>
          <w:rFonts w:asciiTheme="minorHAnsi" w:hAnsiTheme="minorHAnsi" w:cstheme="minorHAnsi"/>
          <w:sz w:val="26"/>
          <w:szCs w:val="26"/>
        </w:rPr>
        <w:t xml:space="preserve">celkové </w:t>
      </w:r>
      <w:r w:rsidRPr="004E4535">
        <w:rPr>
          <w:rFonts w:asciiTheme="minorHAnsi" w:hAnsiTheme="minorHAnsi" w:cstheme="minorHAnsi"/>
          <w:b/>
          <w:bCs/>
          <w:sz w:val="26"/>
          <w:szCs w:val="26"/>
        </w:rPr>
        <w:t>výše</w:t>
      </w:r>
      <w:r w:rsidRPr="004E4535">
        <w:rPr>
          <w:rFonts w:asciiTheme="minorHAnsi" w:hAnsiTheme="minorHAnsi" w:cstheme="minorHAnsi"/>
          <w:sz w:val="26"/>
          <w:szCs w:val="26"/>
        </w:rPr>
        <w:t xml:space="preserve"> </w:t>
      </w:r>
      <w:r w:rsidRPr="004E4535">
        <w:rPr>
          <w:rFonts w:asciiTheme="minorHAnsi" w:hAnsiTheme="minorHAnsi" w:cstheme="minorHAnsi"/>
          <w:b/>
          <w:bCs/>
          <w:sz w:val="26"/>
          <w:szCs w:val="26"/>
        </w:rPr>
        <w:t>2 </w:t>
      </w:r>
      <w:r>
        <w:rPr>
          <w:rFonts w:asciiTheme="minorHAnsi" w:hAnsiTheme="minorHAnsi" w:cstheme="minorHAnsi"/>
          <w:b/>
          <w:bCs/>
          <w:sz w:val="26"/>
          <w:szCs w:val="26"/>
        </w:rPr>
        <w:t>806</w:t>
      </w:r>
      <w:r w:rsidRPr="004E4535">
        <w:rPr>
          <w:rFonts w:asciiTheme="minorHAnsi" w:hAnsiTheme="minorHAnsi" w:cstheme="minorHAnsi"/>
          <w:b/>
          <w:bCs/>
          <w:sz w:val="26"/>
          <w:szCs w:val="26"/>
        </w:rPr>
        <w:t>,</w:t>
      </w:r>
      <w:r>
        <w:rPr>
          <w:rFonts w:asciiTheme="minorHAnsi" w:hAnsiTheme="minorHAnsi" w:cstheme="minorHAnsi"/>
          <w:b/>
          <w:bCs/>
          <w:sz w:val="26"/>
          <w:szCs w:val="26"/>
        </w:rPr>
        <w:t>6</w:t>
      </w:r>
      <w:r w:rsidRPr="004E4535">
        <w:rPr>
          <w:rFonts w:asciiTheme="minorHAnsi" w:hAnsiTheme="minorHAnsi" w:cstheme="minorHAnsi"/>
          <w:b/>
          <w:bCs/>
          <w:sz w:val="26"/>
          <w:szCs w:val="26"/>
        </w:rPr>
        <w:t> mld. Kč.</w:t>
      </w:r>
      <w:r w:rsidRPr="004E4535">
        <w:rPr>
          <w:rFonts w:asciiTheme="minorHAnsi" w:hAnsiTheme="minorHAnsi" w:cstheme="minorHAnsi"/>
          <w:sz w:val="26"/>
          <w:szCs w:val="26"/>
        </w:rPr>
        <w:t xml:space="preserve"> Meziročně tak </w:t>
      </w:r>
      <w:r w:rsidRPr="004E4535">
        <w:rPr>
          <w:rFonts w:asciiTheme="minorHAnsi" w:hAnsiTheme="minorHAnsi" w:cstheme="minorHAnsi"/>
          <w:b/>
          <w:sz w:val="26"/>
          <w:szCs w:val="26"/>
        </w:rPr>
        <w:t>vzrostly</w:t>
      </w:r>
      <w:r w:rsidRPr="004E4535">
        <w:rPr>
          <w:rFonts w:asciiTheme="minorHAnsi" w:hAnsiTheme="minorHAnsi" w:cstheme="minorHAnsi"/>
          <w:b/>
          <w:bCs/>
          <w:sz w:val="26"/>
          <w:szCs w:val="26"/>
        </w:rPr>
        <w:t xml:space="preserve"> nominálně o </w:t>
      </w:r>
      <w:r>
        <w:rPr>
          <w:rFonts w:asciiTheme="minorHAnsi" w:hAnsiTheme="minorHAnsi" w:cstheme="minorHAnsi"/>
          <w:b/>
          <w:bCs/>
          <w:sz w:val="26"/>
          <w:szCs w:val="26"/>
        </w:rPr>
        <w:t>12</w:t>
      </w:r>
      <w:r w:rsidRPr="004E4535">
        <w:rPr>
          <w:rFonts w:asciiTheme="minorHAnsi" w:hAnsiTheme="minorHAnsi" w:cstheme="minorHAnsi"/>
          <w:b/>
          <w:bCs/>
          <w:sz w:val="26"/>
          <w:szCs w:val="26"/>
        </w:rPr>
        <w:t>,</w:t>
      </w:r>
      <w:r>
        <w:rPr>
          <w:rFonts w:asciiTheme="minorHAnsi" w:hAnsiTheme="minorHAnsi" w:cstheme="minorHAnsi"/>
          <w:b/>
          <w:bCs/>
          <w:sz w:val="26"/>
          <w:szCs w:val="26"/>
        </w:rPr>
        <w:t>5</w:t>
      </w:r>
      <w:r w:rsidRPr="004E4535">
        <w:rPr>
          <w:rFonts w:asciiTheme="minorHAnsi" w:hAnsiTheme="minorHAnsi" w:cstheme="minorHAnsi"/>
          <w:b/>
          <w:bCs/>
          <w:sz w:val="26"/>
          <w:szCs w:val="26"/>
        </w:rPr>
        <w:t xml:space="preserve"> % </w:t>
      </w:r>
      <w:r w:rsidRPr="0080146E">
        <w:rPr>
          <w:rFonts w:asciiTheme="minorHAnsi" w:hAnsiTheme="minorHAnsi" w:cstheme="minorHAnsi"/>
          <w:bCs/>
          <w:sz w:val="26"/>
          <w:szCs w:val="26"/>
        </w:rPr>
        <w:t>(+312,2 mld. Kč)</w:t>
      </w:r>
      <w:r w:rsidR="00BA0CBC" w:rsidRPr="0080146E">
        <w:rPr>
          <w:rFonts w:asciiTheme="minorHAnsi" w:hAnsiTheme="minorHAnsi" w:cstheme="minorHAnsi"/>
          <w:bCs/>
          <w:sz w:val="26"/>
          <w:szCs w:val="26"/>
        </w:rPr>
        <w:t>,</w:t>
      </w:r>
      <w:r w:rsidRPr="0080146E">
        <w:rPr>
          <w:rFonts w:asciiTheme="minorHAnsi" w:hAnsiTheme="minorHAnsi" w:cstheme="minorHAnsi"/>
          <w:bCs/>
          <w:sz w:val="26"/>
          <w:szCs w:val="26"/>
        </w:rPr>
        <w:t xml:space="preserve"> </w:t>
      </w:r>
      <w:r w:rsidRPr="0080146E">
        <w:rPr>
          <w:rFonts w:asciiTheme="minorHAnsi" w:hAnsiTheme="minorHAnsi" w:cstheme="minorHAnsi"/>
          <w:b/>
          <w:bCs/>
          <w:sz w:val="26"/>
          <w:szCs w:val="26"/>
        </w:rPr>
        <w:t>ale reálně poklesly o 0,9 %</w:t>
      </w:r>
      <w:r w:rsidRPr="0080146E">
        <w:rPr>
          <w:rFonts w:asciiTheme="minorHAnsi" w:hAnsiTheme="minorHAnsi" w:cstheme="minorHAnsi"/>
          <w:bCs/>
          <w:sz w:val="26"/>
          <w:szCs w:val="26"/>
        </w:rPr>
        <w:t xml:space="preserve"> (při růstu hrubého domácího produktu </w:t>
      </w:r>
      <w:r w:rsidRPr="004E4535">
        <w:rPr>
          <w:rFonts w:asciiTheme="minorHAnsi" w:hAnsiTheme="minorHAnsi" w:cstheme="minorHAnsi"/>
          <w:bCs/>
          <w:sz w:val="26"/>
          <w:szCs w:val="26"/>
        </w:rPr>
        <w:t>ve</w:t>
      </w:r>
      <w:r w:rsidR="00BA0CBC">
        <w:rPr>
          <w:rFonts w:asciiTheme="minorHAnsi" w:hAnsiTheme="minorHAnsi" w:cstheme="minorHAnsi"/>
          <w:bCs/>
          <w:sz w:val="26"/>
          <w:szCs w:val="26"/>
        </w:rPr>
        <w:t> </w:t>
      </w:r>
      <w:r w:rsidRPr="004E4535">
        <w:rPr>
          <w:rFonts w:asciiTheme="minorHAnsi" w:hAnsiTheme="minorHAnsi" w:cstheme="minorHAnsi"/>
          <w:bCs/>
          <w:sz w:val="26"/>
          <w:szCs w:val="26"/>
        </w:rPr>
        <w:t>stálých cenách o </w:t>
      </w:r>
      <w:r>
        <w:rPr>
          <w:rFonts w:asciiTheme="minorHAnsi" w:hAnsiTheme="minorHAnsi" w:cstheme="minorHAnsi"/>
          <w:bCs/>
          <w:sz w:val="26"/>
          <w:szCs w:val="26"/>
        </w:rPr>
        <w:t>4</w:t>
      </w:r>
      <w:r w:rsidRPr="004E4535">
        <w:rPr>
          <w:rFonts w:asciiTheme="minorHAnsi" w:hAnsiTheme="minorHAnsi" w:cstheme="minorHAnsi"/>
          <w:bCs/>
          <w:sz w:val="26"/>
          <w:szCs w:val="26"/>
        </w:rPr>
        <w:t>,</w:t>
      </w:r>
      <w:r>
        <w:rPr>
          <w:rFonts w:asciiTheme="minorHAnsi" w:hAnsiTheme="minorHAnsi" w:cstheme="minorHAnsi"/>
          <w:bCs/>
          <w:sz w:val="26"/>
          <w:szCs w:val="26"/>
        </w:rPr>
        <w:t>2</w:t>
      </w:r>
      <w:r w:rsidRPr="004E4535">
        <w:rPr>
          <w:rFonts w:asciiTheme="minorHAnsi" w:hAnsiTheme="minorHAnsi" w:cstheme="minorHAnsi"/>
          <w:bCs/>
          <w:sz w:val="26"/>
          <w:szCs w:val="26"/>
        </w:rPr>
        <w:t> %)</w:t>
      </w:r>
      <w:r w:rsidRPr="004E4535">
        <w:rPr>
          <w:rFonts w:asciiTheme="minorHAnsi" w:hAnsiTheme="minorHAnsi" w:cstheme="minorHAnsi"/>
          <w:sz w:val="26"/>
          <w:szCs w:val="26"/>
        </w:rPr>
        <w:t>. Strukturu běžných příjmů ukazuje graf č. 1 v příloze.</w:t>
      </w:r>
    </w:p>
    <w:p w14:paraId="2110667C" w14:textId="77777777" w:rsidR="006C3C15" w:rsidRPr="009D69B1" w:rsidRDefault="006C3C15" w:rsidP="006C3C15">
      <w:pPr>
        <w:spacing w:after="360"/>
        <w:ind w:left="709"/>
        <w:jc w:val="both"/>
        <w:rPr>
          <w:rFonts w:asciiTheme="minorHAnsi" w:hAnsiTheme="minorHAnsi" w:cstheme="minorHAnsi"/>
          <w:bCs/>
          <w:sz w:val="26"/>
          <w:szCs w:val="26"/>
        </w:rPr>
      </w:pPr>
      <w:r w:rsidRPr="004E4535">
        <w:rPr>
          <w:rFonts w:asciiTheme="minorHAnsi" w:hAnsiTheme="minorHAnsi" w:cstheme="minorHAnsi"/>
          <w:b/>
          <w:bCs/>
          <w:sz w:val="26"/>
          <w:szCs w:val="26"/>
        </w:rPr>
        <w:t>Na</w:t>
      </w:r>
      <w:r w:rsidRPr="004E4535">
        <w:rPr>
          <w:rFonts w:asciiTheme="minorHAnsi" w:hAnsiTheme="minorHAnsi" w:cstheme="minorHAnsi"/>
          <w:sz w:val="26"/>
          <w:szCs w:val="26"/>
        </w:rPr>
        <w:t xml:space="preserve"> </w:t>
      </w:r>
      <w:r w:rsidRPr="004E4535">
        <w:rPr>
          <w:rFonts w:asciiTheme="minorHAnsi" w:hAnsiTheme="minorHAnsi" w:cstheme="minorHAnsi"/>
          <w:b/>
          <w:bCs/>
          <w:sz w:val="26"/>
          <w:szCs w:val="26"/>
        </w:rPr>
        <w:t xml:space="preserve">reálném </w:t>
      </w:r>
      <w:r>
        <w:rPr>
          <w:rFonts w:asciiTheme="minorHAnsi" w:hAnsiTheme="minorHAnsi" w:cstheme="minorHAnsi"/>
          <w:b/>
          <w:bCs/>
          <w:sz w:val="26"/>
          <w:szCs w:val="26"/>
        </w:rPr>
        <w:t>pokles</w:t>
      </w:r>
      <w:r w:rsidRPr="004E4535">
        <w:rPr>
          <w:rFonts w:asciiTheme="minorHAnsi" w:hAnsiTheme="minorHAnsi" w:cstheme="minorHAnsi"/>
          <w:b/>
          <w:bCs/>
          <w:sz w:val="26"/>
          <w:szCs w:val="26"/>
        </w:rPr>
        <w:t>u</w:t>
      </w:r>
      <w:r w:rsidRPr="004E4535">
        <w:rPr>
          <w:rFonts w:asciiTheme="minorHAnsi" w:hAnsiTheme="minorHAnsi" w:cstheme="minorHAnsi"/>
          <w:sz w:val="26"/>
          <w:szCs w:val="26"/>
        </w:rPr>
        <w:t xml:space="preserve"> úhrnného objemu</w:t>
      </w:r>
      <w:r w:rsidRPr="004E4535">
        <w:rPr>
          <w:rFonts w:asciiTheme="minorHAnsi" w:hAnsiTheme="minorHAnsi" w:cstheme="minorHAnsi"/>
          <w:b/>
          <w:bCs/>
          <w:sz w:val="26"/>
          <w:szCs w:val="26"/>
        </w:rPr>
        <w:t xml:space="preserve"> běžných příjmů </w:t>
      </w:r>
      <w:r w:rsidRPr="004E4535">
        <w:rPr>
          <w:rFonts w:asciiTheme="minorHAnsi" w:hAnsiTheme="minorHAnsi" w:cstheme="minorHAnsi"/>
          <w:b/>
          <w:sz w:val="26"/>
          <w:szCs w:val="26"/>
        </w:rPr>
        <w:t>se</w:t>
      </w:r>
      <w:r w:rsidRPr="004E4535">
        <w:rPr>
          <w:rFonts w:asciiTheme="minorHAnsi" w:hAnsiTheme="minorHAnsi" w:cstheme="minorHAnsi"/>
          <w:sz w:val="26"/>
          <w:szCs w:val="26"/>
        </w:rPr>
        <w:t xml:space="preserve"> </w:t>
      </w:r>
      <w:r>
        <w:rPr>
          <w:rFonts w:asciiTheme="minorHAnsi" w:hAnsiTheme="minorHAnsi" w:cstheme="minorHAnsi"/>
          <w:sz w:val="26"/>
          <w:szCs w:val="26"/>
        </w:rPr>
        <w:t>nejvíce</w:t>
      </w:r>
      <w:r w:rsidRPr="004E4535">
        <w:rPr>
          <w:rFonts w:asciiTheme="minorHAnsi" w:hAnsiTheme="minorHAnsi" w:cstheme="minorHAnsi"/>
          <w:sz w:val="26"/>
          <w:szCs w:val="26"/>
        </w:rPr>
        <w:t xml:space="preserve"> </w:t>
      </w:r>
      <w:r w:rsidRPr="004E4535">
        <w:rPr>
          <w:rFonts w:asciiTheme="minorHAnsi" w:hAnsiTheme="minorHAnsi" w:cstheme="minorHAnsi"/>
          <w:b/>
          <w:bCs/>
          <w:sz w:val="26"/>
          <w:szCs w:val="26"/>
        </w:rPr>
        <w:t xml:space="preserve">podílely náhrady zaměstnancům </w:t>
      </w:r>
      <w:r w:rsidRPr="004E4535">
        <w:rPr>
          <w:rFonts w:asciiTheme="minorHAnsi" w:hAnsiTheme="minorHAnsi" w:cstheme="minorHAnsi"/>
          <w:bCs/>
          <w:sz w:val="26"/>
          <w:szCs w:val="26"/>
        </w:rPr>
        <w:t>(</w:t>
      </w:r>
      <w:r>
        <w:rPr>
          <w:rFonts w:asciiTheme="minorHAnsi" w:hAnsiTheme="minorHAnsi" w:cstheme="minorHAnsi"/>
          <w:bCs/>
          <w:sz w:val="26"/>
          <w:szCs w:val="26"/>
        </w:rPr>
        <w:t>pokles</w:t>
      </w:r>
      <w:r w:rsidRPr="004E4535">
        <w:rPr>
          <w:rFonts w:asciiTheme="minorHAnsi" w:hAnsiTheme="minorHAnsi" w:cstheme="minorHAnsi"/>
          <w:bCs/>
          <w:sz w:val="26"/>
          <w:szCs w:val="26"/>
        </w:rPr>
        <w:t xml:space="preserve"> o </w:t>
      </w:r>
      <w:r>
        <w:rPr>
          <w:rFonts w:asciiTheme="minorHAnsi" w:hAnsiTheme="minorHAnsi" w:cstheme="minorHAnsi"/>
          <w:bCs/>
          <w:sz w:val="26"/>
          <w:szCs w:val="26"/>
        </w:rPr>
        <w:t>4</w:t>
      </w:r>
      <w:r w:rsidRPr="004E4535">
        <w:rPr>
          <w:rFonts w:asciiTheme="minorHAnsi" w:hAnsiTheme="minorHAnsi" w:cstheme="minorHAnsi"/>
          <w:bCs/>
          <w:sz w:val="26"/>
          <w:szCs w:val="26"/>
        </w:rPr>
        <w:t>,</w:t>
      </w:r>
      <w:r>
        <w:rPr>
          <w:rFonts w:asciiTheme="minorHAnsi" w:hAnsiTheme="minorHAnsi" w:cstheme="minorHAnsi"/>
          <w:bCs/>
          <w:sz w:val="26"/>
          <w:szCs w:val="26"/>
        </w:rPr>
        <w:t>8</w:t>
      </w:r>
      <w:r w:rsidRPr="004E4535">
        <w:rPr>
          <w:rFonts w:asciiTheme="minorHAnsi" w:hAnsiTheme="minorHAnsi" w:cstheme="minorHAnsi"/>
          <w:bCs/>
          <w:sz w:val="26"/>
          <w:szCs w:val="26"/>
        </w:rPr>
        <w:t> %)</w:t>
      </w:r>
      <w:r>
        <w:rPr>
          <w:rFonts w:asciiTheme="minorHAnsi" w:hAnsiTheme="minorHAnsi" w:cstheme="minorHAnsi"/>
          <w:bCs/>
          <w:sz w:val="26"/>
          <w:szCs w:val="26"/>
        </w:rPr>
        <w:t xml:space="preserve"> </w:t>
      </w:r>
      <w:r w:rsidRPr="006904A4">
        <w:rPr>
          <w:rFonts w:asciiTheme="minorHAnsi" w:hAnsiTheme="minorHAnsi" w:cstheme="minorHAnsi"/>
          <w:b/>
          <w:sz w:val="26"/>
          <w:szCs w:val="26"/>
        </w:rPr>
        <w:t xml:space="preserve">a </w:t>
      </w:r>
      <w:r>
        <w:rPr>
          <w:rFonts w:asciiTheme="minorHAnsi" w:hAnsiTheme="minorHAnsi" w:cstheme="minorHAnsi"/>
          <w:b/>
          <w:sz w:val="26"/>
          <w:szCs w:val="26"/>
        </w:rPr>
        <w:t>sociální dávky</w:t>
      </w:r>
      <w:r>
        <w:rPr>
          <w:rFonts w:asciiTheme="minorHAnsi" w:hAnsiTheme="minorHAnsi" w:cstheme="minorHAnsi"/>
          <w:bCs/>
          <w:sz w:val="26"/>
          <w:szCs w:val="26"/>
        </w:rPr>
        <w:t xml:space="preserve"> (-8,5 %). V menší míře se pak</w:t>
      </w:r>
      <w:r w:rsidRPr="004E4535">
        <w:rPr>
          <w:rFonts w:asciiTheme="minorHAnsi" w:hAnsiTheme="minorHAnsi" w:cstheme="minorHAnsi"/>
          <w:bCs/>
          <w:sz w:val="26"/>
          <w:szCs w:val="26"/>
        </w:rPr>
        <w:t xml:space="preserve"> na </w:t>
      </w:r>
      <w:r>
        <w:rPr>
          <w:rFonts w:asciiTheme="minorHAnsi" w:hAnsiTheme="minorHAnsi" w:cstheme="minorHAnsi"/>
          <w:bCs/>
          <w:sz w:val="26"/>
          <w:szCs w:val="26"/>
        </w:rPr>
        <w:t>propadu</w:t>
      </w:r>
      <w:r w:rsidRPr="004E4535">
        <w:rPr>
          <w:rFonts w:asciiTheme="minorHAnsi" w:hAnsiTheme="minorHAnsi" w:cstheme="minorHAnsi"/>
          <w:bCs/>
          <w:sz w:val="26"/>
          <w:szCs w:val="26"/>
        </w:rPr>
        <w:t xml:space="preserve"> reálných příjmů podílel</w:t>
      </w:r>
      <w:r>
        <w:rPr>
          <w:rFonts w:asciiTheme="minorHAnsi" w:hAnsiTheme="minorHAnsi" w:cstheme="minorHAnsi"/>
          <w:bCs/>
          <w:sz w:val="26"/>
          <w:szCs w:val="26"/>
        </w:rPr>
        <w:t>y</w:t>
      </w:r>
      <w:r w:rsidRPr="004E4535">
        <w:rPr>
          <w:rFonts w:asciiTheme="minorHAnsi" w:hAnsiTheme="minorHAnsi" w:cstheme="minorHAnsi"/>
          <w:sz w:val="26"/>
          <w:szCs w:val="26"/>
        </w:rPr>
        <w:t xml:space="preserve"> </w:t>
      </w:r>
      <w:r w:rsidRPr="004E4535">
        <w:rPr>
          <w:rFonts w:asciiTheme="minorHAnsi" w:hAnsiTheme="minorHAnsi" w:cstheme="minorHAnsi"/>
          <w:b/>
          <w:sz w:val="26"/>
          <w:szCs w:val="26"/>
        </w:rPr>
        <w:t>důchod</w:t>
      </w:r>
      <w:r>
        <w:rPr>
          <w:rFonts w:asciiTheme="minorHAnsi" w:hAnsiTheme="minorHAnsi" w:cstheme="minorHAnsi"/>
          <w:b/>
          <w:sz w:val="26"/>
          <w:szCs w:val="26"/>
        </w:rPr>
        <w:t>y</w:t>
      </w:r>
      <w:r w:rsidRPr="004E4535">
        <w:rPr>
          <w:rFonts w:asciiTheme="minorHAnsi" w:hAnsiTheme="minorHAnsi" w:cstheme="minorHAnsi"/>
          <w:b/>
          <w:sz w:val="26"/>
          <w:szCs w:val="26"/>
        </w:rPr>
        <w:t xml:space="preserve"> z vlastnictví</w:t>
      </w:r>
      <w:r w:rsidRPr="004E4535">
        <w:rPr>
          <w:rFonts w:asciiTheme="minorHAnsi" w:hAnsiTheme="minorHAnsi" w:cstheme="minorHAnsi"/>
          <w:sz w:val="26"/>
          <w:szCs w:val="26"/>
        </w:rPr>
        <w:t xml:space="preserve"> (</w:t>
      </w:r>
      <w:r>
        <w:rPr>
          <w:rFonts w:asciiTheme="minorHAnsi" w:hAnsiTheme="minorHAnsi" w:cstheme="minorHAnsi"/>
          <w:sz w:val="26"/>
          <w:szCs w:val="26"/>
        </w:rPr>
        <w:t>-2</w:t>
      </w:r>
      <w:r w:rsidRPr="004E4535">
        <w:rPr>
          <w:rFonts w:asciiTheme="minorHAnsi" w:hAnsiTheme="minorHAnsi" w:cstheme="minorHAnsi"/>
          <w:sz w:val="26"/>
          <w:szCs w:val="26"/>
        </w:rPr>
        <w:t>,</w:t>
      </w:r>
      <w:r>
        <w:rPr>
          <w:rFonts w:asciiTheme="minorHAnsi" w:hAnsiTheme="minorHAnsi" w:cstheme="minorHAnsi"/>
          <w:sz w:val="26"/>
          <w:szCs w:val="26"/>
        </w:rPr>
        <w:t>9</w:t>
      </w:r>
      <w:r w:rsidRPr="004E4535">
        <w:rPr>
          <w:rFonts w:asciiTheme="minorHAnsi" w:hAnsiTheme="minorHAnsi" w:cstheme="minorHAnsi"/>
          <w:sz w:val="26"/>
          <w:szCs w:val="26"/>
        </w:rPr>
        <w:t> %)</w:t>
      </w:r>
      <w:r>
        <w:rPr>
          <w:rFonts w:asciiTheme="minorHAnsi" w:hAnsiTheme="minorHAnsi" w:cstheme="minorHAnsi"/>
          <w:sz w:val="26"/>
          <w:szCs w:val="26"/>
        </w:rPr>
        <w:t>.</w:t>
      </w:r>
      <w:r w:rsidRPr="004E4535">
        <w:rPr>
          <w:rFonts w:asciiTheme="minorHAnsi" w:hAnsiTheme="minorHAnsi" w:cstheme="minorHAnsi"/>
          <w:sz w:val="26"/>
          <w:szCs w:val="26"/>
        </w:rPr>
        <w:t xml:space="preserve"> Naopak </w:t>
      </w:r>
      <w:r>
        <w:rPr>
          <w:rFonts w:asciiTheme="minorHAnsi" w:hAnsiTheme="minorHAnsi" w:cstheme="minorHAnsi"/>
          <w:b/>
          <w:sz w:val="26"/>
          <w:szCs w:val="26"/>
        </w:rPr>
        <w:t>vzrost</w:t>
      </w:r>
      <w:r w:rsidRPr="004E4535">
        <w:rPr>
          <w:rFonts w:asciiTheme="minorHAnsi" w:hAnsiTheme="minorHAnsi" w:cstheme="minorHAnsi"/>
          <w:b/>
          <w:sz w:val="26"/>
          <w:szCs w:val="26"/>
        </w:rPr>
        <w:t>la kupní síla</w:t>
      </w:r>
      <w:r w:rsidRPr="004E4535">
        <w:rPr>
          <w:rFonts w:asciiTheme="minorHAnsi" w:hAnsiTheme="minorHAnsi" w:cstheme="minorHAnsi"/>
          <w:sz w:val="26"/>
          <w:szCs w:val="26"/>
        </w:rPr>
        <w:t xml:space="preserve"> </w:t>
      </w:r>
      <w:r w:rsidRPr="006904A4">
        <w:rPr>
          <w:rFonts w:asciiTheme="minorHAnsi" w:hAnsiTheme="minorHAnsi" w:cstheme="minorHAnsi"/>
          <w:b/>
          <w:sz w:val="26"/>
          <w:szCs w:val="26"/>
        </w:rPr>
        <w:t>ostatní</w:t>
      </w:r>
      <w:r>
        <w:rPr>
          <w:rFonts w:asciiTheme="minorHAnsi" w:hAnsiTheme="minorHAnsi" w:cstheme="minorHAnsi"/>
          <w:b/>
          <w:sz w:val="26"/>
          <w:szCs w:val="26"/>
        </w:rPr>
        <w:t>ch</w:t>
      </w:r>
      <w:r w:rsidRPr="006904A4">
        <w:rPr>
          <w:rFonts w:asciiTheme="minorHAnsi" w:hAnsiTheme="minorHAnsi" w:cstheme="minorHAnsi"/>
          <w:b/>
          <w:sz w:val="26"/>
          <w:szCs w:val="26"/>
        </w:rPr>
        <w:t xml:space="preserve"> běžn</w:t>
      </w:r>
      <w:r>
        <w:rPr>
          <w:rFonts w:asciiTheme="minorHAnsi" w:hAnsiTheme="minorHAnsi" w:cstheme="minorHAnsi"/>
          <w:b/>
          <w:sz w:val="26"/>
          <w:szCs w:val="26"/>
        </w:rPr>
        <w:t>ých</w:t>
      </w:r>
      <w:r w:rsidRPr="006904A4">
        <w:rPr>
          <w:rFonts w:asciiTheme="minorHAnsi" w:hAnsiTheme="minorHAnsi" w:cstheme="minorHAnsi"/>
          <w:b/>
          <w:sz w:val="26"/>
          <w:szCs w:val="26"/>
        </w:rPr>
        <w:t xml:space="preserve"> transfer</w:t>
      </w:r>
      <w:r>
        <w:rPr>
          <w:rFonts w:asciiTheme="minorHAnsi" w:hAnsiTheme="minorHAnsi" w:cstheme="minorHAnsi"/>
          <w:b/>
          <w:sz w:val="26"/>
          <w:szCs w:val="26"/>
        </w:rPr>
        <w:t>ů</w:t>
      </w:r>
      <w:r>
        <w:rPr>
          <w:rFonts w:asciiTheme="minorHAnsi" w:hAnsiTheme="minorHAnsi" w:cstheme="minorHAnsi"/>
          <w:bCs/>
          <w:sz w:val="26"/>
          <w:szCs w:val="26"/>
        </w:rPr>
        <w:t xml:space="preserve"> (+34,4 %) </w:t>
      </w:r>
      <w:r w:rsidRPr="004E4535">
        <w:rPr>
          <w:rFonts w:asciiTheme="minorHAnsi" w:hAnsiTheme="minorHAnsi" w:cstheme="minorHAnsi"/>
          <w:sz w:val="26"/>
          <w:szCs w:val="26"/>
        </w:rPr>
        <w:t>– jedná se o náhrady z neživotního pojištění, výhry ze sázek a loterií apod.</w:t>
      </w:r>
      <w:r w:rsidRPr="005F5D60">
        <w:rPr>
          <w:rFonts w:asciiTheme="minorHAnsi" w:hAnsiTheme="minorHAnsi" w:cstheme="minorHAnsi"/>
          <w:b/>
          <w:bCs/>
          <w:sz w:val="26"/>
          <w:szCs w:val="26"/>
        </w:rPr>
        <w:t xml:space="preserve"> </w:t>
      </w:r>
      <w:r>
        <w:rPr>
          <w:rFonts w:asciiTheme="minorHAnsi" w:hAnsiTheme="minorHAnsi" w:cstheme="minorHAnsi"/>
          <w:b/>
          <w:bCs/>
          <w:sz w:val="26"/>
          <w:szCs w:val="26"/>
        </w:rPr>
        <w:t xml:space="preserve">a </w:t>
      </w:r>
      <w:r w:rsidRPr="004E4535">
        <w:rPr>
          <w:rFonts w:asciiTheme="minorHAnsi" w:hAnsiTheme="minorHAnsi" w:cstheme="minorHAnsi"/>
          <w:b/>
          <w:bCs/>
          <w:sz w:val="26"/>
          <w:szCs w:val="26"/>
        </w:rPr>
        <w:t>smíšen</w:t>
      </w:r>
      <w:r>
        <w:rPr>
          <w:rFonts w:asciiTheme="minorHAnsi" w:hAnsiTheme="minorHAnsi" w:cstheme="minorHAnsi"/>
          <w:b/>
          <w:bCs/>
          <w:sz w:val="26"/>
          <w:szCs w:val="26"/>
        </w:rPr>
        <w:t>ého</w:t>
      </w:r>
      <w:r w:rsidRPr="004E4535">
        <w:rPr>
          <w:rFonts w:asciiTheme="minorHAnsi" w:hAnsiTheme="minorHAnsi" w:cstheme="minorHAnsi"/>
          <w:b/>
          <w:bCs/>
          <w:sz w:val="26"/>
          <w:szCs w:val="26"/>
        </w:rPr>
        <w:t xml:space="preserve"> důchod</w:t>
      </w:r>
      <w:r>
        <w:rPr>
          <w:rFonts w:asciiTheme="minorHAnsi" w:hAnsiTheme="minorHAnsi" w:cstheme="minorHAnsi"/>
          <w:b/>
          <w:bCs/>
          <w:sz w:val="26"/>
          <w:szCs w:val="26"/>
        </w:rPr>
        <w:t>u</w:t>
      </w:r>
      <w:r w:rsidRPr="004E4535">
        <w:rPr>
          <w:rFonts w:asciiTheme="minorHAnsi" w:hAnsiTheme="minorHAnsi" w:cstheme="minorHAnsi"/>
          <w:sz w:val="26"/>
          <w:szCs w:val="26"/>
        </w:rPr>
        <w:t xml:space="preserve"> (zahrnující zejména příjmy z podnikatelských aktivit </w:t>
      </w:r>
      <w:r>
        <w:rPr>
          <w:rFonts w:asciiTheme="minorHAnsi" w:hAnsiTheme="minorHAnsi" w:cstheme="minorHAnsi"/>
          <w:sz w:val="26"/>
          <w:szCs w:val="26"/>
        </w:rPr>
        <w:t>+4</w:t>
      </w:r>
      <w:r w:rsidRPr="004E4535">
        <w:rPr>
          <w:rFonts w:asciiTheme="minorHAnsi" w:hAnsiTheme="minorHAnsi" w:cstheme="minorHAnsi"/>
          <w:sz w:val="26"/>
          <w:szCs w:val="26"/>
        </w:rPr>
        <w:t>,</w:t>
      </w:r>
      <w:r>
        <w:rPr>
          <w:rFonts w:asciiTheme="minorHAnsi" w:hAnsiTheme="minorHAnsi" w:cstheme="minorHAnsi"/>
          <w:sz w:val="26"/>
          <w:szCs w:val="26"/>
        </w:rPr>
        <w:t>7</w:t>
      </w:r>
      <w:r w:rsidRPr="004E4535">
        <w:rPr>
          <w:rFonts w:asciiTheme="minorHAnsi" w:hAnsiTheme="minorHAnsi" w:cstheme="minorHAnsi"/>
          <w:sz w:val="26"/>
          <w:szCs w:val="26"/>
        </w:rPr>
        <w:t> %)</w:t>
      </w:r>
      <w:r>
        <w:rPr>
          <w:rFonts w:asciiTheme="minorHAnsi" w:hAnsiTheme="minorHAnsi" w:cstheme="minorHAnsi"/>
          <w:sz w:val="26"/>
          <w:szCs w:val="26"/>
        </w:rPr>
        <w:t>.</w:t>
      </w:r>
    </w:p>
    <w:p w14:paraId="0D386B35" w14:textId="77777777" w:rsidR="006C3C15" w:rsidRPr="004E4535" w:rsidRDefault="006C3C15" w:rsidP="006C3C15">
      <w:pPr>
        <w:spacing w:after="120" w:line="360" w:lineRule="auto"/>
        <w:jc w:val="both"/>
        <w:rPr>
          <w:rFonts w:asciiTheme="minorHAnsi" w:hAnsiTheme="minorHAnsi" w:cstheme="minorHAnsi"/>
          <w:sz w:val="26"/>
          <w:szCs w:val="26"/>
        </w:rPr>
      </w:pPr>
      <w:r w:rsidRPr="004E4535">
        <w:rPr>
          <w:rFonts w:asciiTheme="minorHAnsi" w:hAnsiTheme="minorHAnsi" w:cstheme="minorHAnsi"/>
          <w:sz w:val="26"/>
          <w:szCs w:val="26"/>
        </w:rPr>
        <w:tab/>
        <w:t xml:space="preserve">Po odpočtu běžných výdajů (především daní z příjmů a příspěvků na sociální a zdravotní pojištění) zůstal sektoru domácností </w:t>
      </w:r>
      <w:r w:rsidRPr="004E4535">
        <w:rPr>
          <w:rFonts w:asciiTheme="minorHAnsi" w:hAnsiTheme="minorHAnsi" w:cstheme="minorHAnsi"/>
          <w:b/>
          <w:bCs/>
          <w:sz w:val="26"/>
          <w:szCs w:val="26"/>
        </w:rPr>
        <w:t xml:space="preserve">úhrnný disponibilní důchod </w:t>
      </w:r>
      <w:r w:rsidRPr="004E4535">
        <w:rPr>
          <w:rFonts w:asciiTheme="minorHAnsi" w:hAnsiTheme="minorHAnsi" w:cstheme="minorHAnsi"/>
          <w:sz w:val="26"/>
          <w:szCs w:val="26"/>
        </w:rPr>
        <w:t xml:space="preserve">v částce </w:t>
      </w:r>
      <w:r w:rsidRPr="004E4535">
        <w:rPr>
          <w:rFonts w:asciiTheme="minorHAnsi" w:hAnsiTheme="minorHAnsi" w:cstheme="minorHAnsi"/>
          <w:b/>
          <w:bCs/>
          <w:sz w:val="26"/>
          <w:szCs w:val="26"/>
        </w:rPr>
        <w:t>1 </w:t>
      </w:r>
      <w:r>
        <w:rPr>
          <w:rFonts w:asciiTheme="minorHAnsi" w:hAnsiTheme="minorHAnsi" w:cstheme="minorHAnsi"/>
          <w:b/>
          <w:bCs/>
          <w:sz w:val="26"/>
          <w:szCs w:val="26"/>
        </w:rPr>
        <w:t>758</w:t>
      </w:r>
      <w:r w:rsidRPr="004E4535">
        <w:rPr>
          <w:rFonts w:asciiTheme="minorHAnsi" w:hAnsiTheme="minorHAnsi" w:cstheme="minorHAnsi"/>
          <w:b/>
          <w:bCs/>
          <w:sz w:val="26"/>
          <w:szCs w:val="26"/>
        </w:rPr>
        <w:t>,</w:t>
      </w:r>
      <w:r>
        <w:rPr>
          <w:rFonts w:asciiTheme="minorHAnsi" w:hAnsiTheme="minorHAnsi" w:cstheme="minorHAnsi"/>
          <w:b/>
          <w:bCs/>
          <w:sz w:val="26"/>
          <w:szCs w:val="26"/>
        </w:rPr>
        <w:t>0</w:t>
      </w:r>
      <w:r w:rsidRPr="004E4535">
        <w:rPr>
          <w:rFonts w:asciiTheme="minorHAnsi" w:hAnsiTheme="minorHAnsi" w:cstheme="minorHAnsi"/>
          <w:b/>
          <w:bCs/>
          <w:sz w:val="26"/>
          <w:szCs w:val="26"/>
        </w:rPr>
        <w:t> mld. Kč,</w:t>
      </w:r>
      <w:r w:rsidRPr="004E4535">
        <w:rPr>
          <w:rFonts w:asciiTheme="minorHAnsi" w:hAnsiTheme="minorHAnsi" w:cstheme="minorHAnsi"/>
          <w:sz w:val="26"/>
          <w:szCs w:val="26"/>
        </w:rPr>
        <w:t xml:space="preserve"> což bylo </w:t>
      </w:r>
      <w:r w:rsidRPr="004E4535">
        <w:rPr>
          <w:rFonts w:asciiTheme="minorHAnsi" w:hAnsiTheme="minorHAnsi" w:cstheme="minorHAnsi"/>
          <w:b/>
          <w:bCs/>
          <w:sz w:val="26"/>
          <w:szCs w:val="26"/>
        </w:rPr>
        <w:t>reálně o </w:t>
      </w:r>
      <w:r>
        <w:rPr>
          <w:rFonts w:asciiTheme="minorHAnsi" w:hAnsiTheme="minorHAnsi" w:cstheme="minorHAnsi"/>
          <w:b/>
          <w:bCs/>
          <w:sz w:val="26"/>
          <w:szCs w:val="26"/>
        </w:rPr>
        <w:t>3</w:t>
      </w:r>
      <w:r w:rsidRPr="004E4535">
        <w:rPr>
          <w:rFonts w:asciiTheme="minorHAnsi" w:hAnsiTheme="minorHAnsi" w:cstheme="minorHAnsi"/>
          <w:b/>
          <w:bCs/>
          <w:sz w:val="26"/>
          <w:szCs w:val="26"/>
        </w:rPr>
        <w:t>,</w:t>
      </w:r>
      <w:r>
        <w:rPr>
          <w:rFonts w:asciiTheme="minorHAnsi" w:hAnsiTheme="minorHAnsi" w:cstheme="minorHAnsi"/>
          <w:b/>
          <w:bCs/>
          <w:sz w:val="26"/>
          <w:szCs w:val="26"/>
        </w:rPr>
        <w:t>9</w:t>
      </w:r>
      <w:r w:rsidRPr="004E4535">
        <w:rPr>
          <w:rFonts w:asciiTheme="minorHAnsi" w:hAnsiTheme="minorHAnsi" w:cstheme="minorHAnsi"/>
          <w:b/>
          <w:bCs/>
          <w:sz w:val="26"/>
          <w:szCs w:val="26"/>
        </w:rPr>
        <w:t xml:space="preserve"> % </w:t>
      </w:r>
      <w:r>
        <w:rPr>
          <w:rFonts w:asciiTheme="minorHAnsi" w:hAnsiTheme="minorHAnsi" w:cstheme="minorHAnsi"/>
          <w:b/>
          <w:bCs/>
          <w:sz w:val="26"/>
          <w:szCs w:val="26"/>
        </w:rPr>
        <w:t>méně</w:t>
      </w:r>
      <w:r w:rsidRPr="004E4535">
        <w:rPr>
          <w:rFonts w:asciiTheme="minorHAnsi" w:hAnsiTheme="minorHAnsi" w:cstheme="minorHAnsi"/>
          <w:b/>
          <w:bCs/>
          <w:sz w:val="26"/>
          <w:szCs w:val="26"/>
        </w:rPr>
        <w:t xml:space="preserve"> </w:t>
      </w:r>
      <w:r w:rsidRPr="004E4535">
        <w:rPr>
          <w:rFonts w:asciiTheme="minorHAnsi" w:hAnsiTheme="minorHAnsi" w:cstheme="minorHAnsi"/>
          <w:sz w:val="26"/>
          <w:szCs w:val="26"/>
        </w:rPr>
        <w:t>než ve srovnatelném loňském období (kdy se kupní síla jeho objemu meziročně zvýšila o </w:t>
      </w:r>
      <w:r>
        <w:rPr>
          <w:rFonts w:asciiTheme="minorHAnsi" w:hAnsiTheme="minorHAnsi" w:cstheme="minorHAnsi"/>
          <w:sz w:val="26"/>
          <w:szCs w:val="26"/>
        </w:rPr>
        <w:t>4</w:t>
      </w:r>
      <w:r w:rsidRPr="004E4535">
        <w:rPr>
          <w:rFonts w:asciiTheme="minorHAnsi" w:hAnsiTheme="minorHAnsi" w:cstheme="minorHAnsi"/>
          <w:sz w:val="26"/>
          <w:szCs w:val="26"/>
        </w:rPr>
        <w:t>,</w:t>
      </w:r>
      <w:r>
        <w:rPr>
          <w:rFonts w:asciiTheme="minorHAnsi" w:hAnsiTheme="minorHAnsi" w:cstheme="minorHAnsi"/>
          <w:sz w:val="26"/>
          <w:szCs w:val="26"/>
        </w:rPr>
        <w:t>4</w:t>
      </w:r>
      <w:r w:rsidRPr="004E4535">
        <w:rPr>
          <w:rFonts w:asciiTheme="minorHAnsi" w:hAnsiTheme="minorHAnsi" w:cstheme="minorHAnsi"/>
          <w:sz w:val="26"/>
          <w:szCs w:val="26"/>
        </w:rPr>
        <w:t> %).</w:t>
      </w:r>
    </w:p>
    <w:p w14:paraId="487580A8" w14:textId="77777777" w:rsidR="006C3C15" w:rsidRPr="004E4535" w:rsidRDefault="006C3C15" w:rsidP="006C3C15">
      <w:pPr>
        <w:spacing w:after="120" w:line="360" w:lineRule="auto"/>
        <w:jc w:val="both"/>
        <w:rPr>
          <w:rFonts w:asciiTheme="minorHAnsi" w:hAnsiTheme="minorHAnsi" w:cstheme="minorHAnsi"/>
          <w:b/>
          <w:sz w:val="26"/>
          <w:szCs w:val="26"/>
        </w:rPr>
      </w:pPr>
      <w:r w:rsidRPr="004E4535">
        <w:rPr>
          <w:rFonts w:asciiTheme="minorHAnsi" w:hAnsiTheme="minorHAnsi" w:cstheme="minorHAnsi"/>
          <w:sz w:val="26"/>
          <w:szCs w:val="26"/>
        </w:rPr>
        <w:tab/>
      </w:r>
      <w:r w:rsidRPr="004E4535">
        <w:rPr>
          <w:rFonts w:asciiTheme="minorHAnsi" w:hAnsiTheme="minorHAnsi" w:cstheme="minorHAnsi"/>
          <w:b/>
          <w:sz w:val="26"/>
          <w:szCs w:val="26"/>
        </w:rPr>
        <w:t>Relace disponibilního důchodu k objemu hrubého domácího produktu</w:t>
      </w:r>
      <w:r w:rsidRPr="004E4535">
        <w:rPr>
          <w:rFonts w:asciiTheme="minorHAnsi" w:hAnsiTheme="minorHAnsi" w:cstheme="minorHAnsi"/>
          <w:sz w:val="26"/>
          <w:szCs w:val="26"/>
        </w:rPr>
        <w:t xml:space="preserve"> (v běžných cenách) meziročně </w:t>
      </w:r>
      <w:r>
        <w:rPr>
          <w:rFonts w:asciiTheme="minorHAnsi" w:hAnsiTheme="minorHAnsi" w:cstheme="minorHAnsi"/>
          <w:b/>
          <w:sz w:val="26"/>
          <w:szCs w:val="26"/>
        </w:rPr>
        <w:t>kles</w:t>
      </w:r>
      <w:r w:rsidRPr="004E4535">
        <w:rPr>
          <w:rFonts w:asciiTheme="minorHAnsi" w:hAnsiTheme="minorHAnsi" w:cstheme="minorHAnsi"/>
          <w:b/>
          <w:sz w:val="26"/>
          <w:szCs w:val="26"/>
        </w:rPr>
        <w:t>la</w:t>
      </w:r>
      <w:r w:rsidRPr="004E4535">
        <w:rPr>
          <w:rFonts w:asciiTheme="minorHAnsi" w:hAnsiTheme="minorHAnsi" w:cstheme="minorHAnsi"/>
          <w:sz w:val="26"/>
          <w:szCs w:val="26"/>
        </w:rPr>
        <w:t xml:space="preserve"> o </w:t>
      </w:r>
      <w:r>
        <w:rPr>
          <w:rFonts w:asciiTheme="minorHAnsi" w:hAnsiTheme="minorHAnsi" w:cstheme="minorHAnsi"/>
          <w:sz w:val="26"/>
          <w:szCs w:val="26"/>
        </w:rPr>
        <w:t>0</w:t>
      </w:r>
      <w:r w:rsidRPr="004E4535">
        <w:rPr>
          <w:rFonts w:asciiTheme="minorHAnsi" w:hAnsiTheme="minorHAnsi" w:cstheme="minorHAnsi"/>
          <w:sz w:val="26"/>
          <w:szCs w:val="26"/>
        </w:rPr>
        <w:t>,</w:t>
      </w:r>
      <w:r>
        <w:rPr>
          <w:rFonts w:asciiTheme="minorHAnsi" w:hAnsiTheme="minorHAnsi" w:cstheme="minorHAnsi"/>
          <w:sz w:val="26"/>
          <w:szCs w:val="26"/>
        </w:rPr>
        <w:t>8</w:t>
      </w:r>
      <w:r w:rsidRPr="004E4535">
        <w:rPr>
          <w:rFonts w:asciiTheme="minorHAnsi" w:hAnsiTheme="minorHAnsi" w:cstheme="minorHAnsi"/>
          <w:sz w:val="26"/>
          <w:szCs w:val="26"/>
        </w:rPr>
        <w:t xml:space="preserve"> p. b. na </w:t>
      </w:r>
      <w:r w:rsidRPr="004E4535">
        <w:rPr>
          <w:rFonts w:asciiTheme="minorHAnsi" w:hAnsiTheme="minorHAnsi" w:cstheme="minorHAnsi"/>
          <w:b/>
          <w:sz w:val="26"/>
          <w:szCs w:val="26"/>
        </w:rPr>
        <w:t>5</w:t>
      </w:r>
      <w:r>
        <w:rPr>
          <w:rFonts w:asciiTheme="minorHAnsi" w:hAnsiTheme="minorHAnsi" w:cstheme="minorHAnsi"/>
          <w:b/>
          <w:sz w:val="26"/>
          <w:szCs w:val="26"/>
        </w:rPr>
        <w:t>3</w:t>
      </w:r>
      <w:r w:rsidRPr="004E4535">
        <w:rPr>
          <w:rFonts w:asciiTheme="minorHAnsi" w:hAnsiTheme="minorHAnsi" w:cstheme="minorHAnsi"/>
          <w:b/>
          <w:sz w:val="26"/>
          <w:szCs w:val="26"/>
        </w:rPr>
        <w:t>,</w:t>
      </w:r>
      <w:r>
        <w:rPr>
          <w:rFonts w:asciiTheme="minorHAnsi" w:hAnsiTheme="minorHAnsi" w:cstheme="minorHAnsi"/>
          <w:b/>
          <w:sz w:val="26"/>
          <w:szCs w:val="26"/>
        </w:rPr>
        <w:t>0</w:t>
      </w:r>
      <w:r w:rsidRPr="004E4535">
        <w:rPr>
          <w:rFonts w:asciiTheme="minorHAnsi" w:hAnsiTheme="minorHAnsi" w:cstheme="minorHAnsi"/>
          <w:b/>
          <w:sz w:val="26"/>
          <w:szCs w:val="26"/>
        </w:rPr>
        <w:t> %.</w:t>
      </w:r>
    </w:p>
    <w:p w14:paraId="5ED593E8" w14:textId="77777777" w:rsidR="006C3C15" w:rsidRPr="004E4535" w:rsidRDefault="006C3C15" w:rsidP="006C3C15">
      <w:pPr>
        <w:spacing w:after="120" w:line="360" w:lineRule="auto"/>
        <w:jc w:val="both"/>
        <w:rPr>
          <w:rFonts w:asciiTheme="minorHAnsi" w:hAnsiTheme="minorHAnsi" w:cstheme="minorHAnsi"/>
          <w:sz w:val="26"/>
          <w:szCs w:val="26"/>
        </w:rPr>
      </w:pPr>
      <w:r w:rsidRPr="004E4535">
        <w:rPr>
          <w:rFonts w:asciiTheme="minorHAnsi" w:hAnsiTheme="minorHAnsi" w:cstheme="minorHAnsi"/>
          <w:b/>
          <w:sz w:val="26"/>
          <w:szCs w:val="26"/>
        </w:rPr>
        <w:tab/>
      </w:r>
      <w:r w:rsidRPr="004E4535">
        <w:rPr>
          <w:rFonts w:asciiTheme="minorHAnsi" w:hAnsiTheme="minorHAnsi" w:cstheme="minorHAnsi"/>
          <w:bCs/>
          <w:sz w:val="26"/>
          <w:szCs w:val="26"/>
        </w:rPr>
        <w:t xml:space="preserve">Na základě údajů ČSÚ ze čtvrtletních sektorových účtů </w:t>
      </w:r>
      <w:r>
        <w:rPr>
          <w:rFonts w:asciiTheme="minorHAnsi" w:hAnsiTheme="minorHAnsi" w:cstheme="minorHAnsi"/>
          <w:b/>
          <w:bCs/>
          <w:sz w:val="26"/>
          <w:szCs w:val="26"/>
        </w:rPr>
        <w:t>pokles</w:t>
      </w:r>
      <w:r w:rsidRPr="004E4535">
        <w:rPr>
          <w:rFonts w:asciiTheme="minorHAnsi" w:hAnsiTheme="minorHAnsi" w:cstheme="minorHAnsi"/>
          <w:b/>
          <w:bCs/>
          <w:sz w:val="26"/>
          <w:szCs w:val="26"/>
        </w:rPr>
        <w:t>ly</w:t>
      </w:r>
      <w:r w:rsidRPr="004E4535">
        <w:rPr>
          <w:rFonts w:asciiTheme="minorHAnsi" w:hAnsiTheme="minorHAnsi" w:cstheme="minorHAnsi"/>
          <w:bCs/>
          <w:sz w:val="26"/>
          <w:szCs w:val="26"/>
        </w:rPr>
        <w:t xml:space="preserve"> ve druhém čtvrtletí 20</w:t>
      </w:r>
      <w:r>
        <w:rPr>
          <w:rFonts w:asciiTheme="minorHAnsi" w:hAnsiTheme="minorHAnsi" w:cstheme="minorHAnsi"/>
          <w:bCs/>
          <w:sz w:val="26"/>
          <w:szCs w:val="26"/>
        </w:rPr>
        <w:t>22</w:t>
      </w:r>
      <w:r w:rsidRPr="004E4535">
        <w:rPr>
          <w:rFonts w:asciiTheme="minorHAnsi" w:hAnsiTheme="minorHAnsi" w:cstheme="minorHAnsi"/>
          <w:bCs/>
          <w:sz w:val="26"/>
          <w:szCs w:val="26"/>
        </w:rPr>
        <w:t xml:space="preserve"> </w:t>
      </w:r>
      <w:r w:rsidRPr="004E4535">
        <w:rPr>
          <w:rFonts w:asciiTheme="minorHAnsi" w:hAnsiTheme="minorHAnsi" w:cstheme="minorHAnsi"/>
          <w:b/>
          <w:bCs/>
          <w:sz w:val="26"/>
          <w:szCs w:val="26"/>
        </w:rPr>
        <w:t>reálné příjmy domácností na obyvatele</w:t>
      </w:r>
      <w:r w:rsidRPr="004E4535">
        <w:rPr>
          <w:rFonts w:asciiTheme="minorHAnsi" w:hAnsiTheme="minorHAnsi" w:cstheme="minorHAnsi"/>
          <w:bCs/>
          <w:sz w:val="26"/>
          <w:szCs w:val="26"/>
        </w:rPr>
        <w:t xml:space="preserve"> meziročně </w:t>
      </w:r>
      <w:r w:rsidRPr="004E4535">
        <w:rPr>
          <w:rFonts w:asciiTheme="minorHAnsi" w:hAnsiTheme="minorHAnsi" w:cstheme="minorHAnsi"/>
          <w:b/>
          <w:bCs/>
          <w:sz w:val="26"/>
          <w:szCs w:val="26"/>
        </w:rPr>
        <w:t>o </w:t>
      </w:r>
      <w:r>
        <w:rPr>
          <w:rFonts w:asciiTheme="minorHAnsi" w:hAnsiTheme="minorHAnsi" w:cstheme="minorHAnsi"/>
          <w:b/>
          <w:bCs/>
          <w:sz w:val="26"/>
          <w:szCs w:val="26"/>
        </w:rPr>
        <w:t>1,2</w:t>
      </w:r>
      <w:r w:rsidRPr="004E4535">
        <w:rPr>
          <w:rFonts w:asciiTheme="minorHAnsi" w:hAnsiTheme="minorHAnsi" w:cstheme="minorHAnsi"/>
          <w:b/>
          <w:bCs/>
          <w:sz w:val="26"/>
          <w:szCs w:val="26"/>
        </w:rPr>
        <w:t> %.</w:t>
      </w:r>
      <w:r w:rsidRPr="004E4535">
        <w:rPr>
          <w:rFonts w:asciiTheme="minorHAnsi" w:hAnsiTheme="minorHAnsi" w:cstheme="minorHAnsi"/>
          <w:bCs/>
          <w:sz w:val="26"/>
          <w:szCs w:val="26"/>
        </w:rPr>
        <w:t xml:space="preserve"> </w:t>
      </w:r>
      <w:r w:rsidRPr="004E4535">
        <w:rPr>
          <w:rFonts w:asciiTheme="minorHAnsi" w:hAnsiTheme="minorHAnsi" w:cstheme="minorHAnsi"/>
          <w:b/>
          <w:bCs/>
          <w:sz w:val="26"/>
          <w:szCs w:val="26"/>
        </w:rPr>
        <w:t>Průměrný měsíční příjem ze zaměstnání dosáhl</w:t>
      </w:r>
      <w:r w:rsidRPr="004E4535">
        <w:rPr>
          <w:rFonts w:asciiTheme="minorHAnsi" w:hAnsiTheme="minorHAnsi" w:cstheme="minorHAnsi"/>
          <w:bCs/>
          <w:sz w:val="26"/>
          <w:szCs w:val="26"/>
        </w:rPr>
        <w:t xml:space="preserve"> ve stejném období částky </w:t>
      </w:r>
      <w:r>
        <w:rPr>
          <w:rFonts w:asciiTheme="minorHAnsi" w:hAnsiTheme="minorHAnsi" w:cstheme="minorHAnsi"/>
          <w:b/>
          <w:bCs/>
          <w:sz w:val="26"/>
          <w:szCs w:val="26"/>
        </w:rPr>
        <w:t>41</w:t>
      </w:r>
      <w:r w:rsidRPr="004E4535">
        <w:rPr>
          <w:rFonts w:asciiTheme="minorHAnsi" w:hAnsiTheme="minorHAnsi" w:cstheme="minorHAnsi"/>
          <w:b/>
          <w:bCs/>
          <w:sz w:val="26"/>
          <w:szCs w:val="26"/>
        </w:rPr>
        <w:t> </w:t>
      </w:r>
      <w:r>
        <w:rPr>
          <w:rFonts w:asciiTheme="minorHAnsi" w:hAnsiTheme="minorHAnsi" w:cstheme="minorHAnsi"/>
          <w:b/>
          <w:bCs/>
          <w:sz w:val="26"/>
          <w:szCs w:val="26"/>
        </w:rPr>
        <w:t>072</w:t>
      </w:r>
      <w:r w:rsidRPr="004E4535">
        <w:rPr>
          <w:rFonts w:asciiTheme="minorHAnsi" w:hAnsiTheme="minorHAnsi" w:cstheme="minorHAnsi"/>
          <w:b/>
          <w:bCs/>
          <w:sz w:val="26"/>
          <w:szCs w:val="26"/>
        </w:rPr>
        <w:t> Kč</w:t>
      </w:r>
      <w:r w:rsidRPr="004E4535">
        <w:rPr>
          <w:rFonts w:asciiTheme="minorHAnsi" w:hAnsiTheme="minorHAnsi" w:cstheme="minorHAnsi"/>
          <w:bCs/>
          <w:sz w:val="26"/>
          <w:szCs w:val="26"/>
        </w:rPr>
        <w:t xml:space="preserve"> a</w:t>
      </w:r>
      <w:r>
        <w:rPr>
          <w:rFonts w:asciiTheme="minorHAnsi" w:hAnsiTheme="minorHAnsi" w:cstheme="minorHAnsi"/>
          <w:bCs/>
          <w:sz w:val="26"/>
          <w:szCs w:val="26"/>
        </w:rPr>
        <w:t> </w:t>
      </w:r>
      <w:r w:rsidRPr="004E4535">
        <w:rPr>
          <w:rFonts w:asciiTheme="minorHAnsi" w:hAnsiTheme="minorHAnsi" w:cstheme="minorHAnsi"/>
          <w:bCs/>
          <w:sz w:val="26"/>
          <w:szCs w:val="26"/>
        </w:rPr>
        <w:t xml:space="preserve">reálně meziročně </w:t>
      </w:r>
      <w:r>
        <w:rPr>
          <w:rFonts w:asciiTheme="minorHAnsi" w:hAnsiTheme="minorHAnsi" w:cstheme="minorHAnsi"/>
          <w:bCs/>
          <w:sz w:val="26"/>
          <w:szCs w:val="26"/>
        </w:rPr>
        <w:t>poklesl</w:t>
      </w:r>
      <w:r w:rsidRPr="004E4535">
        <w:rPr>
          <w:rFonts w:asciiTheme="minorHAnsi" w:hAnsiTheme="minorHAnsi" w:cstheme="minorHAnsi"/>
          <w:bCs/>
          <w:sz w:val="26"/>
          <w:szCs w:val="26"/>
        </w:rPr>
        <w:t xml:space="preserve"> o </w:t>
      </w:r>
      <w:r>
        <w:rPr>
          <w:rFonts w:asciiTheme="minorHAnsi" w:hAnsiTheme="minorHAnsi" w:cstheme="minorHAnsi"/>
          <w:bCs/>
          <w:sz w:val="26"/>
          <w:szCs w:val="26"/>
        </w:rPr>
        <w:t>9</w:t>
      </w:r>
      <w:r w:rsidRPr="004E4535">
        <w:rPr>
          <w:rFonts w:asciiTheme="minorHAnsi" w:hAnsiTheme="minorHAnsi" w:cstheme="minorHAnsi"/>
          <w:bCs/>
          <w:sz w:val="26"/>
          <w:szCs w:val="26"/>
        </w:rPr>
        <w:t>,</w:t>
      </w:r>
      <w:r>
        <w:rPr>
          <w:rFonts w:asciiTheme="minorHAnsi" w:hAnsiTheme="minorHAnsi" w:cstheme="minorHAnsi"/>
          <w:bCs/>
          <w:sz w:val="26"/>
          <w:szCs w:val="26"/>
        </w:rPr>
        <w:t>5</w:t>
      </w:r>
      <w:r w:rsidRPr="004E4535">
        <w:rPr>
          <w:rFonts w:asciiTheme="minorHAnsi" w:hAnsiTheme="minorHAnsi" w:cstheme="minorHAnsi"/>
          <w:bCs/>
          <w:sz w:val="26"/>
          <w:szCs w:val="26"/>
        </w:rPr>
        <w:t> %.</w:t>
      </w:r>
    </w:p>
    <w:p w14:paraId="4298142E" w14:textId="77777777" w:rsidR="006C3C15" w:rsidRPr="005E50DE" w:rsidRDefault="006C3C15" w:rsidP="006C3C15">
      <w:pPr>
        <w:spacing w:line="360" w:lineRule="auto"/>
        <w:jc w:val="both"/>
      </w:pPr>
      <w:r w:rsidRPr="004E4535">
        <w:rPr>
          <w:rFonts w:asciiTheme="minorHAnsi" w:hAnsiTheme="minorHAnsi" w:cstheme="minorHAnsi"/>
          <w:sz w:val="26"/>
          <w:szCs w:val="26"/>
        </w:rPr>
        <w:tab/>
        <w:t>Podrobnější číselné údaje o vývoji ukazatelů v sektoru domácností jsou součástí tabulky č. 1 v příloze.</w:t>
      </w:r>
    </w:p>
    <w:p w14:paraId="3AF54255" w14:textId="1FDDCC58" w:rsidR="00D97A60" w:rsidRDefault="00D97A60" w:rsidP="006D2A77">
      <w:pPr>
        <w:spacing w:after="240" w:line="360" w:lineRule="auto"/>
        <w:rPr>
          <w:rFonts w:asciiTheme="minorHAnsi" w:hAnsiTheme="minorHAnsi" w:cs="Arial"/>
          <w:b/>
          <w:i/>
          <w:smallCaps/>
          <w:color w:val="1F497D"/>
          <w:sz w:val="36"/>
          <w:szCs w:val="40"/>
        </w:rPr>
      </w:pPr>
      <w:r w:rsidRPr="00710980">
        <w:rPr>
          <w:rFonts w:asciiTheme="minorHAnsi" w:hAnsiTheme="minorHAnsi" w:cs="Arial"/>
          <w:b/>
          <w:i/>
          <w:smallCaps/>
          <w:color w:val="1F497D"/>
          <w:sz w:val="36"/>
          <w:szCs w:val="40"/>
        </w:rPr>
        <w:lastRenderedPageBreak/>
        <w:t>1.2</w:t>
      </w:r>
      <w:r w:rsidR="00F07F6D">
        <w:rPr>
          <w:rFonts w:asciiTheme="minorHAnsi" w:hAnsiTheme="minorHAnsi" w:cs="Arial"/>
          <w:b/>
          <w:i/>
          <w:smallCaps/>
          <w:color w:val="1F497D"/>
          <w:sz w:val="36"/>
          <w:szCs w:val="40"/>
        </w:rPr>
        <w:t>.</w:t>
      </w:r>
      <w:r w:rsidRPr="00710980">
        <w:rPr>
          <w:rFonts w:asciiTheme="minorHAnsi" w:hAnsiTheme="minorHAnsi" w:cs="Arial"/>
          <w:b/>
          <w:i/>
          <w:smallCaps/>
          <w:color w:val="1F497D"/>
          <w:sz w:val="36"/>
          <w:szCs w:val="40"/>
        </w:rPr>
        <w:t xml:space="preserve"> Mzdy</w:t>
      </w:r>
    </w:p>
    <w:p w14:paraId="79085D2A" w14:textId="77777777" w:rsidR="00F07F6D" w:rsidRDefault="00F07F6D" w:rsidP="00771DAB">
      <w:pPr>
        <w:spacing w:after="240" w:line="360" w:lineRule="auto"/>
        <w:jc w:val="both"/>
        <w:rPr>
          <w:rFonts w:asciiTheme="minorHAnsi" w:hAnsiTheme="minorHAnsi"/>
          <w:sz w:val="26"/>
          <w:szCs w:val="26"/>
        </w:rPr>
      </w:pPr>
      <w:r w:rsidRPr="00621D94">
        <w:rPr>
          <w:rFonts w:ascii="Calibri" w:hAnsi="Calibri" w:cs="Calibri"/>
          <w:sz w:val="26"/>
          <w:szCs w:val="26"/>
        </w:rPr>
        <w:tab/>
      </w:r>
      <w:r w:rsidRPr="008E1C8D">
        <w:rPr>
          <w:rFonts w:asciiTheme="minorHAnsi" w:hAnsiTheme="minorHAnsi"/>
          <w:b/>
          <w:sz w:val="26"/>
          <w:szCs w:val="26"/>
        </w:rPr>
        <w:t>Rozhodující část</w:t>
      </w:r>
      <w:r w:rsidRPr="008E1C8D">
        <w:rPr>
          <w:rFonts w:asciiTheme="minorHAnsi" w:hAnsiTheme="minorHAnsi"/>
          <w:sz w:val="26"/>
          <w:szCs w:val="26"/>
        </w:rPr>
        <w:t xml:space="preserve"> peněžních </w:t>
      </w:r>
      <w:r w:rsidRPr="008E1C8D">
        <w:rPr>
          <w:rFonts w:asciiTheme="minorHAnsi" w:hAnsiTheme="minorHAnsi"/>
          <w:b/>
          <w:sz w:val="26"/>
          <w:szCs w:val="26"/>
        </w:rPr>
        <w:t>příjmů domácností tvořily mzdy.</w:t>
      </w:r>
      <w:r w:rsidRPr="008E1C8D">
        <w:rPr>
          <w:rFonts w:asciiTheme="minorHAnsi" w:hAnsiTheme="minorHAnsi"/>
          <w:sz w:val="26"/>
          <w:szCs w:val="26"/>
        </w:rPr>
        <w:t xml:space="preserve"> </w:t>
      </w:r>
      <w:r w:rsidRPr="008E1C8D">
        <w:rPr>
          <w:rFonts w:asciiTheme="minorHAnsi" w:hAnsiTheme="minorHAnsi"/>
          <w:bCs/>
          <w:sz w:val="26"/>
          <w:szCs w:val="26"/>
        </w:rPr>
        <w:t xml:space="preserve">Celkový </w:t>
      </w:r>
      <w:r w:rsidRPr="008E1C8D">
        <w:rPr>
          <w:rFonts w:asciiTheme="minorHAnsi" w:hAnsiTheme="minorHAnsi"/>
          <w:b/>
          <w:bCs/>
          <w:sz w:val="26"/>
          <w:szCs w:val="26"/>
        </w:rPr>
        <w:t xml:space="preserve">objem mzdových prostředků </w:t>
      </w:r>
      <w:r w:rsidRPr="008E1C8D">
        <w:rPr>
          <w:rFonts w:asciiTheme="minorHAnsi" w:hAnsiTheme="minorHAnsi"/>
          <w:sz w:val="26"/>
          <w:szCs w:val="26"/>
        </w:rPr>
        <w:t xml:space="preserve">(bez ostatních osobních nákladů) zúčtovaný všem zaměstnancům k výplatě za celé národní hospodářství dosáhl </w:t>
      </w:r>
      <w:r w:rsidRPr="00955DFA">
        <w:rPr>
          <w:rFonts w:asciiTheme="minorHAnsi" w:hAnsiTheme="minorHAnsi"/>
          <w:b/>
          <w:bCs/>
          <w:sz w:val="26"/>
          <w:szCs w:val="26"/>
        </w:rPr>
        <w:t>za 1. polovinu</w:t>
      </w:r>
      <w:r w:rsidRPr="008E1C8D">
        <w:rPr>
          <w:rFonts w:asciiTheme="minorHAnsi" w:hAnsiTheme="minorHAnsi"/>
          <w:sz w:val="26"/>
          <w:szCs w:val="26"/>
        </w:rPr>
        <w:t xml:space="preserve"> letošního roku </w:t>
      </w:r>
      <w:r>
        <w:rPr>
          <w:rFonts w:asciiTheme="minorHAnsi" w:hAnsiTheme="minorHAnsi"/>
          <w:b/>
          <w:bCs/>
          <w:sz w:val="26"/>
          <w:szCs w:val="26"/>
        </w:rPr>
        <w:t>938</w:t>
      </w:r>
      <w:r w:rsidRPr="008E1C8D">
        <w:rPr>
          <w:rFonts w:asciiTheme="minorHAnsi" w:hAnsiTheme="minorHAnsi"/>
          <w:b/>
          <w:bCs/>
          <w:sz w:val="26"/>
          <w:szCs w:val="26"/>
        </w:rPr>
        <w:t>,</w:t>
      </w:r>
      <w:r>
        <w:rPr>
          <w:rFonts w:asciiTheme="minorHAnsi" w:hAnsiTheme="minorHAnsi"/>
          <w:b/>
          <w:bCs/>
          <w:sz w:val="26"/>
          <w:szCs w:val="26"/>
        </w:rPr>
        <w:t>2</w:t>
      </w:r>
      <w:r w:rsidRPr="008E1C8D">
        <w:rPr>
          <w:rFonts w:asciiTheme="minorHAnsi" w:hAnsiTheme="minorHAnsi"/>
          <w:b/>
          <w:bCs/>
          <w:sz w:val="26"/>
          <w:szCs w:val="26"/>
        </w:rPr>
        <w:t> mld. Kč</w:t>
      </w:r>
      <w:r w:rsidRPr="008E1C8D">
        <w:rPr>
          <w:rFonts w:asciiTheme="minorHAnsi" w:hAnsiTheme="minorHAnsi"/>
          <w:sz w:val="26"/>
          <w:szCs w:val="26"/>
        </w:rPr>
        <w:t xml:space="preserve"> a byl tak nominálně </w:t>
      </w:r>
      <w:r w:rsidRPr="008E1C8D">
        <w:rPr>
          <w:rFonts w:asciiTheme="minorHAnsi" w:hAnsiTheme="minorHAnsi"/>
          <w:b/>
          <w:bCs/>
          <w:sz w:val="26"/>
          <w:szCs w:val="26"/>
        </w:rPr>
        <w:t>o </w:t>
      </w:r>
      <w:r>
        <w:rPr>
          <w:rFonts w:asciiTheme="minorHAnsi" w:hAnsiTheme="minorHAnsi"/>
          <w:b/>
          <w:bCs/>
          <w:sz w:val="26"/>
          <w:szCs w:val="26"/>
        </w:rPr>
        <w:t>6</w:t>
      </w:r>
      <w:r w:rsidRPr="008E1C8D">
        <w:rPr>
          <w:rFonts w:asciiTheme="minorHAnsi" w:hAnsiTheme="minorHAnsi"/>
          <w:b/>
          <w:sz w:val="26"/>
          <w:szCs w:val="26"/>
        </w:rPr>
        <w:t>,</w:t>
      </w:r>
      <w:r>
        <w:rPr>
          <w:rFonts w:asciiTheme="minorHAnsi" w:hAnsiTheme="minorHAnsi"/>
          <w:b/>
          <w:sz w:val="26"/>
          <w:szCs w:val="26"/>
        </w:rPr>
        <w:t>9</w:t>
      </w:r>
      <w:r w:rsidRPr="008E1C8D">
        <w:rPr>
          <w:rFonts w:asciiTheme="minorHAnsi" w:hAnsiTheme="minorHAnsi"/>
          <w:b/>
          <w:sz w:val="26"/>
          <w:szCs w:val="26"/>
        </w:rPr>
        <w:t> </w:t>
      </w:r>
      <w:r w:rsidRPr="008E1C8D">
        <w:rPr>
          <w:rFonts w:asciiTheme="minorHAnsi" w:hAnsiTheme="minorHAnsi"/>
          <w:b/>
          <w:bCs/>
          <w:sz w:val="26"/>
          <w:szCs w:val="26"/>
        </w:rPr>
        <w:t xml:space="preserve">% vyšší </w:t>
      </w:r>
      <w:r w:rsidRPr="008E1C8D">
        <w:rPr>
          <w:rFonts w:asciiTheme="minorHAnsi" w:hAnsiTheme="minorHAnsi"/>
          <w:sz w:val="26"/>
          <w:szCs w:val="26"/>
        </w:rPr>
        <w:t>než ve stejném období roku 20</w:t>
      </w:r>
      <w:r>
        <w:rPr>
          <w:rFonts w:asciiTheme="minorHAnsi" w:hAnsiTheme="minorHAnsi"/>
          <w:sz w:val="26"/>
          <w:szCs w:val="26"/>
        </w:rPr>
        <w:t>21</w:t>
      </w:r>
      <w:r w:rsidRPr="008E1C8D">
        <w:rPr>
          <w:rFonts w:asciiTheme="minorHAnsi" w:hAnsiTheme="minorHAnsi"/>
          <w:sz w:val="26"/>
          <w:szCs w:val="26"/>
        </w:rPr>
        <w:t>.</w:t>
      </w:r>
    </w:p>
    <w:p w14:paraId="50EB11D6" w14:textId="5744B740" w:rsidR="00F07F6D" w:rsidRPr="00D32E23" w:rsidRDefault="00F07F6D" w:rsidP="00771DAB">
      <w:pPr>
        <w:spacing w:after="240" w:line="360" w:lineRule="auto"/>
        <w:jc w:val="both"/>
        <w:rPr>
          <w:rFonts w:asciiTheme="minorHAnsi" w:hAnsiTheme="minorHAnsi"/>
          <w:b/>
          <w:iCs/>
          <w:sz w:val="26"/>
          <w:szCs w:val="26"/>
        </w:rPr>
      </w:pPr>
      <w:r>
        <w:rPr>
          <w:rFonts w:asciiTheme="minorHAnsi" w:hAnsiTheme="minorHAnsi"/>
          <w:sz w:val="26"/>
          <w:szCs w:val="26"/>
        </w:rPr>
        <w:tab/>
      </w:r>
      <w:r w:rsidRPr="00D32E23">
        <w:rPr>
          <w:rFonts w:asciiTheme="minorHAnsi" w:hAnsiTheme="minorHAnsi"/>
          <w:b/>
          <w:bCs/>
          <w:iCs/>
          <w:sz w:val="26"/>
          <w:szCs w:val="26"/>
        </w:rPr>
        <w:t>Průměrná hrubá měsíční nominální mzda</w:t>
      </w:r>
      <w:r w:rsidRPr="00D32E23">
        <w:rPr>
          <w:rFonts w:asciiTheme="minorHAnsi" w:hAnsiTheme="minorHAnsi"/>
          <w:bCs/>
          <w:iCs/>
          <w:sz w:val="26"/>
          <w:szCs w:val="26"/>
        </w:rPr>
        <w:t xml:space="preserve"> na přepočtené počty zaměstnanců </w:t>
      </w:r>
      <w:r w:rsidRPr="00D32E23">
        <w:rPr>
          <w:rFonts w:asciiTheme="minorHAnsi" w:hAnsiTheme="minorHAnsi"/>
          <w:b/>
          <w:bCs/>
          <w:iCs/>
          <w:sz w:val="26"/>
          <w:szCs w:val="26"/>
        </w:rPr>
        <w:t>v národním hospodářství dosáhla v 1. pololetí</w:t>
      </w:r>
      <w:r w:rsidRPr="00CC40CB">
        <w:rPr>
          <w:rFonts w:asciiTheme="minorHAnsi" w:hAnsiTheme="minorHAnsi"/>
          <w:iCs/>
          <w:sz w:val="26"/>
          <w:szCs w:val="26"/>
        </w:rPr>
        <w:t xml:space="preserve"> 2022 </w:t>
      </w:r>
      <w:r w:rsidRPr="00D32E23">
        <w:rPr>
          <w:rFonts w:asciiTheme="minorHAnsi" w:hAnsiTheme="minorHAnsi"/>
          <w:b/>
          <w:bCs/>
          <w:iCs/>
          <w:sz w:val="26"/>
          <w:szCs w:val="26"/>
        </w:rPr>
        <w:t>výše 39 033 Kč,</w:t>
      </w:r>
      <w:r w:rsidRPr="00D32E23">
        <w:rPr>
          <w:rFonts w:asciiTheme="minorHAnsi" w:hAnsiTheme="minorHAnsi"/>
          <w:bCs/>
          <w:iCs/>
          <w:sz w:val="26"/>
          <w:szCs w:val="26"/>
        </w:rPr>
        <w:t xml:space="preserve"> což představovalo </w:t>
      </w:r>
      <w:r w:rsidRPr="00D32E23">
        <w:rPr>
          <w:rFonts w:asciiTheme="minorHAnsi" w:hAnsiTheme="minorHAnsi"/>
          <w:b/>
          <w:bCs/>
          <w:iCs/>
          <w:sz w:val="26"/>
          <w:szCs w:val="26"/>
        </w:rPr>
        <w:t>meziroční nominální</w:t>
      </w:r>
      <w:r w:rsidRPr="00D32E23">
        <w:rPr>
          <w:rFonts w:asciiTheme="minorHAnsi" w:hAnsiTheme="minorHAnsi"/>
          <w:bCs/>
          <w:iCs/>
          <w:sz w:val="26"/>
          <w:szCs w:val="26"/>
        </w:rPr>
        <w:t xml:space="preserve"> </w:t>
      </w:r>
      <w:r w:rsidRPr="00D32E23">
        <w:rPr>
          <w:rFonts w:asciiTheme="minorHAnsi" w:hAnsiTheme="minorHAnsi"/>
          <w:b/>
          <w:bCs/>
          <w:iCs/>
          <w:sz w:val="26"/>
          <w:szCs w:val="26"/>
        </w:rPr>
        <w:t>zvýšení o 5,8 %</w:t>
      </w:r>
      <w:r w:rsidRPr="00D32E23">
        <w:rPr>
          <w:rFonts w:asciiTheme="minorHAnsi" w:hAnsiTheme="minorHAnsi"/>
          <w:bCs/>
          <w:iCs/>
          <w:sz w:val="26"/>
          <w:szCs w:val="26"/>
        </w:rPr>
        <w:t xml:space="preserve"> (tj. o 2 135 Kč). </w:t>
      </w:r>
      <w:r w:rsidRPr="00D32E23">
        <w:rPr>
          <w:rFonts w:asciiTheme="minorHAnsi" w:hAnsiTheme="minorHAnsi"/>
          <w:b/>
          <w:bCs/>
          <w:iCs/>
          <w:sz w:val="26"/>
          <w:szCs w:val="26"/>
        </w:rPr>
        <w:t>Dynamika růstu mezd</w:t>
      </w:r>
      <w:r w:rsidRPr="00D32E23">
        <w:rPr>
          <w:rFonts w:asciiTheme="minorHAnsi" w:hAnsiTheme="minorHAnsi"/>
          <w:bCs/>
          <w:iCs/>
          <w:sz w:val="26"/>
          <w:szCs w:val="26"/>
        </w:rPr>
        <w:t xml:space="preserve"> </w:t>
      </w:r>
      <w:r>
        <w:rPr>
          <w:rFonts w:asciiTheme="minorHAnsi" w:hAnsiTheme="minorHAnsi"/>
          <w:bCs/>
          <w:iCs/>
          <w:sz w:val="26"/>
          <w:szCs w:val="26"/>
        </w:rPr>
        <w:t xml:space="preserve">se </w:t>
      </w:r>
      <w:r w:rsidRPr="00D32E23">
        <w:rPr>
          <w:rFonts w:asciiTheme="minorHAnsi" w:hAnsiTheme="minorHAnsi"/>
          <w:bCs/>
          <w:iCs/>
          <w:sz w:val="26"/>
          <w:szCs w:val="26"/>
        </w:rPr>
        <w:t xml:space="preserve">v hodnoceném období </w:t>
      </w:r>
      <w:r w:rsidRPr="00D32E23">
        <w:rPr>
          <w:rFonts w:asciiTheme="minorHAnsi" w:hAnsiTheme="minorHAnsi"/>
          <w:b/>
          <w:bCs/>
          <w:iCs/>
          <w:sz w:val="26"/>
          <w:szCs w:val="26"/>
        </w:rPr>
        <w:t xml:space="preserve">mírně zmírnila, </w:t>
      </w:r>
      <w:r w:rsidRPr="00D32E23">
        <w:rPr>
          <w:rFonts w:asciiTheme="minorHAnsi" w:hAnsiTheme="minorHAnsi"/>
          <w:bCs/>
          <w:iCs/>
          <w:sz w:val="26"/>
          <w:szCs w:val="26"/>
        </w:rPr>
        <w:t xml:space="preserve">byla o 0,2 p. b. nižší v porovnání s 1. pololetím loňského roku. Zásadní pro mzdový vývoj byla stále se zvyšující míra inflace, která nemá </w:t>
      </w:r>
      <w:r w:rsidRPr="0080146E">
        <w:rPr>
          <w:rFonts w:asciiTheme="minorHAnsi" w:hAnsiTheme="minorHAnsi"/>
          <w:bCs/>
          <w:iCs/>
          <w:sz w:val="26"/>
          <w:szCs w:val="26"/>
        </w:rPr>
        <w:t xml:space="preserve">v posledních </w:t>
      </w:r>
      <w:r w:rsidR="00BA0CBC" w:rsidRPr="0080146E">
        <w:rPr>
          <w:rFonts w:asciiTheme="minorHAnsi" w:hAnsiTheme="minorHAnsi"/>
          <w:bCs/>
          <w:iCs/>
          <w:sz w:val="26"/>
          <w:szCs w:val="26"/>
        </w:rPr>
        <w:t xml:space="preserve">dvou </w:t>
      </w:r>
      <w:r w:rsidRPr="0080146E">
        <w:rPr>
          <w:rFonts w:asciiTheme="minorHAnsi" w:hAnsiTheme="minorHAnsi"/>
          <w:bCs/>
          <w:iCs/>
          <w:sz w:val="26"/>
          <w:szCs w:val="26"/>
        </w:rPr>
        <w:t xml:space="preserve">dekádách obdoby; v 1. i 2. čtvrtletí výrazně akcelerovala a dosáhla </w:t>
      </w:r>
      <w:r w:rsidRPr="00D32E23">
        <w:rPr>
          <w:rFonts w:asciiTheme="minorHAnsi" w:hAnsiTheme="minorHAnsi"/>
          <w:bCs/>
          <w:iCs/>
          <w:sz w:val="26"/>
          <w:szCs w:val="26"/>
        </w:rPr>
        <w:t xml:space="preserve">takové úrovně, že zapříčinila pokles průměrné reálné mzdy. </w:t>
      </w:r>
      <w:r w:rsidRPr="00D32E23">
        <w:rPr>
          <w:rFonts w:asciiTheme="minorHAnsi" w:hAnsiTheme="minorHAnsi"/>
          <w:b/>
          <w:bCs/>
          <w:iCs/>
          <w:sz w:val="26"/>
          <w:szCs w:val="26"/>
        </w:rPr>
        <w:t>Spotřebitelské ceny</w:t>
      </w:r>
      <w:r w:rsidRPr="00D32E23">
        <w:rPr>
          <w:rFonts w:asciiTheme="minorHAnsi" w:hAnsiTheme="minorHAnsi"/>
          <w:bCs/>
          <w:iCs/>
          <w:sz w:val="26"/>
          <w:szCs w:val="26"/>
        </w:rPr>
        <w:t xml:space="preserve"> v 1. pololetí 2022 </w:t>
      </w:r>
      <w:r w:rsidRPr="00D32E23">
        <w:rPr>
          <w:rFonts w:asciiTheme="minorHAnsi" w:hAnsiTheme="minorHAnsi"/>
          <w:b/>
          <w:bCs/>
          <w:iCs/>
          <w:sz w:val="26"/>
          <w:szCs w:val="26"/>
        </w:rPr>
        <w:t>vzrostly o 13,5 %</w:t>
      </w:r>
      <w:r w:rsidRPr="00D32E23">
        <w:rPr>
          <w:rFonts w:asciiTheme="minorHAnsi" w:hAnsiTheme="minorHAnsi"/>
          <w:bCs/>
          <w:iCs/>
          <w:sz w:val="26"/>
          <w:szCs w:val="26"/>
        </w:rPr>
        <w:t>, což bylo o 11,0 p. b. více než v 1. pololetí 2021. Proti 1. pololetí předchozího roku tak</w:t>
      </w:r>
      <w:r w:rsidRPr="00D32E23">
        <w:rPr>
          <w:rFonts w:asciiTheme="minorHAnsi" w:hAnsiTheme="minorHAnsi"/>
          <w:b/>
          <w:bCs/>
          <w:iCs/>
          <w:sz w:val="26"/>
          <w:szCs w:val="26"/>
        </w:rPr>
        <w:t xml:space="preserve"> došlo</w:t>
      </w:r>
      <w:r w:rsidRPr="00D32E23">
        <w:rPr>
          <w:rFonts w:asciiTheme="minorHAnsi" w:hAnsiTheme="minorHAnsi"/>
          <w:bCs/>
          <w:iCs/>
          <w:sz w:val="26"/>
          <w:szCs w:val="26"/>
        </w:rPr>
        <w:t xml:space="preserve"> </w:t>
      </w:r>
      <w:r w:rsidRPr="00D32E23">
        <w:rPr>
          <w:rFonts w:asciiTheme="minorHAnsi" w:hAnsiTheme="minorHAnsi"/>
          <w:b/>
          <w:bCs/>
          <w:iCs/>
          <w:sz w:val="26"/>
          <w:szCs w:val="26"/>
        </w:rPr>
        <w:t>k poklesu průměrné reálné mzdy o 6,8 %</w:t>
      </w:r>
      <w:r w:rsidRPr="00D32E23">
        <w:rPr>
          <w:rFonts w:asciiTheme="minorHAnsi" w:hAnsiTheme="minorHAnsi"/>
          <w:iCs/>
          <w:sz w:val="26"/>
          <w:szCs w:val="26"/>
        </w:rPr>
        <w:t xml:space="preserve"> </w:t>
      </w:r>
      <w:r w:rsidRPr="00D32E23">
        <w:rPr>
          <w:rFonts w:asciiTheme="minorHAnsi" w:hAnsiTheme="minorHAnsi"/>
          <w:bCs/>
          <w:iCs/>
          <w:sz w:val="26"/>
          <w:szCs w:val="26"/>
        </w:rPr>
        <w:t>–</w:t>
      </w:r>
      <w:r w:rsidRPr="00D32E23">
        <w:rPr>
          <w:rFonts w:asciiTheme="minorHAnsi" w:hAnsiTheme="minorHAnsi"/>
          <w:iCs/>
          <w:sz w:val="26"/>
          <w:szCs w:val="26"/>
        </w:rPr>
        <w:t xml:space="preserve"> </w:t>
      </w:r>
      <w:r w:rsidRPr="00D32E23">
        <w:rPr>
          <w:rFonts w:asciiTheme="minorHAnsi" w:hAnsiTheme="minorHAnsi"/>
          <w:bCs/>
          <w:iCs/>
          <w:sz w:val="26"/>
          <w:szCs w:val="26"/>
        </w:rPr>
        <w:t>souhrnný přehled viz tabulku č. </w:t>
      </w:r>
      <w:r>
        <w:rPr>
          <w:rFonts w:asciiTheme="minorHAnsi" w:hAnsiTheme="minorHAnsi"/>
          <w:bCs/>
          <w:iCs/>
          <w:sz w:val="26"/>
          <w:szCs w:val="26"/>
        </w:rPr>
        <w:t>2</w:t>
      </w:r>
      <w:r w:rsidRPr="00D32E23">
        <w:rPr>
          <w:rFonts w:asciiTheme="minorHAnsi" w:hAnsiTheme="minorHAnsi"/>
          <w:bCs/>
          <w:iCs/>
          <w:sz w:val="26"/>
          <w:szCs w:val="26"/>
        </w:rPr>
        <w:t xml:space="preserve"> v příloze. Jednalo se </w:t>
      </w:r>
      <w:r w:rsidRPr="00D32E23">
        <w:rPr>
          <w:rFonts w:asciiTheme="minorHAnsi" w:hAnsiTheme="minorHAnsi"/>
          <w:b/>
          <w:iCs/>
          <w:sz w:val="26"/>
          <w:szCs w:val="26"/>
        </w:rPr>
        <w:t>historicky o vůbec největší propad kupní síly průměrné mzdy od roku 2000</w:t>
      </w:r>
      <w:r w:rsidRPr="00D32E23">
        <w:rPr>
          <w:rFonts w:asciiTheme="minorHAnsi" w:hAnsiTheme="minorHAnsi"/>
          <w:bCs/>
          <w:iCs/>
          <w:sz w:val="26"/>
          <w:szCs w:val="26"/>
        </w:rPr>
        <w:t>, tj. za dobu existence metodicky srovnatelné časové řady o vývoji průměrné mzdy.</w:t>
      </w:r>
    </w:p>
    <w:p w14:paraId="65182910" w14:textId="77777777" w:rsidR="00F07F6D" w:rsidRPr="00D32E23" w:rsidRDefault="00F07F6D" w:rsidP="00771DAB">
      <w:pPr>
        <w:spacing w:after="240" w:line="360" w:lineRule="auto"/>
        <w:jc w:val="both"/>
        <w:rPr>
          <w:rFonts w:asciiTheme="minorHAnsi" w:hAnsiTheme="minorHAnsi"/>
          <w:bCs/>
          <w:iCs/>
          <w:sz w:val="26"/>
          <w:szCs w:val="26"/>
        </w:rPr>
      </w:pPr>
      <w:r>
        <w:rPr>
          <w:rFonts w:asciiTheme="minorHAnsi" w:hAnsiTheme="minorHAnsi"/>
          <w:iCs/>
          <w:sz w:val="26"/>
          <w:szCs w:val="26"/>
        </w:rPr>
        <w:tab/>
      </w:r>
      <w:r w:rsidRPr="00D32E23">
        <w:rPr>
          <w:rFonts w:asciiTheme="minorHAnsi" w:hAnsiTheme="minorHAnsi"/>
          <w:iCs/>
          <w:sz w:val="26"/>
          <w:szCs w:val="26"/>
        </w:rPr>
        <w:t xml:space="preserve">Úroveň průměrné měsíční mzdy v národním hospodářství, meziroční vývoj její nominální a reálné dynamiky a míry inflace v jednotlivých čtvrtletích od roku 2019 </w:t>
      </w:r>
      <w:r w:rsidRPr="00D32E23">
        <w:rPr>
          <w:rFonts w:asciiTheme="minorHAnsi" w:hAnsiTheme="minorHAnsi"/>
          <w:b/>
          <w:bCs/>
          <w:iCs/>
          <w:sz w:val="26"/>
          <w:szCs w:val="26"/>
        </w:rPr>
        <w:t>znázorňuje graf</w:t>
      </w:r>
      <w:r w:rsidRPr="00D32E23">
        <w:rPr>
          <w:rFonts w:asciiTheme="minorHAnsi" w:hAnsiTheme="minorHAnsi"/>
          <w:iCs/>
          <w:sz w:val="26"/>
          <w:szCs w:val="26"/>
        </w:rPr>
        <w:t xml:space="preserve"> </w:t>
      </w:r>
      <w:r w:rsidRPr="00D32E23">
        <w:rPr>
          <w:rFonts w:asciiTheme="minorHAnsi" w:hAnsiTheme="minorHAnsi"/>
          <w:bCs/>
          <w:iCs/>
          <w:sz w:val="26"/>
          <w:szCs w:val="26"/>
        </w:rPr>
        <w:t xml:space="preserve">na následující straně. </w:t>
      </w:r>
      <w:r w:rsidRPr="00D32E23">
        <w:rPr>
          <w:rFonts w:asciiTheme="minorHAnsi" w:hAnsiTheme="minorHAnsi"/>
          <w:b/>
          <w:iCs/>
          <w:sz w:val="26"/>
          <w:szCs w:val="26"/>
        </w:rPr>
        <w:t>Z něho je</w:t>
      </w:r>
      <w:r w:rsidRPr="00D32E23">
        <w:rPr>
          <w:rFonts w:asciiTheme="minorHAnsi" w:hAnsiTheme="minorHAnsi"/>
          <w:bCs/>
          <w:iCs/>
          <w:sz w:val="26"/>
          <w:szCs w:val="26"/>
        </w:rPr>
        <w:t xml:space="preserve"> </w:t>
      </w:r>
      <w:r w:rsidRPr="00D32E23">
        <w:rPr>
          <w:rFonts w:asciiTheme="minorHAnsi" w:hAnsiTheme="minorHAnsi"/>
          <w:b/>
          <w:iCs/>
          <w:sz w:val="26"/>
          <w:szCs w:val="26"/>
        </w:rPr>
        <w:t>patrný od roku 2020 rozkolísaný vývoj v dynamice mezd</w:t>
      </w:r>
      <w:r w:rsidRPr="00D32E23">
        <w:rPr>
          <w:rFonts w:asciiTheme="minorHAnsi" w:hAnsiTheme="minorHAnsi"/>
          <w:bCs/>
          <w:iCs/>
          <w:sz w:val="26"/>
          <w:szCs w:val="26"/>
        </w:rPr>
        <w:t xml:space="preserve"> vlivem </w:t>
      </w:r>
      <w:proofErr w:type="spellStart"/>
      <w:r w:rsidRPr="00D32E23">
        <w:rPr>
          <w:rFonts w:asciiTheme="minorHAnsi" w:hAnsiTheme="minorHAnsi"/>
          <w:bCs/>
          <w:iCs/>
          <w:sz w:val="26"/>
          <w:szCs w:val="26"/>
        </w:rPr>
        <w:t>proticovidových</w:t>
      </w:r>
      <w:proofErr w:type="spellEnd"/>
      <w:r w:rsidRPr="00D32E23">
        <w:rPr>
          <w:rFonts w:asciiTheme="minorHAnsi" w:hAnsiTheme="minorHAnsi"/>
          <w:bCs/>
          <w:iCs/>
          <w:sz w:val="26"/>
          <w:szCs w:val="26"/>
        </w:rPr>
        <w:t xml:space="preserve"> opatření </w:t>
      </w:r>
      <w:r w:rsidRPr="00D32E23">
        <w:rPr>
          <w:rFonts w:asciiTheme="minorHAnsi" w:hAnsiTheme="minorHAnsi"/>
          <w:b/>
          <w:iCs/>
          <w:sz w:val="26"/>
          <w:szCs w:val="26"/>
        </w:rPr>
        <w:t>a</w:t>
      </w:r>
      <w:r w:rsidRPr="00D32E23">
        <w:rPr>
          <w:rFonts w:asciiTheme="minorHAnsi" w:hAnsiTheme="minorHAnsi"/>
          <w:bCs/>
          <w:iCs/>
          <w:sz w:val="26"/>
          <w:szCs w:val="26"/>
        </w:rPr>
        <w:t xml:space="preserve"> stále se </w:t>
      </w:r>
      <w:r w:rsidRPr="00D32E23">
        <w:rPr>
          <w:rFonts w:asciiTheme="minorHAnsi" w:hAnsiTheme="minorHAnsi"/>
          <w:b/>
          <w:iCs/>
          <w:sz w:val="26"/>
          <w:szCs w:val="26"/>
        </w:rPr>
        <w:t>zvyšující míra inflace</w:t>
      </w:r>
      <w:r w:rsidRPr="00D32E23">
        <w:rPr>
          <w:rFonts w:asciiTheme="minorHAnsi" w:hAnsiTheme="minorHAnsi"/>
          <w:bCs/>
          <w:iCs/>
          <w:sz w:val="26"/>
          <w:szCs w:val="26"/>
        </w:rPr>
        <w:t>, která ve 2. čtvrtletí 2022 dosáhla hodnoty 15,8 %.</w:t>
      </w:r>
    </w:p>
    <w:p w14:paraId="6AEC4159" w14:textId="77777777" w:rsidR="00F07F6D" w:rsidRDefault="00F07F6D" w:rsidP="00F07F6D">
      <w:pPr>
        <w:spacing w:line="360" w:lineRule="auto"/>
        <w:jc w:val="center"/>
        <w:rPr>
          <w:rFonts w:asciiTheme="minorHAnsi" w:hAnsiTheme="minorHAnsi"/>
          <w:iCs/>
          <w:sz w:val="26"/>
          <w:szCs w:val="26"/>
        </w:rPr>
      </w:pPr>
      <w:r>
        <w:rPr>
          <w:rFonts w:asciiTheme="minorHAnsi" w:hAnsiTheme="minorHAnsi"/>
          <w:iCs/>
          <w:noProof/>
          <w:sz w:val="26"/>
          <w:szCs w:val="26"/>
        </w:rPr>
        <w:lastRenderedPageBreak/>
        <w:drawing>
          <wp:inline distT="0" distB="0" distL="0" distR="0" wp14:anchorId="271AA359" wp14:editId="43F9484D">
            <wp:extent cx="5754020" cy="39147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7863" cy="3917390"/>
                    </a:xfrm>
                    <a:prstGeom prst="rect">
                      <a:avLst/>
                    </a:prstGeom>
                    <a:noFill/>
                  </pic:spPr>
                </pic:pic>
              </a:graphicData>
            </a:graphic>
          </wp:inline>
        </w:drawing>
      </w:r>
    </w:p>
    <w:p w14:paraId="0493DAD0" w14:textId="451B94C8" w:rsidR="00F07F6D" w:rsidRDefault="00F07F6D" w:rsidP="007D0A4A">
      <w:pPr>
        <w:spacing w:line="360" w:lineRule="auto"/>
        <w:jc w:val="both"/>
        <w:rPr>
          <w:rFonts w:asciiTheme="minorHAnsi" w:hAnsiTheme="minorHAnsi"/>
          <w:bCs/>
          <w:iCs/>
          <w:sz w:val="22"/>
          <w:szCs w:val="22"/>
        </w:rPr>
      </w:pPr>
      <w:r w:rsidRPr="00C67B8E">
        <w:rPr>
          <w:rFonts w:asciiTheme="minorHAnsi" w:hAnsiTheme="minorHAnsi"/>
          <w:bCs/>
          <w:iCs/>
          <w:sz w:val="22"/>
          <w:szCs w:val="22"/>
        </w:rPr>
        <w:t>Zdroj: Zpracováno z údajů ČSÚ</w:t>
      </w:r>
    </w:p>
    <w:p w14:paraId="4E279333" w14:textId="77777777" w:rsidR="007D0A4A" w:rsidRPr="00C67B8E" w:rsidRDefault="007D0A4A" w:rsidP="007D0A4A">
      <w:pPr>
        <w:spacing w:line="360" w:lineRule="auto"/>
        <w:jc w:val="both"/>
        <w:rPr>
          <w:rFonts w:asciiTheme="minorHAnsi" w:hAnsiTheme="minorHAnsi"/>
          <w:bCs/>
          <w:iCs/>
          <w:sz w:val="22"/>
          <w:szCs w:val="22"/>
        </w:rPr>
      </w:pPr>
    </w:p>
    <w:p w14:paraId="62404864" w14:textId="77777777" w:rsidR="00F07F6D" w:rsidRPr="007F0811" w:rsidRDefault="00F07F6D" w:rsidP="007D0A4A">
      <w:pPr>
        <w:spacing w:after="120" w:line="360" w:lineRule="auto"/>
        <w:jc w:val="both"/>
        <w:rPr>
          <w:rFonts w:asciiTheme="minorHAnsi" w:hAnsiTheme="minorHAnsi"/>
          <w:bCs/>
          <w:iCs/>
          <w:sz w:val="26"/>
          <w:szCs w:val="26"/>
        </w:rPr>
      </w:pPr>
      <w:r>
        <w:rPr>
          <w:rFonts w:asciiTheme="minorHAnsi" w:hAnsiTheme="minorHAnsi"/>
          <w:b/>
          <w:bCs/>
          <w:iCs/>
          <w:sz w:val="26"/>
          <w:szCs w:val="26"/>
        </w:rPr>
        <w:tab/>
      </w:r>
      <w:r w:rsidRPr="007F0811">
        <w:rPr>
          <w:rFonts w:asciiTheme="minorHAnsi" w:hAnsiTheme="minorHAnsi"/>
          <w:b/>
          <w:bCs/>
          <w:iCs/>
          <w:sz w:val="26"/>
          <w:szCs w:val="26"/>
        </w:rPr>
        <w:t>V samotném 2. čtvrtletí</w:t>
      </w:r>
      <w:r w:rsidRPr="007F0811">
        <w:rPr>
          <w:rFonts w:asciiTheme="minorHAnsi" w:hAnsiTheme="minorHAnsi"/>
          <w:bCs/>
          <w:iCs/>
          <w:sz w:val="26"/>
          <w:szCs w:val="26"/>
        </w:rPr>
        <w:t xml:space="preserve"> letošního roku bylo </w:t>
      </w:r>
      <w:r w:rsidRPr="007F0811">
        <w:rPr>
          <w:rFonts w:asciiTheme="minorHAnsi" w:hAnsiTheme="minorHAnsi"/>
          <w:b/>
          <w:bCs/>
          <w:iCs/>
          <w:sz w:val="26"/>
          <w:szCs w:val="26"/>
        </w:rPr>
        <w:t xml:space="preserve">tempo růstu průměrné nominální mzdy </w:t>
      </w:r>
      <w:r w:rsidRPr="007F0811">
        <w:rPr>
          <w:rFonts w:asciiTheme="minorHAnsi" w:hAnsiTheme="minorHAnsi"/>
          <w:bCs/>
          <w:iCs/>
          <w:sz w:val="26"/>
          <w:szCs w:val="26"/>
        </w:rPr>
        <w:t xml:space="preserve">meziročně </w:t>
      </w:r>
      <w:r w:rsidRPr="007F0811">
        <w:rPr>
          <w:rFonts w:asciiTheme="minorHAnsi" w:hAnsiTheme="minorHAnsi"/>
          <w:b/>
          <w:bCs/>
          <w:iCs/>
          <w:sz w:val="26"/>
          <w:szCs w:val="26"/>
        </w:rPr>
        <w:t>o 2,9 p. b. nižší</w:t>
      </w:r>
      <w:r w:rsidRPr="007F0811">
        <w:rPr>
          <w:rFonts w:asciiTheme="minorHAnsi" w:hAnsiTheme="minorHAnsi"/>
          <w:bCs/>
          <w:iCs/>
          <w:sz w:val="26"/>
          <w:szCs w:val="26"/>
        </w:rPr>
        <w:t xml:space="preserve"> než v 1. čtvrtletí, tj. činilo </w:t>
      </w:r>
      <w:r w:rsidRPr="007F0811">
        <w:rPr>
          <w:rFonts w:asciiTheme="minorHAnsi" w:hAnsiTheme="minorHAnsi"/>
          <w:b/>
          <w:bCs/>
          <w:iCs/>
          <w:sz w:val="26"/>
          <w:szCs w:val="26"/>
        </w:rPr>
        <w:t xml:space="preserve">4,4 %, reálně </w:t>
      </w:r>
      <w:r w:rsidRPr="007F0811">
        <w:rPr>
          <w:rFonts w:asciiTheme="minorHAnsi" w:hAnsiTheme="minorHAnsi"/>
          <w:bCs/>
          <w:iCs/>
          <w:sz w:val="26"/>
          <w:szCs w:val="26"/>
        </w:rPr>
        <w:t xml:space="preserve">průměrná mzda </w:t>
      </w:r>
      <w:r w:rsidRPr="007F0811">
        <w:rPr>
          <w:rFonts w:asciiTheme="minorHAnsi" w:hAnsiTheme="minorHAnsi"/>
          <w:b/>
          <w:bCs/>
          <w:iCs/>
          <w:sz w:val="26"/>
          <w:szCs w:val="26"/>
        </w:rPr>
        <w:t>poklesla o 9,8 %. Průměrná hrubá měsíční nominální mzda</w:t>
      </w:r>
      <w:r w:rsidRPr="007F0811">
        <w:rPr>
          <w:rFonts w:asciiTheme="minorHAnsi" w:hAnsiTheme="minorHAnsi"/>
          <w:bCs/>
          <w:iCs/>
          <w:sz w:val="26"/>
          <w:szCs w:val="26"/>
        </w:rPr>
        <w:t xml:space="preserve"> </w:t>
      </w:r>
      <w:r w:rsidRPr="007F0811">
        <w:rPr>
          <w:rFonts w:asciiTheme="minorHAnsi" w:hAnsiTheme="minorHAnsi"/>
          <w:b/>
          <w:bCs/>
          <w:iCs/>
          <w:sz w:val="26"/>
          <w:szCs w:val="26"/>
        </w:rPr>
        <w:t>v národním hospodářství dosáhla úrovně 40 086 Kč.</w:t>
      </w:r>
      <w:r w:rsidRPr="007F0811">
        <w:rPr>
          <w:rFonts w:asciiTheme="minorHAnsi" w:hAnsiTheme="minorHAnsi"/>
          <w:bCs/>
          <w:iCs/>
          <w:sz w:val="26"/>
          <w:szCs w:val="26"/>
        </w:rPr>
        <w:t xml:space="preserve"> </w:t>
      </w:r>
    </w:p>
    <w:p w14:paraId="57260C41" w14:textId="62A6FF39" w:rsidR="00F07F6D" w:rsidRDefault="00F07F6D" w:rsidP="007D0A4A">
      <w:pPr>
        <w:spacing w:after="120" w:line="360" w:lineRule="auto"/>
        <w:jc w:val="both"/>
        <w:rPr>
          <w:rFonts w:asciiTheme="minorHAnsi" w:hAnsiTheme="minorHAnsi"/>
          <w:bCs/>
          <w:iCs/>
          <w:sz w:val="26"/>
          <w:szCs w:val="26"/>
        </w:rPr>
      </w:pPr>
      <w:r>
        <w:rPr>
          <w:rFonts w:asciiTheme="minorHAnsi" w:hAnsiTheme="minorHAnsi"/>
          <w:b/>
          <w:bCs/>
          <w:iCs/>
          <w:sz w:val="26"/>
          <w:szCs w:val="26"/>
        </w:rPr>
        <w:tab/>
      </w:r>
      <w:r w:rsidRPr="007F0811">
        <w:rPr>
          <w:rFonts w:asciiTheme="minorHAnsi" w:hAnsiTheme="minorHAnsi"/>
          <w:b/>
          <w:bCs/>
          <w:iCs/>
          <w:sz w:val="26"/>
          <w:szCs w:val="26"/>
        </w:rPr>
        <w:t xml:space="preserve">Medián mezd </w:t>
      </w:r>
      <w:r w:rsidRPr="007F0811">
        <w:rPr>
          <w:rFonts w:asciiTheme="minorHAnsi" w:hAnsiTheme="minorHAnsi"/>
          <w:bCs/>
          <w:iCs/>
          <w:sz w:val="26"/>
          <w:szCs w:val="26"/>
        </w:rPr>
        <w:t xml:space="preserve">(prostřední hodnota mzdového rozdělení) </w:t>
      </w:r>
      <w:r w:rsidRPr="007F0811">
        <w:rPr>
          <w:rFonts w:asciiTheme="minorHAnsi" w:hAnsiTheme="minorHAnsi"/>
          <w:b/>
          <w:bCs/>
          <w:iCs/>
          <w:sz w:val="26"/>
          <w:szCs w:val="26"/>
        </w:rPr>
        <w:t>vzrostl</w:t>
      </w:r>
      <w:r w:rsidRPr="007F0811">
        <w:rPr>
          <w:rFonts w:asciiTheme="minorHAnsi" w:hAnsiTheme="minorHAnsi"/>
          <w:bCs/>
          <w:iCs/>
          <w:sz w:val="26"/>
          <w:szCs w:val="26"/>
        </w:rPr>
        <w:t xml:space="preserve"> meziročně</w:t>
      </w:r>
      <w:r w:rsidRPr="007F0811">
        <w:rPr>
          <w:rFonts w:asciiTheme="minorHAnsi" w:hAnsiTheme="minorHAnsi"/>
          <w:b/>
          <w:bCs/>
          <w:iCs/>
          <w:sz w:val="26"/>
          <w:szCs w:val="26"/>
        </w:rPr>
        <w:t xml:space="preserve"> ve 2. čtvrtletí</w:t>
      </w:r>
      <w:r w:rsidRPr="004C6F3F">
        <w:rPr>
          <w:rFonts w:asciiTheme="minorHAnsi" w:hAnsiTheme="minorHAnsi"/>
          <w:iCs/>
          <w:sz w:val="26"/>
          <w:szCs w:val="26"/>
        </w:rPr>
        <w:t xml:space="preserve"> 2022 </w:t>
      </w:r>
      <w:r w:rsidRPr="007F0811">
        <w:rPr>
          <w:rFonts w:asciiTheme="minorHAnsi" w:hAnsiTheme="minorHAnsi"/>
          <w:b/>
          <w:bCs/>
          <w:iCs/>
          <w:sz w:val="26"/>
          <w:szCs w:val="26"/>
        </w:rPr>
        <w:t>nominálně o 5,3 %</w:t>
      </w:r>
      <w:r w:rsidRPr="007F0811">
        <w:rPr>
          <w:rFonts w:asciiTheme="minorHAnsi" w:hAnsiTheme="minorHAnsi"/>
          <w:bCs/>
          <w:iCs/>
          <w:sz w:val="26"/>
          <w:szCs w:val="26"/>
        </w:rPr>
        <w:t xml:space="preserve"> (reálně poklesl o 9,1 %) na úroveň </w:t>
      </w:r>
      <w:r w:rsidRPr="007F0811">
        <w:rPr>
          <w:rFonts w:asciiTheme="minorHAnsi" w:hAnsiTheme="minorHAnsi"/>
          <w:b/>
          <w:bCs/>
          <w:iCs/>
          <w:sz w:val="26"/>
          <w:szCs w:val="26"/>
        </w:rPr>
        <w:t xml:space="preserve">34 111 Kč. </w:t>
      </w:r>
      <w:r w:rsidRPr="007F0811">
        <w:rPr>
          <w:rFonts w:asciiTheme="minorHAnsi" w:hAnsiTheme="minorHAnsi"/>
          <w:bCs/>
          <w:iCs/>
          <w:sz w:val="26"/>
          <w:szCs w:val="26"/>
        </w:rPr>
        <w:t xml:space="preserve">Nárůst mediánu byl o 0,9 p. b. vyšší, než činilo zvýšení průměrné mzdy, tzn. dynamika mezd „prostředního zaměstnance“ rostla rychleji než u zaměstnanců s průměrnou mzdou. Medián mezd byl nižší o 5 975 Kč než průměrná mzda; </w:t>
      </w:r>
      <w:r w:rsidRPr="007F0811">
        <w:rPr>
          <w:rFonts w:asciiTheme="minorHAnsi" w:hAnsiTheme="minorHAnsi"/>
          <w:b/>
          <w:bCs/>
          <w:iCs/>
          <w:sz w:val="26"/>
          <w:szCs w:val="26"/>
        </w:rPr>
        <w:t>medián mezd mužů činil 36 925 Kč, medián mezd žen dosáhl 31 170 Kč</w:t>
      </w:r>
      <w:r w:rsidRPr="007F0811">
        <w:rPr>
          <w:rFonts w:asciiTheme="minorHAnsi" w:hAnsiTheme="minorHAnsi"/>
          <w:bCs/>
          <w:iCs/>
          <w:sz w:val="26"/>
          <w:szCs w:val="26"/>
        </w:rPr>
        <w:t xml:space="preserve"> (tj. o 5 755 Kč méně než u mužů; jejich vzájemná relace dosáhla úrovně 118,5 %).</w:t>
      </w:r>
    </w:p>
    <w:p w14:paraId="69B0F0FA" w14:textId="77777777" w:rsidR="00F07F6D" w:rsidRPr="008E1C8D" w:rsidRDefault="00F07F6D" w:rsidP="00BA35BC">
      <w:pPr>
        <w:spacing w:after="240" w:line="360" w:lineRule="auto"/>
        <w:jc w:val="both"/>
        <w:rPr>
          <w:rFonts w:asciiTheme="minorHAnsi" w:hAnsiTheme="minorHAnsi"/>
          <w:sz w:val="26"/>
          <w:szCs w:val="26"/>
        </w:rPr>
      </w:pPr>
      <w:r w:rsidRPr="008E1C8D">
        <w:rPr>
          <w:rFonts w:asciiTheme="minorHAnsi" w:hAnsiTheme="minorHAnsi"/>
          <w:bCs/>
          <w:sz w:val="26"/>
          <w:szCs w:val="26"/>
        </w:rPr>
        <w:tab/>
      </w:r>
      <w:r w:rsidRPr="008E1C8D">
        <w:rPr>
          <w:rFonts w:asciiTheme="minorHAnsi" w:hAnsiTheme="minorHAnsi"/>
          <w:b/>
          <w:bCs/>
          <w:sz w:val="26"/>
          <w:szCs w:val="26"/>
        </w:rPr>
        <w:t>Výše průměrné</w:t>
      </w:r>
      <w:r w:rsidRPr="008E1C8D">
        <w:rPr>
          <w:rFonts w:asciiTheme="minorHAnsi" w:hAnsiTheme="minorHAnsi"/>
          <w:bCs/>
          <w:sz w:val="26"/>
          <w:szCs w:val="26"/>
        </w:rPr>
        <w:t xml:space="preserve"> </w:t>
      </w:r>
      <w:r w:rsidRPr="008E1C8D">
        <w:rPr>
          <w:rFonts w:asciiTheme="minorHAnsi" w:hAnsiTheme="minorHAnsi"/>
          <w:sz w:val="26"/>
          <w:szCs w:val="26"/>
        </w:rPr>
        <w:t>měsíční</w:t>
      </w:r>
      <w:r w:rsidRPr="008E1C8D">
        <w:rPr>
          <w:rFonts w:asciiTheme="minorHAnsi" w:hAnsiTheme="minorHAnsi"/>
          <w:bCs/>
          <w:sz w:val="26"/>
          <w:szCs w:val="26"/>
        </w:rPr>
        <w:t xml:space="preserve"> </w:t>
      </w:r>
      <w:r w:rsidRPr="008E1C8D">
        <w:rPr>
          <w:rFonts w:asciiTheme="minorHAnsi" w:hAnsiTheme="minorHAnsi"/>
          <w:b/>
          <w:bCs/>
          <w:sz w:val="26"/>
          <w:szCs w:val="26"/>
        </w:rPr>
        <w:t>mzdy zaměstnanců pracujících v</w:t>
      </w:r>
      <w:r>
        <w:rPr>
          <w:rFonts w:asciiTheme="minorHAnsi" w:hAnsiTheme="minorHAnsi"/>
          <w:b/>
          <w:bCs/>
          <w:sz w:val="26"/>
          <w:szCs w:val="26"/>
        </w:rPr>
        <w:t> </w:t>
      </w:r>
      <w:r w:rsidRPr="008E1C8D">
        <w:rPr>
          <w:rFonts w:asciiTheme="minorHAnsi" w:hAnsiTheme="minorHAnsi"/>
          <w:b/>
          <w:bCs/>
          <w:sz w:val="26"/>
          <w:szCs w:val="26"/>
        </w:rPr>
        <w:t>malých firmách</w:t>
      </w:r>
      <w:r w:rsidRPr="008E1C8D">
        <w:rPr>
          <w:rFonts w:asciiTheme="minorHAnsi" w:hAnsiTheme="minorHAnsi"/>
          <w:sz w:val="26"/>
          <w:szCs w:val="26"/>
        </w:rPr>
        <w:t xml:space="preserve"> (subjekty s</w:t>
      </w:r>
      <w:r>
        <w:rPr>
          <w:rFonts w:asciiTheme="minorHAnsi" w:hAnsiTheme="minorHAnsi"/>
          <w:sz w:val="26"/>
          <w:szCs w:val="26"/>
        </w:rPr>
        <w:t> </w:t>
      </w:r>
      <w:r w:rsidRPr="008E1C8D">
        <w:rPr>
          <w:rFonts w:asciiTheme="minorHAnsi" w:hAnsiTheme="minorHAnsi"/>
          <w:sz w:val="26"/>
          <w:szCs w:val="26"/>
        </w:rPr>
        <w:t>méně</w:t>
      </w:r>
      <w:r>
        <w:rPr>
          <w:rFonts w:asciiTheme="minorHAnsi" w:hAnsiTheme="minorHAnsi"/>
          <w:sz w:val="26"/>
          <w:szCs w:val="26"/>
        </w:rPr>
        <w:t xml:space="preserve"> </w:t>
      </w:r>
      <w:r w:rsidRPr="008E1C8D">
        <w:rPr>
          <w:rFonts w:asciiTheme="minorHAnsi" w:hAnsiTheme="minorHAnsi"/>
          <w:sz w:val="26"/>
          <w:szCs w:val="26"/>
        </w:rPr>
        <w:t xml:space="preserve">než 20 zaměstnanci) </w:t>
      </w:r>
      <w:r w:rsidRPr="00955DFA">
        <w:rPr>
          <w:rFonts w:asciiTheme="minorHAnsi" w:hAnsiTheme="minorHAnsi"/>
          <w:b/>
          <w:bCs/>
          <w:sz w:val="26"/>
          <w:szCs w:val="26"/>
        </w:rPr>
        <w:t>v 1. pololetí</w:t>
      </w:r>
      <w:r w:rsidRPr="008E1C8D">
        <w:rPr>
          <w:rFonts w:asciiTheme="minorHAnsi" w:hAnsiTheme="minorHAnsi"/>
          <w:sz w:val="26"/>
          <w:szCs w:val="26"/>
        </w:rPr>
        <w:t xml:space="preserve"> letošního roku </w:t>
      </w:r>
      <w:r w:rsidRPr="008E1C8D">
        <w:rPr>
          <w:rFonts w:asciiTheme="minorHAnsi" w:hAnsiTheme="minorHAnsi"/>
          <w:b/>
          <w:bCs/>
          <w:sz w:val="26"/>
          <w:szCs w:val="26"/>
        </w:rPr>
        <w:t>činila</w:t>
      </w:r>
      <w:r w:rsidRPr="008E1C8D">
        <w:rPr>
          <w:rFonts w:asciiTheme="minorHAnsi" w:hAnsiTheme="minorHAnsi"/>
          <w:b/>
          <w:sz w:val="26"/>
          <w:szCs w:val="26"/>
        </w:rPr>
        <w:t xml:space="preserve"> 2</w:t>
      </w:r>
      <w:r>
        <w:rPr>
          <w:rFonts w:asciiTheme="minorHAnsi" w:hAnsiTheme="minorHAnsi"/>
          <w:b/>
          <w:sz w:val="26"/>
          <w:szCs w:val="26"/>
        </w:rPr>
        <w:t>9</w:t>
      </w:r>
      <w:r w:rsidRPr="008E1C8D">
        <w:rPr>
          <w:rFonts w:asciiTheme="minorHAnsi" w:hAnsiTheme="minorHAnsi"/>
          <w:b/>
          <w:bCs/>
          <w:sz w:val="26"/>
          <w:szCs w:val="26"/>
        </w:rPr>
        <w:t> </w:t>
      </w:r>
      <w:r>
        <w:rPr>
          <w:rFonts w:asciiTheme="minorHAnsi" w:hAnsiTheme="minorHAnsi"/>
          <w:b/>
          <w:bCs/>
          <w:sz w:val="26"/>
          <w:szCs w:val="26"/>
        </w:rPr>
        <w:t>387</w:t>
      </w:r>
      <w:r w:rsidRPr="008E1C8D">
        <w:rPr>
          <w:rFonts w:asciiTheme="minorHAnsi" w:hAnsiTheme="minorHAnsi"/>
          <w:b/>
          <w:bCs/>
          <w:sz w:val="26"/>
          <w:szCs w:val="26"/>
        </w:rPr>
        <w:t xml:space="preserve"> Kč, </w:t>
      </w:r>
      <w:r w:rsidRPr="008E1C8D">
        <w:rPr>
          <w:rFonts w:asciiTheme="minorHAnsi" w:hAnsiTheme="minorHAnsi"/>
          <w:b/>
          <w:bCs/>
          <w:sz w:val="26"/>
          <w:szCs w:val="26"/>
        </w:rPr>
        <w:lastRenderedPageBreak/>
        <w:t>tj.</w:t>
      </w:r>
      <w:r>
        <w:rPr>
          <w:rFonts w:asciiTheme="minorHAnsi" w:hAnsiTheme="minorHAnsi"/>
          <w:b/>
          <w:bCs/>
          <w:sz w:val="26"/>
          <w:szCs w:val="26"/>
        </w:rPr>
        <w:t> </w:t>
      </w:r>
      <w:r w:rsidRPr="008E1C8D">
        <w:rPr>
          <w:rFonts w:asciiTheme="minorHAnsi" w:hAnsiTheme="minorHAnsi"/>
          <w:b/>
          <w:bCs/>
          <w:sz w:val="26"/>
          <w:szCs w:val="26"/>
        </w:rPr>
        <w:t>7</w:t>
      </w:r>
      <w:r>
        <w:rPr>
          <w:rFonts w:asciiTheme="minorHAnsi" w:hAnsiTheme="minorHAnsi"/>
          <w:b/>
          <w:bCs/>
          <w:sz w:val="26"/>
          <w:szCs w:val="26"/>
        </w:rPr>
        <w:t>5</w:t>
      </w:r>
      <w:r w:rsidRPr="008E1C8D">
        <w:rPr>
          <w:rFonts w:asciiTheme="minorHAnsi" w:hAnsiTheme="minorHAnsi"/>
          <w:b/>
          <w:bCs/>
          <w:sz w:val="26"/>
          <w:szCs w:val="26"/>
        </w:rPr>
        <w:t>,</w:t>
      </w:r>
      <w:r>
        <w:rPr>
          <w:rFonts w:asciiTheme="minorHAnsi" w:hAnsiTheme="minorHAnsi"/>
          <w:b/>
          <w:bCs/>
          <w:sz w:val="26"/>
          <w:szCs w:val="26"/>
        </w:rPr>
        <w:t>3</w:t>
      </w:r>
      <w:r w:rsidRPr="008E1C8D">
        <w:rPr>
          <w:rFonts w:asciiTheme="minorHAnsi" w:hAnsiTheme="minorHAnsi"/>
          <w:b/>
          <w:bCs/>
          <w:sz w:val="26"/>
          <w:szCs w:val="26"/>
        </w:rPr>
        <w:t> %</w:t>
      </w:r>
      <w:r w:rsidRPr="008E1C8D">
        <w:rPr>
          <w:rFonts w:asciiTheme="minorHAnsi" w:hAnsiTheme="minorHAnsi"/>
          <w:bCs/>
          <w:sz w:val="26"/>
          <w:szCs w:val="26"/>
        </w:rPr>
        <w:t xml:space="preserve"> celospolečenského </w:t>
      </w:r>
      <w:r w:rsidRPr="008E1C8D">
        <w:rPr>
          <w:rFonts w:asciiTheme="minorHAnsi" w:hAnsiTheme="minorHAnsi"/>
          <w:b/>
          <w:bCs/>
          <w:sz w:val="26"/>
          <w:szCs w:val="26"/>
        </w:rPr>
        <w:t>výdělkového průměru,</w:t>
      </w:r>
      <w:r w:rsidRPr="008E1C8D">
        <w:rPr>
          <w:rFonts w:asciiTheme="minorHAnsi" w:hAnsiTheme="minorHAnsi"/>
          <w:bCs/>
          <w:sz w:val="26"/>
          <w:szCs w:val="26"/>
        </w:rPr>
        <w:t xml:space="preserve"> v porovnání se stejným obdobím roku 20</w:t>
      </w:r>
      <w:r>
        <w:rPr>
          <w:rFonts w:asciiTheme="minorHAnsi" w:hAnsiTheme="minorHAnsi"/>
          <w:bCs/>
          <w:sz w:val="26"/>
          <w:szCs w:val="26"/>
        </w:rPr>
        <w:t>21</w:t>
      </w:r>
      <w:r w:rsidRPr="008E1C8D">
        <w:rPr>
          <w:rFonts w:asciiTheme="minorHAnsi" w:hAnsiTheme="minorHAnsi"/>
          <w:bCs/>
          <w:sz w:val="26"/>
          <w:szCs w:val="26"/>
        </w:rPr>
        <w:t xml:space="preserve"> došlo k</w:t>
      </w:r>
      <w:r>
        <w:rPr>
          <w:rFonts w:asciiTheme="minorHAnsi" w:hAnsiTheme="minorHAnsi"/>
          <w:bCs/>
          <w:sz w:val="26"/>
          <w:szCs w:val="26"/>
        </w:rPr>
        <w:t>e</w:t>
      </w:r>
      <w:r w:rsidRPr="008E1C8D">
        <w:rPr>
          <w:rFonts w:asciiTheme="minorHAnsi" w:hAnsiTheme="minorHAnsi"/>
          <w:bCs/>
          <w:sz w:val="26"/>
          <w:szCs w:val="26"/>
        </w:rPr>
        <w:t> zvýšení tohoto podílu (o</w:t>
      </w:r>
      <w:r>
        <w:rPr>
          <w:rFonts w:asciiTheme="minorHAnsi" w:hAnsiTheme="minorHAnsi"/>
          <w:bCs/>
          <w:sz w:val="26"/>
          <w:szCs w:val="26"/>
        </w:rPr>
        <w:t> 1</w:t>
      </w:r>
      <w:r w:rsidRPr="008E1C8D">
        <w:rPr>
          <w:rFonts w:asciiTheme="minorHAnsi" w:hAnsiTheme="minorHAnsi"/>
          <w:bCs/>
          <w:sz w:val="26"/>
          <w:szCs w:val="26"/>
        </w:rPr>
        <w:t>,</w:t>
      </w:r>
      <w:r>
        <w:rPr>
          <w:rFonts w:asciiTheme="minorHAnsi" w:hAnsiTheme="minorHAnsi"/>
          <w:bCs/>
          <w:sz w:val="26"/>
          <w:szCs w:val="26"/>
        </w:rPr>
        <w:t>9</w:t>
      </w:r>
      <w:r w:rsidRPr="008E1C8D">
        <w:rPr>
          <w:rFonts w:asciiTheme="minorHAnsi" w:hAnsiTheme="minorHAnsi"/>
          <w:bCs/>
          <w:sz w:val="26"/>
          <w:szCs w:val="26"/>
        </w:rPr>
        <w:t xml:space="preserve"> p. b.) </w:t>
      </w:r>
      <w:r w:rsidRPr="008E1C8D">
        <w:rPr>
          <w:rFonts w:asciiTheme="minorHAnsi" w:hAnsiTheme="minorHAnsi"/>
          <w:sz w:val="26"/>
          <w:szCs w:val="26"/>
        </w:rPr>
        <w:t>– viz tabulku č.</w:t>
      </w:r>
      <w:r>
        <w:rPr>
          <w:rFonts w:asciiTheme="minorHAnsi" w:hAnsiTheme="minorHAnsi"/>
          <w:sz w:val="26"/>
          <w:szCs w:val="26"/>
        </w:rPr>
        <w:t> </w:t>
      </w:r>
      <w:r w:rsidRPr="008E1C8D">
        <w:rPr>
          <w:rFonts w:asciiTheme="minorHAnsi" w:hAnsiTheme="minorHAnsi"/>
          <w:sz w:val="26"/>
          <w:szCs w:val="26"/>
        </w:rPr>
        <w:t>3 v příloze.</w:t>
      </w:r>
    </w:p>
    <w:p w14:paraId="44199F15" w14:textId="508E6DE0" w:rsidR="00F07F6D" w:rsidRPr="00674AF3" w:rsidRDefault="00F07F6D" w:rsidP="007D0A4A">
      <w:pPr>
        <w:spacing w:line="360" w:lineRule="auto"/>
        <w:jc w:val="both"/>
        <w:rPr>
          <w:rFonts w:asciiTheme="minorHAnsi" w:hAnsiTheme="minorHAnsi"/>
          <w:sz w:val="26"/>
          <w:szCs w:val="26"/>
        </w:rPr>
      </w:pPr>
      <w:r w:rsidRPr="008E1C8D">
        <w:rPr>
          <w:rFonts w:asciiTheme="minorHAnsi" w:hAnsiTheme="minorHAnsi"/>
          <w:sz w:val="26"/>
          <w:szCs w:val="26"/>
        </w:rPr>
        <w:tab/>
        <w:t xml:space="preserve">Vývoj mezd </w:t>
      </w:r>
      <w:r>
        <w:rPr>
          <w:rFonts w:asciiTheme="minorHAnsi" w:hAnsiTheme="minorHAnsi"/>
          <w:sz w:val="26"/>
          <w:szCs w:val="26"/>
        </w:rPr>
        <w:t xml:space="preserve">v hodnoceném období </w:t>
      </w:r>
      <w:r w:rsidRPr="008E1C8D">
        <w:rPr>
          <w:rFonts w:asciiTheme="minorHAnsi" w:hAnsiTheme="minorHAnsi"/>
          <w:sz w:val="26"/>
          <w:szCs w:val="26"/>
        </w:rPr>
        <w:t xml:space="preserve">charakterizovaly zejména následující </w:t>
      </w:r>
      <w:r w:rsidRPr="00674AF3">
        <w:rPr>
          <w:rFonts w:asciiTheme="minorHAnsi" w:hAnsiTheme="minorHAnsi"/>
          <w:sz w:val="26"/>
          <w:szCs w:val="26"/>
        </w:rPr>
        <w:t>skutečnosti:</w:t>
      </w:r>
    </w:p>
    <w:p w14:paraId="25F8B090" w14:textId="77777777" w:rsidR="00F07F6D" w:rsidRPr="00674AF3" w:rsidRDefault="00F07F6D" w:rsidP="007D0A4A">
      <w:pPr>
        <w:numPr>
          <w:ilvl w:val="0"/>
          <w:numId w:val="40"/>
        </w:numPr>
        <w:spacing w:line="360" w:lineRule="auto"/>
        <w:jc w:val="both"/>
        <w:rPr>
          <w:rFonts w:asciiTheme="minorHAnsi" w:hAnsiTheme="minorHAnsi"/>
          <w:bCs/>
          <w:sz w:val="26"/>
          <w:szCs w:val="26"/>
        </w:rPr>
      </w:pPr>
      <w:r w:rsidRPr="00674AF3">
        <w:rPr>
          <w:rFonts w:asciiTheme="minorHAnsi" w:hAnsiTheme="minorHAnsi"/>
          <w:b/>
          <w:bCs/>
          <w:sz w:val="26"/>
          <w:szCs w:val="26"/>
        </w:rPr>
        <w:t xml:space="preserve">podstatně nižší dynamika růstu </w:t>
      </w:r>
      <w:r w:rsidRPr="00674AF3">
        <w:rPr>
          <w:rFonts w:asciiTheme="minorHAnsi" w:hAnsiTheme="minorHAnsi"/>
          <w:bCs/>
          <w:sz w:val="26"/>
          <w:szCs w:val="26"/>
        </w:rPr>
        <w:t xml:space="preserve">meziroční </w:t>
      </w:r>
      <w:r w:rsidRPr="00674AF3">
        <w:rPr>
          <w:rFonts w:asciiTheme="minorHAnsi" w:hAnsiTheme="minorHAnsi"/>
          <w:b/>
          <w:bCs/>
          <w:sz w:val="26"/>
          <w:szCs w:val="26"/>
        </w:rPr>
        <w:t>průměrné nominální mzdy</w:t>
      </w:r>
      <w:r w:rsidRPr="00674AF3">
        <w:rPr>
          <w:rFonts w:asciiTheme="minorHAnsi" w:hAnsiTheme="minorHAnsi"/>
          <w:bCs/>
          <w:sz w:val="26"/>
          <w:szCs w:val="26"/>
        </w:rPr>
        <w:t xml:space="preserve"> v národním hospodářství v porovnání s mírou inflace,</w:t>
      </w:r>
    </w:p>
    <w:p w14:paraId="509A462C" w14:textId="11E36AD2" w:rsidR="00F07F6D" w:rsidRPr="0080146E" w:rsidRDefault="00F07F6D" w:rsidP="007D0A4A">
      <w:pPr>
        <w:numPr>
          <w:ilvl w:val="0"/>
          <w:numId w:val="40"/>
        </w:numPr>
        <w:spacing w:line="360" w:lineRule="auto"/>
        <w:jc w:val="both"/>
        <w:rPr>
          <w:rFonts w:asciiTheme="minorHAnsi" w:hAnsiTheme="minorHAnsi"/>
          <w:bCs/>
          <w:sz w:val="26"/>
          <w:szCs w:val="26"/>
        </w:rPr>
      </w:pPr>
      <w:r w:rsidRPr="00674AF3">
        <w:rPr>
          <w:rFonts w:asciiTheme="minorHAnsi" w:hAnsiTheme="minorHAnsi"/>
          <w:b/>
          <w:bCs/>
          <w:sz w:val="26"/>
          <w:szCs w:val="26"/>
        </w:rPr>
        <w:t>výrazný pokles kupní síly průměrných výdělků zaměstnanců</w:t>
      </w:r>
      <w:r w:rsidRPr="00674AF3">
        <w:rPr>
          <w:rFonts w:asciiTheme="minorHAnsi" w:hAnsiTheme="minorHAnsi"/>
          <w:sz w:val="26"/>
          <w:szCs w:val="26"/>
        </w:rPr>
        <w:t xml:space="preserve"> související se stále </w:t>
      </w:r>
      <w:r w:rsidRPr="0080146E">
        <w:rPr>
          <w:rFonts w:asciiTheme="minorHAnsi" w:hAnsiTheme="minorHAnsi"/>
          <w:sz w:val="26"/>
          <w:szCs w:val="26"/>
        </w:rPr>
        <w:t>stoupajícím růstem cenové inflace dosahující nebývalých hodnot,</w:t>
      </w:r>
    </w:p>
    <w:p w14:paraId="4982F939" w14:textId="77777777" w:rsidR="00F07F6D" w:rsidRPr="00674AF3" w:rsidRDefault="00F07F6D" w:rsidP="007D0A4A">
      <w:pPr>
        <w:numPr>
          <w:ilvl w:val="0"/>
          <w:numId w:val="40"/>
        </w:numPr>
        <w:spacing w:line="360" w:lineRule="auto"/>
        <w:jc w:val="both"/>
        <w:rPr>
          <w:rFonts w:asciiTheme="minorHAnsi" w:hAnsiTheme="minorHAnsi"/>
          <w:bCs/>
          <w:sz w:val="26"/>
          <w:szCs w:val="26"/>
        </w:rPr>
      </w:pPr>
      <w:r w:rsidRPr="00674AF3">
        <w:rPr>
          <w:rFonts w:asciiTheme="minorHAnsi" w:hAnsiTheme="minorHAnsi"/>
          <w:b/>
          <w:bCs/>
          <w:sz w:val="26"/>
          <w:szCs w:val="26"/>
        </w:rPr>
        <w:t>nárůst produktivity práce</w:t>
      </w:r>
      <w:r w:rsidRPr="00674AF3">
        <w:rPr>
          <w:rFonts w:asciiTheme="minorHAnsi" w:hAnsiTheme="minorHAnsi"/>
          <w:bCs/>
          <w:sz w:val="26"/>
          <w:szCs w:val="26"/>
        </w:rPr>
        <w:t xml:space="preserve"> doprovázený </w:t>
      </w:r>
      <w:r w:rsidRPr="00674AF3">
        <w:rPr>
          <w:rFonts w:asciiTheme="minorHAnsi" w:hAnsiTheme="minorHAnsi"/>
          <w:b/>
          <w:sz w:val="26"/>
          <w:szCs w:val="26"/>
        </w:rPr>
        <w:t>poklesem průměrné reálné mzdy,</w:t>
      </w:r>
    </w:p>
    <w:p w14:paraId="409FE77C" w14:textId="77777777" w:rsidR="00F07F6D" w:rsidRPr="00674AF3" w:rsidRDefault="00F07F6D" w:rsidP="007D0A4A">
      <w:pPr>
        <w:numPr>
          <w:ilvl w:val="0"/>
          <w:numId w:val="40"/>
        </w:numPr>
        <w:spacing w:line="360" w:lineRule="auto"/>
        <w:jc w:val="both"/>
        <w:rPr>
          <w:rFonts w:asciiTheme="minorHAnsi" w:hAnsiTheme="minorHAnsi"/>
          <w:bCs/>
          <w:sz w:val="26"/>
          <w:szCs w:val="26"/>
        </w:rPr>
      </w:pPr>
      <w:r w:rsidRPr="00674AF3">
        <w:rPr>
          <w:rFonts w:asciiTheme="minorHAnsi" w:hAnsiTheme="minorHAnsi"/>
          <w:sz w:val="26"/>
          <w:szCs w:val="26"/>
        </w:rPr>
        <w:t xml:space="preserve">mírné </w:t>
      </w:r>
      <w:r w:rsidRPr="00674AF3">
        <w:rPr>
          <w:rFonts w:asciiTheme="minorHAnsi" w:hAnsiTheme="minorHAnsi"/>
          <w:b/>
          <w:bCs/>
          <w:sz w:val="26"/>
          <w:szCs w:val="26"/>
        </w:rPr>
        <w:t>zvýšení</w:t>
      </w:r>
      <w:r w:rsidRPr="00674AF3">
        <w:rPr>
          <w:rFonts w:asciiTheme="minorHAnsi" w:hAnsiTheme="minorHAnsi"/>
          <w:bCs/>
          <w:sz w:val="26"/>
          <w:szCs w:val="26"/>
        </w:rPr>
        <w:t xml:space="preserve"> (na makroúrovni) jak </w:t>
      </w:r>
      <w:r w:rsidRPr="00674AF3">
        <w:rPr>
          <w:rFonts w:asciiTheme="minorHAnsi" w:hAnsiTheme="minorHAnsi"/>
          <w:b/>
          <w:bCs/>
          <w:sz w:val="26"/>
          <w:szCs w:val="26"/>
        </w:rPr>
        <w:t>meziodvětvové diferenciace,</w:t>
      </w:r>
      <w:r w:rsidRPr="00674AF3">
        <w:rPr>
          <w:rFonts w:asciiTheme="minorHAnsi" w:hAnsiTheme="minorHAnsi"/>
          <w:bCs/>
          <w:sz w:val="26"/>
          <w:szCs w:val="26"/>
        </w:rPr>
        <w:t xml:space="preserve"> tak i </w:t>
      </w:r>
      <w:r w:rsidRPr="00674AF3">
        <w:rPr>
          <w:rFonts w:asciiTheme="minorHAnsi" w:hAnsiTheme="minorHAnsi"/>
          <w:b/>
          <w:bCs/>
          <w:sz w:val="26"/>
          <w:szCs w:val="26"/>
        </w:rPr>
        <w:t>územní diferenciace mezd zaměstnanců</w:t>
      </w:r>
      <w:r w:rsidRPr="00674AF3">
        <w:rPr>
          <w:rFonts w:asciiTheme="minorHAnsi" w:hAnsiTheme="minorHAnsi"/>
          <w:bCs/>
          <w:sz w:val="26"/>
          <w:szCs w:val="26"/>
        </w:rPr>
        <w:t>,</w:t>
      </w:r>
    </w:p>
    <w:p w14:paraId="5180497A" w14:textId="77777777" w:rsidR="00F07F6D" w:rsidRPr="008D14AB" w:rsidRDefault="00F07F6D" w:rsidP="007D0A4A">
      <w:pPr>
        <w:numPr>
          <w:ilvl w:val="0"/>
          <w:numId w:val="40"/>
        </w:numPr>
        <w:spacing w:after="360" w:line="360" w:lineRule="auto"/>
        <w:ind w:left="357" w:hanging="357"/>
        <w:jc w:val="both"/>
        <w:rPr>
          <w:rFonts w:asciiTheme="minorHAnsi" w:hAnsiTheme="minorHAnsi"/>
          <w:bCs/>
          <w:sz w:val="26"/>
          <w:szCs w:val="26"/>
        </w:rPr>
      </w:pPr>
      <w:r w:rsidRPr="00674AF3">
        <w:rPr>
          <w:rFonts w:asciiTheme="minorHAnsi" w:hAnsiTheme="minorHAnsi"/>
          <w:bCs/>
          <w:sz w:val="26"/>
          <w:szCs w:val="26"/>
        </w:rPr>
        <w:t xml:space="preserve">rovněž i nepatrné </w:t>
      </w:r>
      <w:r w:rsidRPr="00674AF3">
        <w:rPr>
          <w:rFonts w:asciiTheme="minorHAnsi" w:hAnsiTheme="minorHAnsi"/>
          <w:b/>
          <w:sz w:val="26"/>
          <w:szCs w:val="26"/>
        </w:rPr>
        <w:t xml:space="preserve">zvýšení mzdové diferenciace na úrovni jednotlivých </w:t>
      </w:r>
      <w:r w:rsidRPr="008D14AB">
        <w:rPr>
          <w:rFonts w:asciiTheme="minorHAnsi" w:hAnsiTheme="minorHAnsi"/>
          <w:b/>
          <w:sz w:val="26"/>
          <w:szCs w:val="26"/>
        </w:rPr>
        <w:t xml:space="preserve">zaměstnanců </w:t>
      </w:r>
      <w:r w:rsidRPr="008D14AB">
        <w:rPr>
          <w:rFonts w:asciiTheme="minorHAnsi" w:hAnsiTheme="minorHAnsi"/>
          <w:sz w:val="26"/>
          <w:szCs w:val="26"/>
        </w:rPr>
        <w:t>(na mikroúrovni)</w:t>
      </w:r>
      <w:r w:rsidRPr="008D14AB">
        <w:rPr>
          <w:rFonts w:asciiTheme="minorHAnsi" w:hAnsiTheme="minorHAnsi"/>
          <w:bCs/>
          <w:sz w:val="26"/>
          <w:szCs w:val="26"/>
        </w:rPr>
        <w:t>.</w:t>
      </w:r>
    </w:p>
    <w:p w14:paraId="418FA776" w14:textId="77777777" w:rsidR="00F07F6D" w:rsidRPr="008D14AB" w:rsidRDefault="00F07F6D" w:rsidP="007D0A4A">
      <w:pPr>
        <w:spacing w:after="120" w:line="360" w:lineRule="auto"/>
        <w:jc w:val="both"/>
        <w:rPr>
          <w:rFonts w:asciiTheme="minorHAnsi" w:hAnsiTheme="minorHAnsi"/>
          <w:sz w:val="26"/>
          <w:szCs w:val="26"/>
        </w:rPr>
      </w:pPr>
      <w:r w:rsidRPr="008D14AB">
        <w:rPr>
          <w:rFonts w:asciiTheme="minorHAnsi" w:hAnsiTheme="minorHAnsi"/>
          <w:sz w:val="26"/>
          <w:szCs w:val="26"/>
        </w:rPr>
        <w:tab/>
      </w:r>
      <w:r w:rsidRPr="008D14AB">
        <w:rPr>
          <w:rFonts w:asciiTheme="minorHAnsi" w:hAnsiTheme="minorHAnsi"/>
          <w:b/>
          <w:bCs/>
          <w:sz w:val="26"/>
          <w:szCs w:val="26"/>
        </w:rPr>
        <w:t>Na poklesu</w:t>
      </w:r>
      <w:r w:rsidRPr="008D14AB">
        <w:rPr>
          <w:rFonts w:asciiTheme="minorHAnsi" w:hAnsiTheme="minorHAnsi"/>
          <w:sz w:val="26"/>
          <w:szCs w:val="26"/>
        </w:rPr>
        <w:t xml:space="preserve"> </w:t>
      </w:r>
      <w:r w:rsidRPr="008D14AB">
        <w:rPr>
          <w:rFonts w:asciiTheme="minorHAnsi" w:hAnsiTheme="minorHAnsi"/>
          <w:bCs/>
          <w:sz w:val="26"/>
          <w:szCs w:val="26"/>
        </w:rPr>
        <w:t>průměrné</w:t>
      </w:r>
      <w:r w:rsidRPr="008D14AB">
        <w:rPr>
          <w:rFonts w:asciiTheme="minorHAnsi" w:hAnsiTheme="minorHAnsi"/>
          <w:sz w:val="26"/>
          <w:szCs w:val="26"/>
        </w:rPr>
        <w:t xml:space="preserve"> </w:t>
      </w:r>
      <w:r w:rsidRPr="008D14AB">
        <w:rPr>
          <w:rFonts w:asciiTheme="minorHAnsi" w:hAnsiTheme="minorHAnsi"/>
          <w:b/>
          <w:bCs/>
          <w:sz w:val="26"/>
          <w:szCs w:val="26"/>
        </w:rPr>
        <w:t xml:space="preserve">reálné hodnoty mezd </w:t>
      </w:r>
      <w:r w:rsidRPr="008D14AB">
        <w:rPr>
          <w:rFonts w:asciiTheme="minorHAnsi" w:hAnsiTheme="minorHAnsi"/>
          <w:b/>
          <w:sz w:val="26"/>
          <w:szCs w:val="26"/>
        </w:rPr>
        <w:t>za celé 1. pololetí</w:t>
      </w:r>
      <w:r w:rsidRPr="008D14AB">
        <w:rPr>
          <w:rFonts w:asciiTheme="minorHAnsi" w:hAnsiTheme="minorHAnsi"/>
          <w:bCs/>
          <w:sz w:val="26"/>
          <w:szCs w:val="26"/>
        </w:rPr>
        <w:t xml:space="preserve"> letošního roku </w:t>
      </w:r>
      <w:r w:rsidRPr="008D14AB">
        <w:rPr>
          <w:rFonts w:asciiTheme="minorHAnsi" w:hAnsiTheme="minorHAnsi"/>
          <w:b/>
          <w:sz w:val="26"/>
          <w:szCs w:val="26"/>
        </w:rPr>
        <w:t>se podílela obě jeho čtvrtletí</w:t>
      </w:r>
      <w:r w:rsidRPr="008D14AB">
        <w:rPr>
          <w:rFonts w:asciiTheme="minorHAnsi" w:hAnsiTheme="minorHAnsi"/>
          <w:bCs/>
          <w:sz w:val="26"/>
          <w:szCs w:val="26"/>
        </w:rPr>
        <w:t xml:space="preserve">, avšak s poměrně velkým rozdílným </w:t>
      </w:r>
      <w:r>
        <w:rPr>
          <w:rFonts w:asciiTheme="minorHAnsi" w:hAnsiTheme="minorHAnsi"/>
          <w:bCs/>
          <w:sz w:val="26"/>
          <w:szCs w:val="26"/>
        </w:rPr>
        <w:t>vlivem</w:t>
      </w:r>
      <w:r w:rsidRPr="008D14AB">
        <w:rPr>
          <w:rFonts w:asciiTheme="minorHAnsi" w:hAnsiTheme="minorHAnsi"/>
          <w:bCs/>
          <w:sz w:val="26"/>
          <w:szCs w:val="26"/>
        </w:rPr>
        <w:t>. Zatímco v 1. čtvrtletí poklesla průměrná reálná mzda o 3,5 %, ve 2. čtvrtletí došlo k poklesu již o 9,8 % (tj. téměř trojnásobně). Na koupěschopnou poptávku tedy působil</w:t>
      </w:r>
      <w:r>
        <w:rPr>
          <w:rFonts w:asciiTheme="minorHAnsi" w:hAnsiTheme="minorHAnsi"/>
          <w:bCs/>
          <w:sz w:val="26"/>
          <w:szCs w:val="26"/>
        </w:rPr>
        <w:t>a</w:t>
      </w:r>
      <w:r w:rsidRPr="008D14AB">
        <w:rPr>
          <w:rFonts w:asciiTheme="minorHAnsi" w:hAnsiTheme="minorHAnsi"/>
          <w:bCs/>
          <w:sz w:val="26"/>
          <w:szCs w:val="26"/>
        </w:rPr>
        <w:t xml:space="preserve"> vedle vysokého meziročního tempa růstu spotřebitelských cen (podrobněji viz část 2 materiálu) rovněž i mírně nižší nominální dynamika mezd </w:t>
      </w:r>
      <w:r w:rsidRPr="008D14AB">
        <w:rPr>
          <w:rFonts w:asciiTheme="minorHAnsi" w:hAnsiTheme="minorHAnsi"/>
          <w:sz w:val="26"/>
          <w:szCs w:val="26"/>
        </w:rPr>
        <w:t>(v porovnání se stejným obdobím předchozího roku)</w:t>
      </w:r>
      <w:r w:rsidRPr="008D14AB">
        <w:rPr>
          <w:rFonts w:asciiTheme="minorHAnsi" w:hAnsiTheme="minorHAnsi"/>
          <w:bCs/>
          <w:sz w:val="26"/>
          <w:szCs w:val="26"/>
        </w:rPr>
        <w:t xml:space="preserve">. </w:t>
      </w:r>
      <w:r w:rsidRPr="008D14AB">
        <w:rPr>
          <w:rFonts w:asciiTheme="minorHAnsi" w:hAnsiTheme="minorHAnsi"/>
          <w:b/>
          <w:bCs/>
          <w:sz w:val="26"/>
          <w:szCs w:val="26"/>
        </w:rPr>
        <w:t>Pokles průměrné reálné mzdy</w:t>
      </w:r>
      <w:r w:rsidRPr="008D14AB">
        <w:rPr>
          <w:rFonts w:asciiTheme="minorHAnsi" w:hAnsiTheme="minorHAnsi"/>
          <w:sz w:val="26"/>
          <w:szCs w:val="26"/>
        </w:rPr>
        <w:t xml:space="preserve"> </w:t>
      </w:r>
      <w:r w:rsidRPr="008D14AB">
        <w:rPr>
          <w:rFonts w:asciiTheme="minorHAnsi" w:hAnsiTheme="minorHAnsi"/>
          <w:bCs/>
          <w:sz w:val="26"/>
          <w:szCs w:val="26"/>
        </w:rPr>
        <w:t xml:space="preserve">byl </w:t>
      </w:r>
      <w:r w:rsidRPr="008D14AB">
        <w:rPr>
          <w:rFonts w:asciiTheme="minorHAnsi" w:hAnsiTheme="minorHAnsi"/>
          <w:b/>
          <w:sz w:val="26"/>
          <w:szCs w:val="26"/>
        </w:rPr>
        <w:t>v 1. pololetí</w:t>
      </w:r>
      <w:r w:rsidRPr="008D14AB">
        <w:rPr>
          <w:rFonts w:asciiTheme="minorHAnsi" w:hAnsiTheme="minorHAnsi"/>
          <w:bCs/>
          <w:sz w:val="26"/>
          <w:szCs w:val="26"/>
        </w:rPr>
        <w:t xml:space="preserve"> zaznamenán</w:t>
      </w:r>
      <w:r w:rsidRPr="008D14AB">
        <w:rPr>
          <w:rFonts w:asciiTheme="minorHAnsi" w:hAnsiTheme="minorHAnsi"/>
          <w:sz w:val="26"/>
          <w:szCs w:val="26"/>
        </w:rPr>
        <w:t xml:space="preserve"> </w:t>
      </w:r>
      <w:r w:rsidRPr="008D14AB">
        <w:rPr>
          <w:rFonts w:asciiTheme="minorHAnsi" w:hAnsiTheme="minorHAnsi"/>
          <w:b/>
          <w:bCs/>
          <w:sz w:val="26"/>
          <w:szCs w:val="26"/>
        </w:rPr>
        <w:t>ve všech 19</w:t>
      </w:r>
      <w:r w:rsidRPr="008D14AB">
        <w:rPr>
          <w:rFonts w:asciiTheme="minorHAnsi" w:hAnsiTheme="minorHAnsi"/>
          <w:sz w:val="26"/>
          <w:szCs w:val="26"/>
        </w:rPr>
        <w:t xml:space="preserve"> sledovaných </w:t>
      </w:r>
      <w:r w:rsidRPr="008D14AB">
        <w:rPr>
          <w:rFonts w:asciiTheme="minorHAnsi" w:hAnsiTheme="minorHAnsi"/>
          <w:b/>
          <w:bCs/>
          <w:sz w:val="26"/>
          <w:szCs w:val="26"/>
        </w:rPr>
        <w:t>odvětvových agregacích CZ</w:t>
      </w:r>
      <w:r w:rsidRPr="008D14AB">
        <w:rPr>
          <w:rFonts w:asciiTheme="minorHAnsi" w:hAnsiTheme="minorHAnsi"/>
          <w:b/>
          <w:bCs/>
          <w:sz w:val="26"/>
          <w:szCs w:val="26"/>
        </w:rPr>
        <w:noBreakHyphen/>
        <w:t>NACE a v regionálním členění rovněž ve všech 14 krajích</w:t>
      </w:r>
      <w:r w:rsidRPr="008D14AB">
        <w:rPr>
          <w:rFonts w:asciiTheme="minorHAnsi" w:hAnsiTheme="minorHAnsi"/>
          <w:bCs/>
          <w:sz w:val="26"/>
          <w:szCs w:val="26"/>
        </w:rPr>
        <w:t xml:space="preserve"> </w:t>
      </w:r>
      <w:r w:rsidRPr="008D14AB">
        <w:rPr>
          <w:rFonts w:asciiTheme="minorHAnsi" w:hAnsiTheme="minorHAnsi"/>
          <w:sz w:val="26"/>
          <w:szCs w:val="26"/>
        </w:rPr>
        <w:t>(viz dále).</w:t>
      </w:r>
    </w:p>
    <w:p w14:paraId="3F18210D" w14:textId="0428B7B3" w:rsidR="00F07F6D" w:rsidRPr="00F95EF8" w:rsidRDefault="00F07F6D" w:rsidP="007D0A4A">
      <w:pPr>
        <w:spacing w:after="120" w:line="360" w:lineRule="auto"/>
        <w:jc w:val="both"/>
        <w:rPr>
          <w:rFonts w:asciiTheme="minorHAnsi" w:hAnsiTheme="minorHAnsi"/>
          <w:sz w:val="26"/>
          <w:szCs w:val="26"/>
        </w:rPr>
      </w:pPr>
      <w:r w:rsidRPr="00DF095E">
        <w:rPr>
          <w:rFonts w:asciiTheme="minorHAnsi" w:hAnsiTheme="minorHAnsi"/>
          <w:sz w:val="26"/>
          <w:szCs w:val="26"/>
        </w:rPr>
        <w:tab/>
      </w:r>
      <w:r w:rsidRPr="00DF095E">
        <w:rPr>
          <w:rFonts w:asciiTheme="minorHAnsi" w:hAnsiTheme="minorHAnsi"/>
          <w:b/>
          <w:sz w:val="26"/>
          <w:szCs w:val="26"/>
        </w:rPr>
        <w:t>Pokles kupní síly výdělků byl</w:t>
      </w:r>
      <w:r w:rsidRPr="00E70C62">
        <w:rPr>
          <w:rFonts w:asciiTheme="minorHAnsi" w:hAnsiTheme="minorHAnsi"/>
          <w:bCs/>
          <w:sz w:val="26"/>
          <w:szCs w:val="26"/>
        </w:rPr>
        <w:t xml:space="preserve"> však </w:t>
      </w:r>
      <w:r w:rsidRPr="00DF095E">
        <w:rPr>
          <w:rFonts w:asciiTheme="minorHAnsi" w:hAnsiTheme="minorHAnsi"/>
          <w:sz w:val="26"/>
          <w:szCs w:val="26"/>
        </w:rPr>
        <w:t xml:space="preserve">v hodnoceném období </w:t>
      </w:r>
      <w:r w:rsidRPr="00DF095E">
        <w:rPr>
          <w:rFonts w:asciiTheme="minorHAnsi" w:hAnsiTheme="minorHAnsi"/>
          <w:b/>
          <w:sz w:val="26"/>
          <w:szCs w:val="26"/>
        </w:rPr>
        <w:t>doprovázen růstem produktivity práce.</w:t>
      </w:r>
      <w:r w:rsidRPr="00DF095E">
        <w:rPr>
          <w:rFonts w:asciiTheme="minorHAnsi" w:hAnsiTheme="minorHAnsi"/>
          <w:sz w:val="26"/>
          <w:szCs w:val="26"/>
        </w:rPr>
        <w:t xml:space="preserve"> Dynamika úhrnné </w:t>
      </w:r>
      <w:r w:rsidRPr="00DF095E">
        <w:rPr>
          <w:rFonts w:asciiTheme="minorHAnsi" w:hAnsiTheme="minorHAnsi"/>
          <w:b/>
          <w:bCs/>
          <w:sz w:val="26"/>
          <w:szCs w:val="26"/>
        </w:rPr>
        <w:t>produktivity práce</w:t>
      </w:r>
      <w:r w:rsidRPr="00DF095E">
        <w:rPr>
          <w:rFonts w:asciiTheme="minorHAnsi" w:hAnsiTheme="minorHAnsi"/>
          <w:sz w:val="26"/>
          <w:szCs w:val="26"/>
        </w:rPr>
        <w:t xml:space="preserve"> (v pojetí hrubého domácího produktu ve stálých cenách na 1 pracovníka v národním hospodářství)</w:t>
      </w:r>
      <w:r w:rsidRPr="00DF095E">
        <w:rPr>
          <w:rFonts w:asciiTheme="minorHAnsi" w:hAnsiTheme="minorHAnsi"/>
          <w:bCs/>
          <w:sz w:val="26"/>
          <w:szCs w:val="26"/>
        </w:rPr>
        <w:t xml:space="preserve"> </w:t>
      </w:r>
      <w:r w:rsidRPr="00DF095E">
        <w:rPr>
          <w:rFonts w:asciiTheme="minorHAnsi" w:hAnsiTheme="minorHAnsi"/>
          <w:b/>
          <w:bCs/>
          <w:sz w:val="26"/>
          <w:szCs w:val="26"/>
        </w:rPr>
        <w:t>vzrostla</w:t>
      </w:r>
      <w:r w:rsidRPr="00DF095E">
        <w:rPr>
          <w:rFonts w:asciiTheme="minorHAnsi" w:hAnsiTheme="minorHAnsi"/>
          <w:bCs/>
          <w:sz w:val="26"/>
          <w:szCs w:val="26"/>
        </w:rPr>
        <w:t xml:space="preserve"> ve sledovaném období meziročně </w:t>
      </w:r>
      <w:r w:rsidRPr="00DF095E">
        <w:rPr>
          <w:rFonts w:asciiTheme="minorHAnsi" w:hAnsiTheme="minorHAnsi"/>
          <w:b/>
          <w:bCs/>
          <w:sz w:val="26"/>
          <w:szCs w:val="26"/>
        </w:rPr>
        <w:t xml:space="preserve">o 2,2 % </w:t>
      </w:r>
      <w:r w:rsidRPr="00DF095E">
        <w:rPr>
          <w:rFonts w:asciiTheme="minorHAnsi" w:hAnsiTheme="minorHAnsi"/>
          <w:bCs/>
          <w:sz w:val="26"/>
          <w:szCs w:val="26"/>
        </w:rPr>
        <w:t>a byla o 9,0 p. b. vyšší, než činil pokles průměrné reálné mzdy –</w:t>
      </w:r>
      <w:r w:rsidRPr="00DF095E">
        <w:rPr>
          <w:rFonts w:asciiTheme="minorHAnsi" w:hAnsiTheme="minorHAnsi"/>
          <w:sz w:val="26"/>
          <w:szCs w:val="26"/>
        </w:rPr>
        <w:t xml:space="preserve"> podrobný vývoj za jednotlivá čtvrtletí viz </w:t>
      </w:r>
      <w:r>
        <w:rPr>
          <w:rFonts w:asciiTheme="minorHAnsi" w:hAnsiTheme="minorHAnsi"/>
          <w:sz w:val="26"/>
          <w:szCs w:val="26"/>
        </w:rPr>
        <w:t xml:space="preserve">následující </w:t>
      </w:r>
      <w:r w:rsidRPr="00DF095E">
        <w:rPr>
          <w:rFonts w:asciiTheme="minorHAnsi" w:hAnsiTheme="minorHAnsi"/>
          <w:sz w:val="26"/>
          <w:szCs w:val="26"/>
        </w:rPr>
        <w:t>graf</w:t>
      </w:r>
      <w:r w:rsidR="00BA35BC">
        <w:rPr>
          <w:rFonts w:asciiTheme="minorHAnsi" w:hAnsiTheme="minorHAnsi"/>
          <w:sz w:val="26"/>
          <w:szCs w:val="26"/>
        </w:rPr>
        <w:t xml:space="preserve"> na další straně</w:t>
      </w:r>
      <w:r w:rsidRPr="00F95EF8">
        <w:rPr>
          <w:rFonts w:asciiTheme="minorHAnsi" w:hAnsiTheme="minorHAnsi"/>
          <w:sz w:val="26"/>
          <w:szCs w:val="26"/>
        </w:rPr>
        <w:t>:</w:t>
      </w:r>
    </w:p>
    <w:p w14:paraId="1BB8B8A1" w14:textId="4D700699" w:rsidR="00F07F6D" w:rsidRDefault="00020DCA" w:rsidP="00F07F6D">
      <w:pPr>
        <w:spacing w:line="360" w:lineRule="auto"/>
        <w:jc w:val="center"/>
        <w:rPr>
          <w:rFonts w:asciiTheme="minorHAnsi" w:hAnsiTheme="minorHAnsi"/>
          <w:sz w:val="26"/>
          <w:szCs w:val="26"/>
        </w:rPr>
      </w:pPr>
      <w:r>
        <w:rPr>
          <w:noProof/>
          <w:sz w:val="26"/>
          <w:szCs w:val="26"/>
        </w:rPr>
        <w:lastRenderedPageBreak/>
        <w:drawing>
          <wp:inline distT="0" distB="0" distL="0" distR="0" wp14:anchorId="5DB9F0D9" wp14:editId="0AA5EC5F">
            <wp:extent cx="5759450" cy="4072627"/>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072627"/>
                    </a:xfrm>
                    <a:prstGeom prst="rect">
                      <a:avLst/>
                    </a:prstGeom>
                    <a:noFill/>
                  </pic:spPr>
                </pic:pic>
              </a:graphicData>
            </a:graphic>
          </wp:inline>
        </w:drawing>
      </w:r>
    </w:p>
    <w:p w14:paraId="188FC837" w14:textId="77777777" w:rsidR="00F07F6D" w:rsidRPr="00C67B8E" w:rsidRDefault="00F07F6D" w:rsidP="004A1968">
      <w:pPr>
        <w:spacing w:after="120" w:line="360" w:lineRule="auto"/>
        <w:jc w:val="both"/>
        <w:rPr>
          <w:rFonts w:asciiTheme="minorHAnsi" w:hAnsiTheme="minorHAnsi"/>
          <w:bCs/>
          <w:sz w:val="22"/>
          <w:szCs w:val="22"/>
        </w:rPr>
      </w:pPr>
      <w:r w:rsidRPr="00C67B8E">
        <w:rPr>
          <w:rFonts w:asciiTheme="minorHAnsi" w:hAnsiTheme="minorHAnsi"/>
          <w:bCs/>
          <w:sz w:val="22"/>
          <w:szCs w:val="22"/>
        </w:rPr>
        <w:t>Zpracováno z údajů ČSÚ</w:t>
      </w:r>
    </w:p>
    <w:p w14:paraId="3692DD97" w14:textId="77777777" w:rsidR="00F07F6D" w:rsidRPr="00FC3200" w:rsidRDefault="00F07F6D" w:rsidP="007D0A4A">
      <w:pPr>
        <w:spacing w:after="120" w:line="360" w:lineRule="auto"/>
        <w:jc w:val="both"/>
        <w:rPr>
          <w:rFonts w:asciiTheme="minorHAnsi" w:hAnsiTheme="minorHAnsi"/>
          <w:b/>
          <w:bCs/>
          <w:sz w:val="26"/>
          <w:szCs w:val="26"/>
        </w:rPr>
      </w:pPr>
      <w:r w:rsidRPr="00FC3200">
        <w:rPr>
          <w:rFonts w:asciiTheme="minorHAnsi" w:hAnsiTheme="minorHAnsi"/>
          <w:sz w:val="26"/>
          <w:szCs w:val="26"/>
        </w:rPr>
        <w:tab/>
      </w:r>
      <w:r w:rsidRPr="00FC3200">
        <w:rPr>
          <w:rFonts w:asciiTheme="minorHAnsi" w:hAnsiTheme="minorHAnsi"/>
          <w:b/>
          <w:sz w:val="26"/>
          <w:szCs w:val="26"/>
        </w:rPr>
        <w:t>Relace</w:t>
      </w:r>
      <w:r w:rsidRPr="00FC3200">
        <w:rPr>
          <w:rFonts w:asciiTheme="minorHAnsi" w:hAnsiTheme="minorHAnsi"/>
          <w:sz w:val="26"/>
          <w:szCs w:val="26"/>
        </w:rPr>
        <w:t xml:space="preserve"> produktivity práce a mezd </w:t>
      </w:r>
      <w:r w:rsidRPr="00FC3200">
        <w:rPr>
          <w:rFonts w:asciiTheme="minorHAnsi" w:hAnsiTheme="minorHAnsi"/>
          <w:b/>
          <w:sz w:val="26"/>
          <w:szCs w:val="26"/>
        </w:rPr>
        <w:t xml:space="preserve">se promítla do </w:t>
      </w:r>
      <w:r w:rsidRPr="00FC3200">
        <w:rPr>
          <w:rFonts w:asciiTheme="minorHAnsi" w:hAnsiTheme="minorHAnsi"/>
          <w:b/>
          <w:bCs/>
          <w:sz w:val="26"/>
          <w:szCs w:val="26"/>
        </w:rPr>
        <w:t>vývoje jednotkových mzdových nákladů</w:t>
      </w:r>
      <w:r w:rsidRPr="00FC3200">
        <w:rPr>
          <w:rFonts w:asciiTheme="minorHAnsi" w:hAnsiTheme="minorHAnsi"/>
          <w:sz w:val="26"/>
          <w:szCs w:val="26"/>
        </w:rPr>
        <w:t>,</w:t>
      </w:r>
      <w:r w:rsidRPr="00FC3200">
        <w:rPr>
          <w:rFonts w:asciiTheme="minorHAnsi" w:hAnsiTheme="minorHAnsi"/>
          <w:bCs/>
          <w:sz w:val="26"/>
          <w:szCs w:val="26"/>
        </w:rPr>
        <w:t xml:space="preserve"> </w:t>
      </w:r>
      <w:r w:rsidRPr="00FC3200">
        <w:rPr>
          <w:rFonts w:asciiTheme="minorHAnsi" w:hAnsiTheme="minorHAnsi"/>
          <w:sz w:val="26"/>
          <w:szCs w:val="26"/>
        </w:rPr>
        <w:t xml:space="preserve">které v meziročním pohledu za </w:t>
      </w:r>
      <w:proofErr w:type="gramStart"/>
      <w:r w:rsidRPr="00FC3200">
        <w:rPr>
          <w:rFonts w:asciiTheme="minorHAnsi" w:hAnsiTheme="minorHAnsi"/>
          <w:sz w:val="26"/>
          <w:szCs w:val="26"/>
        </w:rPr>
        <w:t>leden – červen</w:t>
      </w:r>
      <w:proofErr w:type="gramEnd"/>
      <w:r w:rsidRPr="00FC3200">
        <w:rPr>
          <w:rFonts w:asciiTheme="minorHAnsi" w:hAnsiTheme="minorHAnsi"/>
          <w:sz w:val="26"/>
          <w:szCs w:val="26"/>
        </w:rPr>
        <w:t xml:space="preserve"> </w:t>
      </w:r>
      <w:r w:rsidRPr="00FC3200">
        <w:rPr>
          <w:rFonts w:asciiTheme="minorHAnsi" w:hAnsiTheme="minorHAnsi"/>
          <w:b/>
          <w:sz w:val="26"/>
          <w:szCs w:val="26"/>
        </w:rPr>
        <w:t xml:space="preserve">nominálně </w:t>
      </w:r>
      <w:r w:rsidRPr="00FC3200">
        <w:rPr>
          <w:rFonts w:asciiTheme="minorHAnsi" w:hAnsiTheme="minorHAnsi"/>
          <w:b/>
          <w:bCs/>
          <w:sz w:val="26"/>
          <w:szCs w:val="26"/>
        </w:rPr>
        <w:t>vzrostly o 3,5 %</w:t>
      </w:r>
      <w:r>
        <w:rPr>
          <w:rFonts w:asciiTheme="minorHAnsi" w:hAnsiTheme="minorHAnsi"/>
          <w:b/>
          <w:bCs/>
          <w:sz w:val="26"/>
          <w:szCs w:val="26"/>
        </w:rPr>
        <w:t>,</w:t>
      </w:r>
      <w:r w:rsidRPr="00FC3200">
        <w:rPr>
          <w:rFonts w:asciiTheme="minorHAnsi" w:hAnsiTheme="minorHAnsi"/>
          <w:b/>
          <w:bCs/>
          <w:sz w:val="26"/>
          <w:szCs w:val="26"/>
        </w:rPr>
        <w:t xml:space="preserve"> reálně však poklesly o 8,8 %. Nárůst mezd</w:t>
      </w:r>
      <w:r w:rsidRPr="00FC3200">
        <w:rPr>
          <w:rFonts w:asciiTheme="minorHAnsi" w:hAnsiTheme="minorHAnsi"/>
          <w:sz w:val="26"/>
          <w:szCs w:val="26"/>
        </w:rPr>
        <w:t xml:space="preserve"> tedy </w:t>
      </w:r>
      <w:r w:rsidRPr="00FC3200">
        <w:rPr>
          <w:rFonts w:asciiTheme="minorHAnsi" w:hAnsiTheme="minorHAnsi"/>
          <w:b/>
          <w:bCs/>
          <w:sz w:val="26"/>
          <w:szCs w:val="26"/>
        </w:rPr>
        <w:t xml:space="preserve">nepředstavoval riziko </w:t>
      </w:r>
      <w:r w:rsidRPr="00FC3200">
        <w:rPr>
          <w:rFonts w:asciiTheme="minorHAnsi" w:hAnsiTheme="minorHAnsi"/>
          <w:sz w:val="26"/>
          <w:szCs w:val="26"/>
        </w:rPr>
        <w:t xml:space="preserve">z pohledu </w:t>
      </w:r>
      <w:r w:rsidRPr="00FC3200">
        <w:rPr>
          <w:rFonts w:asciiTheme="minorHAnsi" w:hAnsiTheme="minorHAnsi"/>
          <w:b/>
          <w:bCs/>
          <w:sz w:val="26"/>
          <w:szCs w:val="26"/>
        </w:rPr>
        <w:t>udržení konkurenceschopnosti tuzemské produkce.</w:t>
      </w:r>
    </w:p>
    <w:p w14:paraId="3B4BABDE" w14:textId="77777777" w:rsidR="00F07F6D" w:rsidRPr="00FC3200" w:rsidRDefault="00F07F6D" w:rsidP="007D0A4A">
      <w:pPr>
        <w:spacing w:after="120" w:line="360" w:lineRule="auto"/>
        <w:jc w:val="both"/>
        <w:rPr>
          <w:rFonts w:asciiTheme="minorHAnsi" w:hAnsiTheme="minorHAnsi"/>
          <w:b/>
          <w:sz w:val="26"/>
          <w:szCs w:val="26"/>
        </w:rPr>
      </w:pPr>
      <w:r w:rsidRPr="00FC3200">
        <w:rPr>
          <w:rFonts w:asciiTheme="minorHAnsi" w:hAnsiTheme="minorHAnsi"/>
          <w:b/>
          <w:bCs/>
          <w:sz w:val="26"/>
          <w:szCs w:val="26"/>
        </w:rPr>
        <w:tab/>
        <w:t>Reálná hodnota objemu mzdových prostředků</w:t>
      </w:r>
      <w:r w:rsidRPr="00FC3200">
        <w:rPr>
          <w:rFonts w:asciiTheme="minorHAnsi" w:hAnsiTheme="minorHAnsi"/>
          <w:sz w:val="26"/>
          <w:szCs w:val="26"/>
        </w:rPr>
        <w:t xml:space="preserve"> zúčtovaných k výplatě </w:t>
      </w:r>
      <w:r w:rsidRPr="00FC3200">
        <w:rPr>
          <w:rFonts w:asciiTheme="minorHAnsi" w:hAnsiTheme="minorHAnsi"/>
          <w:b/>
          <w:bCs/>
          <w:sz w:val="26"/>
          <w:szCs w:val="26"/>
        </w:rPr>
        <w:t xml:space="preserve">poklesla </w:t>
      </w:r>
      <w:r w:rsidRPr="00FC3200">
        <w:rPr>
          <w:rFonts w:asciiTheme="minorHAnsi" w:hAnsiTheme="minorHAnsi"/>
          <w:sz w:val="26"/>
          <w:szCs w:val="26"/>
        </w:rPr>
        <w:t xml:space="preserve">oproti 1. pololetí 2021 </w:t>
      </w:r>
      <w:r w:rsidRPr="00FC3200">
        <w:rPr>
          <w:rFonts w:asciiTheme="minorHAnsi" w:hAnsiTheme="minorHAnsi"/>
          <w:b/>
          <w:bCs/>
          <w:sz w:val="26"/>
          <w:szCs w:val="26"/>
        </w:rPr>
        <w:t>o 5,8 %; mzdová náročnost HDP</w:t>
      </w:r>
      <w:r w:rsidRPr="00FC3200">
        <w:rPr>
          <w:rFonts w:asciiTheme="minorHAnsi" w:hAnsiTheme="minorHAnsi"/>
          <w:sz w:val="26"/>
          <w:szCs w:val="26"/>
        </w:rPr>
        <w:t xml:space="preserve"> (relace objemu mzdových prostředků k objemu hrubého domácího produktu v běžných cenách) </w:t>
      </w:r>
      <w:r w:rsidRPr="00FC3200">
        <w:rPr>
          <w:rFonts w:asciiTheme="minorHAnsi" w:hAnsiTheme="minorHAnsi"/>
          <w:b/>
          <w:bCs/>
          <w:sz w:val="26"/>
          <w:szCs w:val="26"/>
        </w:rPr>
        <w:t>se</w:t>
      </w:r>
      <w:r w:rsidRPr="00FC3200">
        <w:rPr>
          <w:rFonts w:asciiTheme="minorHAnsi" w:hAnsiTheme="minorHAnsi"/>
          <w:sz w:val="26"/>
          <w:szCs w:val="26"/>
        </w:rPr>
        <w:t xml:space="preserve"> ve stejném porovnání </w:t>
      </w:r>
      <w:r w:rsidRPr="00FC3200">
        <w:rPr>
          <w:rFonts w:asciiTheme="minorHAnsi" w:hAnsiTheme="minorHAnsi"/>
          <w:b/>
          <w:sz w:val="26"/>
          <w:szCs w:val="26"/>
        </w:rPr>
        <w:t>snížila</w:t>
      </w:r>
      <w:r w:rsidRPr="00FC3200">
        <w:rPr>
          <w:rFonts w:asciiTheme="minorHAnsi" w:hAnsiTheme="minorHAnsi"/>
          <w:sz w:val="26"/>
          <w:szCs w:val="26"/>
        </w:rPr>
        <w:t xml:space="preserve"> o 1,0 p. b. </w:t>
      </w:r>
      <w:r w:rsidRPr="00FC3200">
        <w:rPr>
          <w:rFonts w:asciiTheme="minorHAnsi" w:hAnsiTheme="minorHAnsi"/>
          <w:b/>
          <w:sz w:val="26"/>
          <w:szCs w:val="26"/>
        </w:rPr>
        <w:t>na 28,3 %.</w:t>
      </w:r>
    </w:p>
    <w:p w14:paraId="610D3E76" w14:textId="4C158706" w:rsidR="00F07F6D" w:rsidRPr="00725176" w:rsidRDefault="00F07F6D" w:rsidP="00F07F6D">
      <w:pPr>
        <w:spacing w:after="120"/>
        <w:ind w:left="709"/>
        <w:jc w:val="both"/>
        <w:rPr>
          <w:rFonts w:asciiTheme="minorHAnsi" w:hAnsiTheme="minorHAnsi"/>
          <w:bCs/>
          <w:sz w:val="26"/>
          <w:szCs w:val="26"/>
        </w:rPr>
      </w:pPr>
      <w:r w:rsidRPr="008E1C8D">
        <w:rPr>
          <w:rFonts w:asciiTheme="minorHAnsi" w:hAnsiTheme="minorHAnsi"/>
          <w:sz w:val="26"/>
          <w:szCs w:val="26"/>
        </w:rPr>
        <w:t xml:space="preserve">Část mezd, které svým zaměstnancům dlužili zaměstnavatelé v platební neschopnosti, jim byla vyplacena Úřadem práce ČR </w:t>
      </w:r>
      <w:r w:rsidRPr="008E1C8D">
        <w:rPr>
          <w:rFonts w:asciiTheme="minorHAnsi" w:hAnsiTheme="minorHAnsi"/>
          <w:b/>
          <w:bCs/>
          <w:sz w:val="26"/>
          <w:szCs w:val="26"/>
        </w:rPr>
        <w:t>na základě zákona</w:t>
      </w:r>
      <w:r w:rsidRPr="00222494">
        <w:rPr>
          <w:rFonts w:asciiTheme="minorHAnsi" w:hAnsiTheme="minorHAnsi"/>
          <w:sz w:val="26"/>
          <w:szCs w:val="26"/>
        </w:rPr>
        <w:t xml:space="preserve"> </w:t>
      </w:r>
      <w:r w:rsidRPr="008E1C8D">
        <w:rPr>
          <w:rFonts w:asciiTheme="minorHAnsi" w:hAnsiTheme="minorHAnsi"/>
          <w:sz w:val="26"/>
          <w:szCs w:val="26"/>
        </w:rPr>
        <w:t xml:space="preserve">č. 118/2000 Sb., </w:t>
      </w:r>
      <w:r w:rsidRPr="008E1C8D">
        <w:rPr>
          <w:rFonts w:asciiTheme="minorHAnsi" w:hAnsiTheme="minorHAnsi"/>
          <w:b/>
          <w:bCs/>
          <w:sz w:val="26"/>
          <w:szCs w:val="26"/>
        </w:rPr>
        <w:t>o ochraně zaměstnanců při platební neschopnosti zaměstnavatele</w:t>
      </w:r>
      <w:r w:rsidRPr="00222494">
        <w:rPr>
          <w:rFonts w:asciiTheme="minorHAnsi" w:hAnsiTheme="minorHAnsi"/>
          <w:sz w:val="26"/>
          <w:szCs w:val="26"/>
        </w:rPr>
        <w:t xml:space="preserve"> </w:t>
      </w:r>
      <w:r w:rsidRPr="008E1C8D">
        <w:rPr>
          <w:rFonts w:asciiTheme="minorHAnsi" w:hAnsiTheme="minorHAnsi"/>
          <w:sz w:val="26"/>
          <w:szCs w:val="26"/>
        </w:rPr>
        <w:t>a o změně některých zákonů, ve</w:t>
      </w:r>
      <w:r>
        <w:rPr>
          <w:rFonts w:asciiTheme="minorHAnsi" w:hAnsiTheme="minorHAnsi"/>
          <w:sz w:val="26"/>
          <w:szCs w:val="26"/>
        </w:rPr>
        <w:t xml:space="preserve"> </w:t>
      </w:r>
      <w:r w:rsidRPr="008E1C8D">
        <w:rPr>
          <w:rFonts w:asciiTheme="minorHAnsi" w:hAnsiTheme="minorHAnsi"/>
          <w:sz w:val="26"/>
          <w:szCs w:val="26"/>
        </w:rPr>
        <w:t>znění pozdějších předpisů.</w:t>
      </w:r>
      <w:r w:rsidRPr="008E1C8D">
        <w:rPr>
          <w:rFonts w:asciiTheme="minorHAnsi" w:hAnsiTheme="minorHAnsi"/>
          <w:bCs/>
          <w:sz w:val="26"/>
          <w:szCs w:val="26"/>
        </w:rPr>
        <w:t xml:space="preserve"> </w:t>
      </w:r>
      <w:r w:rsidRPr="003F05A5">
        <w:rPr>
          <w:rFonts w:asciiTheme="minorHAnsi" w:hAnsiTheme="minorHAnsi"/>
          <w:bCs/>
          <w:sz w:val="26"/>
          <w:szCs w:val="26"/>
        </w:rPr>
        <w:t xml:space="preserve">Celkem bylo takto </w:t>
      </w:r>
      <w:r w:rsidRPr="003F05A5">
        <w:rPr>
          <w:rFonts w:asciiTheme="minorHAnsi" w:hAnsiTheme="minorHAnsi"/>
          <w:b/>
          <w:sz w:val="26"/>
          <w:szCs w:val="26"/>
        </w:rPr>
        <w:t>k 30. 6. 202</w:t>
      </w:r>
      <w:r>
        <w:rPr>
          <w:rFonts w:asciiTheme="minorHAnsi" w:hAnsiTheme="minorHAnsi"/>
          <w:b/>
          <w:sz w:val="26"/>
          <w:szCs w:val="26"/>
        </w:rPr>
        <w:t>2</w:t>
      </w:r>
      <w:r w:rsidRPr="003F05A5">
        <w:rPr>
          <w:rFonts w:asciiTheme="minorHAnsi" w:hAnsiTheme="minorHAnsi"/>
          <w:b/>
          <w:sz w:val="26"/>
          <w:szCs w:val="26"/>
        </w:rPr>
        <w:t xml:space="preserve"> poskytnuto </w:t>
      </w:r>
      <w:r>
        <w:rPr>
          <w:rFonts w:asciiTheme="minorHAnsi" w:hAnsiTheme="minorHAnsi"/>
          <w:b/>
          <w:sz w:val="26"/>
          <w:szCs w:val="26"/>
        </w:rPr>
        <w:t>75</w:t>
      </w:r>
      <w:r w:rsidRPr="003F05A5">
        <w:rPr>
          <w:rFonts w:asciiTheme="minorHAnsi" w:hAnsiTheme="minorHAnsi"/>
          <w:b/>
          <w:sz w:val="26"/>
          <w:szCs w:val="26"/>
        </w:rPr>
        <w:t xml:space="preserve">,8 mil. Kč </w:t>
      </w:r>
      <w:r w:rsidRPr="003F05A5">
        <w:rPr>
          <w:rFonts w:asciiTheme="minorHAnsi" w:hAnsiTheme="minorHAnsi"/>
          <w:bCs/>
          <w:sz w:val="26"/>
          <w:szCs w:val="26"/>
        </w:rPr>
        <w:t>(o </w:t>
      </w:r>
      <w:r>
        <w:rPr>
          <w:rFonts w:asciiTheme="minorHAnsi" w:hAnsiTheme="minorHAnsi"/>
          <w:bCs/>
          <w:sz w:val="26"/>
          <w:szCs w:val="26"/>
        </w:rPr>
        <w:t>11</w:t>
      </w:r>
      <w:r w:rsidRPr="003F05A5">
        <w:rPr>
          <w:rFonts w:asciiTheme="minorHAnsi" w:hAnsiTheme="minorHAnsi"/>
          <w:bCs/>
          <w:sz w:val="26"/>
          <w:szCs w:val="26"/>
        </w:rPr>
        <w:t>,</w:t>
      </w:r>
      <w:r>
        <w:rPr>
          <w:rFonts w:asciiTheme="minorHAnsi" w:hAnsiTheme="minorHAnsi"/>
          <w:bCs/>
          <w:sz w:val="26"/>
          <w:szCs w:val="26"/>
        </w:rPr>
        <w:t>0</w:t>
      </w:r>
      <w:r w:rsidRPr="003F05A5">
        <w:rPr>
          <w:rFonts w:asciiTheme="minorHAnsi" w:hAnsiTheme="minorHAnsi"/>
          <w:bCs/>
          <w:sz w:val="26"/>
          <w:szCs w:val="26"/>
        </w:rPr>
        <w:t> mil. Kč méně než k 30. 6. 202</w:t>
      </w:r>
      <w:r>
        <w:rPr>
          <w:rFonts w:asciiTheme="minorHAnsi" w:hAnsiTheme="minorHAnsi"/>
          <w:bCs/>
          <w:sz w:val="26"/>
          <w:szCs w:val="26"/>
        </w:rPr>
        <w:t>1</w:t>
      </w:r>
      <w:r w:rsidRPr="003F05A5">
        <w:rPr>
          <w:rFonts w:asciiTheme="minorHAnsi" w:hAnsiTheme="minorHAnsi"/>
          <w:bCs/>
          <w:sz w:val="26"/>
          <w:szCs w:val="26"/>
        </w:rPr>
        <w:t>), z toho nejvíce v</w:t>
      </w:r>
      <w:r>
        <w:rPr>
          <w:rFonts w:asciiTheme="minorHAnsi" w:hAnsiTheme="minorHAnsi"/>
          <w:bCs/>
          <w:sz w:val="26"/>
          <w:szCs w:val="26"/>
        </w:rPr>
        <w:t> Ústec</w:t>
      </w:r>
      <w:r w:rsidRPr="003F05A5">
        <w:rPr>
          <w:rFonts w:asciiTheme="minorHAnsi" w:hAnsiTheme="minorHAnsi"/>
          <w:bCs/>
          <w:sz w:val="26"/>
          <w:szCs w:val="26"/>
        </w:rPr>
        <w:t>kém kraji (2</w:t>
      </w:r>
      <w:r>
        <w:rPr>
          <w:rFonts w:asciiTheme="minorHAnsi" w:hAnsiTheme="minorHAnsi"/>
          <w:bCs/>
          <w:sz w:val="26"/>
          <w:szCs w:val="26"/>
        </w:rPr>
        <w:t>6</w:t>
      </w:r>
      <w:r w:rsidRPr="003F05A5">
        <w:rPr>
          <w:rFonts w:asciiTheme="minorHAnsi" w:hAnsiTheme="minorHAnsi"/>
          <w:bCs/>
          <w:sz w:val="26"/>
          <w:szCs w:val="26"/>
        </w:rPr>
        <w:t>,</w:t>
      </w:r>
      <w:r>
        <w:rPr>
          <w:rFonts w:asciiTheme="minorHAnsi" w:hAnsiTheme="minorHAnsi"/>
          <w:bCs/>
          <w:sz w:val="26"/>
          <w:szCs w:val="26"/>
        </w:rPr>
        <w:t>2</w:t>
      </w:r>
      <w:r w:rsidRPr="003F05A5">
        <w:rPr>
          <w:rFonts w:asciiTheme="minorHAnsi" w:hAnsiTheme="minorHAnsi"/>
          <w:bCs/>
          <w:sz w:val="26"/>
          <w:szCs w:val="26"/>
        </w:rPr>
        <w:t> mil. Kč)</w:t>
      </w:r>
      <w:r>
        <w:rPr>
          <w:rFonts w:asciiTheme="minorHAnsi" w:hAnsiTheme="minorHAnsi"/>
          <w:bCs/>
          <w:sz w:val="26"/>
          <w:szCs w:val="26"/>
        </w:rPr>
        <w:t xml:space="preserve">, </w:t>
      </w:r>
      <w:r w:rsidRPr="003F05A5">
        <w:rPr>
          <w:rFonts w:asciiTheme="minorHAnsi" w:hAnsiTheme="minorHAnsi"/>
          <w:bCs/>
          <w:sz w:val="26"/>
          <w:szCs w:val="26"/>
        </w:rPr>
        <w:t>v hl. m. Praze (</w:t>
      </w:r>
      <w:r w:rsidR="00FE26D1">
        <w:rPr>
          <w:rFonts w:asciiTheme="minorHAnsi" w:hAnsiTheme="minorHAnsi"/>
          <w:bCs/>
          <w:sz w:val="26"/>
          <w:szCs w:val="26"/>
        </w:rPr>
        <w:t>1</w:t>
      </w:r>
      <w:r w:rsidRPr="003F05A5">
        <w:rPr>
          <w:rFonts w:asciiTheme="minorHAnsi" w:hAnsiTheme="minorHAnsi"/>
          <w:bCs/>
          <w:sz w:val="26"/>
          <w:szCs w:val="26"/>
        </w:rPr>
        <w:t>5,9 mil. Kč), v Jihomoravském kraji (</w:t>
      </w:r>
      <w:r>
        <w:rPr>
          <w:rFonts w:asciiTheme="minorHAnsi" w:hAnsiTheme="minorHAnsi"/>
          <w:bCs/>
          <w:sz w:val="26"/>
          <w:szCs w:val="26"/>
        </w:rPr>
        <w:t>6</w:t>
      </w:r>
      <w:r w:rsidRPr="003F05A5">
        <w:rPr>
          <w:rFonts w:asciiTheme="minorHAnsi" w:hAnsiTheme="minorHAnsi"/>
          <w:bCs/>
          <w:sz w:val="26"/>
          <w:szCs w:val="26"/>
        </w:rPr>
        <w:t>,</w:t>
      </w:r>
      <w:r>
        <w:rPr>
          <w:rFonts w:asciiTheme="minorHAnsi" w:hAnsiTheme="minorHAnsi"/>
          <w:bCs/>
          <w:sz w:val="26"/>
          <w:szCs w:val="26"/>
        </w:rPr>
        <w:t>6</w:t>
      </w:r>
      <w:r w:rsidRPr="003F05A5">
        <w:rPr>
          <w:rFonts w:asciiTheme="minorHAnsi" w:hAnsiTheme="minorHAnsi"/>
          <w:bCs/>
          <w:sz w:val="26"/>
          <w:szCs w:val="26"/>
        </w:rPr>
        <w:t xml:space="preserve"> mil. Kč), </w:t>
      </w:r>
      <w:r>
        <w:rPr>
          <w:rFonts w:asciiTheme="minorHAnsi" w:hAnsiTheme="minorHAnsi"/>
          <w:bCs/>
          <w:sz w:val="26"/>
          <w:szCs w:val="26"/>
        </w:rPr>
        <w:t>v K</w:t>
      </w:r>
      <w:r w:rsidRPr="003F05A5">
        <w:rPr>
          <w:rFonts w:asciiTheme="minorHAnsi" w:hAnsiTheme="minorHAnsi"/>
          <w:bCs/>
          <w:sz w:val="26"/>
          <w:szCs w:val="26"/>
        </w:rPr>
        <w:t>raji</w:t>
      </w:r>
      <w:r>
        <w:rPr>
          <w:rFonts w:asciiTheme="minorHAnsi" w:hAnsiTheme="minorHAnsi"/>
          <w:bCs/>
          <w:sz w:val="26"/>
          <w:szCs w:val="26"/>
        </w:rPr>
        <w:t xml:space="preserve"> Vysočina</w:t>
      </w:r>
      <w:r w:rsidRPr="003F05A5">
        <w:rPr>
          <w:rFonts w:asciiTheme="minorHAnsi" w:hAnsiTheme="minorHAnsi"/>
          <w:bCs/>
          <w:sz w:val="26"/>
          <w:szCs w:val="26"/>
        </w:rPr>
        <w:t xml:space="preserve"> (5,</w:t>
      </w:r>
      <w:r>
        <w:rPr>
          <w:rFonts w:asciiTheme="minorHAnsi" w:hAnsiTheme="minorHAnsi"/>
          <w:bCs/>
          <w:sz w:val="26"/>
          <w:szCs w:val="26"/>
        </w:rPr>
        <w:t>8</w:t>
      </w:r>
      <w:r w:rsidRPr="003F05A5">
        <w:rPr>
          <w:rFonts w:asciiTheme="minorHAnsi" w:hAnsiTheme="minorHAnsi"/>
          <w:bCs/>
          <w:sz w:val="26"/>
          <w:szCs w:val="26"/>
        </w:rPr>
        <w:t> mil. Kč)</w:t>
      </w:r>
      <w:r>
        <w:rPr>
          <w:rFonts w:asciiTheme="minorHAnsi" w:hAnsiTheme="minorHAnsi"/>
          <w:bCs/>
          <w:sz w:val="26"/>
          <w:szCs w:val="26"/>
        </w:rPr>
        <w:t>,</w:t>
      </w:r>
      <w:r w:rsidRPr="003F05A5">
        <w:rPr>
          <w:rFonts w:asciiTheme="minorHAnsi" w:hAnsiTheme="minorHAnsi"/>
          <w:bCs/>
          <w:sz w:val="26"/>
          <w:szCs w:val="26"/>
        </w:rPr>
        <w:t xml:space="preserve"> v</w:t>
      </w:r>
      <w:r>
        <w:rPr>
          <w:rFonts w:asciiTheme="minorHAnsi" w:hAnsiTheme="minorHAnsi"/>
          <w:bCs/>
          <w:sz w:val="26"/>
          <w:szCs w:val="26"/>
        </w:rPr>
        <w:t> Královehradec</w:t>
      </w:r>
      <w:r w:rsidRPr="003F05A5">
        <w:rPr>
          <w:rFonts w:asciiTheme="minorHAnsi" w:hAnsiTheme="minorHAnsi"/>
          <w:bCs/>
          <w:sz w:val="26"/>
          <w:szCs w:val="26"/>
        </w:rPr>
        <w:t>kém kraji (</w:t>
      </w:r>
      <w:r>
        <w:rPr>
          <w:rFonts w:asciiTheme="minorHAnsi" w:hAnsiTheme="minorHAnsi"/>
          <w:bCs/>
          <w:sz w:val="26"/>
          <w:szCs w:val="26"/>
        </w:rPr>
        <w:t>5</w:t>
      </w:r>
      <w:r w:rsidRPr="003F05A5">
        <w:rPr>
          <w:rFonts w:asciiTheme="minorHAnsi" w:hAnsiTheme="minorHAnsi"/>
          <w:bCs/>
          <w:sz w:val="26"/>
          <w:szCs w:val="26"/>
        </w:rPr>
        <w:t>,</w:t>
      </w:r>
      <w:r>
        <w:rPr>
          <w:rFonts w:asciiTheme="minorHAnsi" w:hAnsiTheme="minorHAnsi"/>
          <w:bCs/>
          <w:sz w:val="26"/>
          <w:szCs w:val="26"/>
        </w:rPr>
        <w:t>6</w:t>
      </w:r>
      <w:r w:rsidRPr="003F05A5">
        <w:rPr>
          <w:rFonts w:asciiTheme="minorHAnsi" w:hAnsiTheme="minorHAnsi"/>
          <w:bCs/>
          <w:sz w:val="26"/>
          <w:szCs w:val="26"/>
        </w:rPr>
        <w:t> mil. Kč)</w:t>
      </w:r>
      <w:r>
        <w:rPr>
          <w:rFonts w:asciiTheme="minorHAnsi" w:hAnsiTheme="minorHAnsi"/>
          <w:bCs/>
          <w:sz w:val="26"/>
          <w:szCs w:val="26"/>
        </w:rPr>
        <w:t xml:space="preserve"> a </w:t>
      </w:r>
      <w:r w:rsidRPr="003F05A5">
        <w:rPr>
          <w:rFonts w:asciiTheme="minorHAnsi" w:hAnsiTheme="minorHAnsi"/>
          <w:bCs/>
          <w:sz w:val="26"/>
          <w:szCs w:val="26"/>
        </w:rPr>
        <w:t>v</w:t>
      </w:r>
      <w:r>
        <w:rPr>
          <w:rFonts w:asciiTheme="minorHAnsi" w:hAnsiTheme="minorHAnsi"/>
          <w:bCs/>
          <w:sz w:val="26"/>
          <w:szCs w:val="26"/>
        </w:rPr>
        <w:t>e Středočeském</w:t>
      </w:r>
      <w:r w:rsidRPr="003F05A5">
        <w:rPr>
          <w:rFonts w:asciiTheme="minorHAnsi" w:hAnsiTheme="minorHAnsi"/>
          <w:bCs/>
          <w:sz w:val="26"/>
          <w:szCs w:val="26"/>
        </w:rPr>
        <w:t xml:space="preserve"> kraji (</w:t>
      </w:r>
      <w:r>
        <w:rPr>
          <w:rFonts w:asciiTheme="minorHAnsi" w:hAnsiTheme="minorHAnsi"/>
          <w:bCs/>
          <w:sz w:val="26"/>
          <w:szCs w:val="26"/>
        </w:rPr>
        <w:t>5</w:t>
      </w:r>
      <w:r w:rsidRPr="003F05A5">
        <w:rPr>
          <w:rFonts w:asciiTheme="minorHAnsi" w:hAnsiTheme="minorHAnsi"/>
          <w:bCs/>
          <w:sz w:val="26"/>
          <w:szCs w:val="26"/>
        </w:rPr>
        <w:t>,</w:t>
      </w:r>
      <w:r>
        <w:rPr>
          <w:rFonts w:asciiTheme="minorHAnsi" w:hAnsiTheme="minorHAnsi"/>
          <w:bCs/>
          <w:sz w:val="26"/>
          <w:szCs w:val="26"/>
        </w:rPr>
        <w:t>5</w:t>
      </w:r>
      <w:r w:rsidRPr="003F05A5">
        <w:rPr>
          <w:rFonts w:asciiTheme="minorHAnsi" w:hAnsiTheme="minorHAnsi"/>
          <w:bCs/>
          <w:sz w:val="26"/>
          <w:szCs w:val="26"/>
        </w:rPr>
        <w:t> mil. Kč).</w:t>
      </w:r>
    </w:p>
    <w:p w14:paraId="3A757D99" w14:textId="7668262D" w:rsidR="00F07F6D" w:rsidRPr="0096191B" w:rsidRDefault="00F07F6D" w:rsidP="007D0A4A">
      <w:pPr>
        <w:spacing w:after="120" w:line="360" w:lineRule="auto"/>
        <w:jc w:val="both"/>
        <w:rPr>
          <w:rFonts w:asciiTheme="minorHAnsi" w:hAnsiTheme="minorHAnsi"/>
          <w:bCs/>
          <w:sz w:val="26"/>
          <w:szCs w:val="26"/>
        </w:rPr>
      </w:pPr>
      <w:r>
        <w:rPr>
          <w:rFonts w:asciiTheme="minorHAnsi" w:hAnsiTheme="minorHAnsi"/>
          <w:sz w:val="26"/>
          <w:szCs w:val="26"/>
        </w:rPr>
        <w:lastRenderedPageBreak/>
        <w:tab/>
      </w:r>
      <w:r w:rsidRPr="00725176">
        <w:rPr>
          <w:rFonts w:asciiTheme="minorHAnsi" w:hAnsiTheme="minorHAnsi"/>
          <w:sz w:val="26"/>
          <w:szCs w:val="26"/>
        </w:rPr>
        <w:t>M</w:t>
      </w:r>
      <w:r w:rsidRPr="00725176">
        <w:rPr>
          <w:rFonts w:asciiTheme="minorHAnsi" w:hAnsiTheme="minorHAnsi"/>
          <w:bCs/>
          <w:sz w:val="26"/>
          <w:szCs w:val="26"/>
        </w:rPr>
        <w:t xml:space="preserve">eziroční </w:t>
      </w:r>
      <w:r w:rsidRPr="00725176">
        <w:rPr>
          <w:rFonts w:asciiTheme="minorHAnsi" w:hAnsiTheme="minorHAnsi"/>
          <w:b/>
          <w:sz w:val="26"/>
          <w:szCs w:val="26"/>
        </w:rPr>
        <w:t xml:space="preserve">nárůst průměrného </w:t>
      </w:r>
      <w:r w:rsidRPr="00725176">
        <w:rPr>
          <w:rFonts w:asciiTheme="minorHAnsi" w:hAnsiTheme="minorHAnsi"/>
          <w:b/>
          <w:bCs/>
          <w:sz w:val="26"/>
          <w:szCs w:val="26"/>
        </w:rPr>
        <w:t>nominálního</w:t>
      </w:r>
      <w:r w:rsidRPr="00725176">
        <w:rPr>
          <w:rFonts w:asciiTheme="minorHAnsi" w:hAnsiTheme="minorHAnsi"/>
          <w:b/>
          <w:sz w:val="26"/>
          <w:szCs w:val="26"/>
        </w:rPr>
        <w:t xml:space="preserve"> platu </w:t>
      </w:r>
      <w:r w:rsidRPr="00725176">
        <w:rPr>
          <w:rFonts w:asciiTheme="minorHAnsi" w:hAnsiTheme="minorHAnsi"/>
          <w:b/>
          <w:bCs/>
          <w:sz w:val="26"/>
          <w:szCs w:val="26"/>
        </w:rPr>
        <w:t>v odvětvích tzv. veřejné služby a správy</w:t>
      </w:r>
      <w:r w:rsidRPr="00725176">
        <w:rPr>
          <w:rFonts w:asciiTheme="minorHAnsi" w:hAnsiTheme="minorHAnsi"/>
          <w:bCs/>
          <w:sz w:val="26"/>
          <w:szCs w:val="26"/>
        </w:rPr>
        <w:t xml:space="preserve"> </w:t>
      </w:r>
      <w:r w:rsidRPr="00725176">
        <w:rPr>
          <w:rFonts w:asciiTheme="minorHAnsi" w:hAnsiTheme="minorHAnsi"/>
          <w:sz w:val="26"/>
          <w:szCs w:val="26"/>
        </w:rPr>
        <w:t xml:space="preserve">byl </w:t>
      </w:r>
      <w:r w:rsidRPr="00725176">
        <w:rPr>
          <w:rFonts w:asciiTheme="minorHAnsi" w:hAnsiTheme="minorHAnsi"/>
          <w:b/>
          <w:bCs/>
          <w:sz w:val="26"/>
          <w:szCs w:val="26"/>
        </w:rPr>
        <w:t>v 1. pololetí</w:t>
      </w:r>
      <w:r w:rsidRPr="00725176">
        <w:rPr>
          <w:rFonts w:asciiTheme="minorHAnsi" w:hAnsiTheme="minorHAnsi"/>
          <w:sz w:val="26"/>
          <w:szCs w:val="26"/>
        </w:rPr>
        <w:t xml:space="preserve"> letošního roku </w:t>
      </w:r>
      <w:r w:rsidRPr="00725176">
        <w:rPr>
          <w:rFonts w:asciiTheme="minorHAnsi" w:hAnsiTheme="minorHAnsi"/>
          <w:b/>
          <w:bCs/>
          <w:sz w:val="26"/>
          <w:szCs w:val="26"/>
        </w:rPr>
        <w:t xml:space="preserve">zaznamenán </w:t>
      </w:r>
      <w:r w:rsidRPr="00725176">
        <w:rPr>
          <w:rFonts w:asciiTheme="minorHAnsi" w:hAnsiTheme="minorHAnsi"/>
          <w:b/>
          <w:sz w:val="26"/>
          <w:szCs w:val="26"/>
        </w:rPr>
        <w:t>ve všech odvětvích s výjimkou odvětví „zdravotní a sociální péče“.</w:t>
      </w:r>
      <w:r w:rsidRPr="00725176">
        <w:rPr>
          <w:rFonts w:asciiTheme="minorHAnsi" w:hAnsiTheme="minorHAnsi"/>
          <w:bCs/>
          <w:sz w:val="26"/>
          <w:szCs w:val="26"/>
        </w:rPr>
        <w:t xml:space="preserve"> V tomto odvětví</w:t>
      </w:r>
      <w:r w:rsidRPr="00725176">
        <w:rPr>
          <w:rFonts w:asciiTheme="minorHAnsi" w:hAnsiTheme="minorHAnsi"/>
          <w:b/>
          <w:sz w:val="26"/>
          <w:szCs w:val="26"/>
        </w:rPr>
        <w:t xml:space="preserve"> došlo k poklesu průměrného nominálního platu o 10,8 %</w:t>
      </w:r>
      <w:r w:rsidRPr="00725176">
        <w:rPr>
          <w:rFonts w:asciiTheme="minorHAnsi" w:hAnsiTheme="minorHAnsi"/>
          <w:bCs/>
          <w:sz w:val="26"/>
          <w:szCs w:val="26"/>
        </w:rPr>
        <w:t>, to však bylo</w:t>
      </w:r>
      <w:r w:rsidRPr="00986E57">
        <w:rPr>
          <w:rFonts w:asciiTheme="minorHAnsi" w:hAnsiTheme="minorHAnsi"/>
          <w:bCs/>
          <w:sz w:val="26"/>
          <w:szCs w:val="26"/>
        </w:rPr>
        <w:t xml:space="preserve"> způsobeno především vlivem vyplacených mimořádných „</w:t>
      </w:r>
      <w:proofErr w:type="spellStart"/>
      <w:r w:rsidRPr="00986E57">
        <w:rPr>
          <w:rFonts w:asciiTheme="minorHAnsi" w:hAnsiTheme="minorHAnsi"/>
          <w:bCs/>
          <w:sz w:val="26"/>
          <w:szCs w:val="26"/>
        </w:rPr>
        <w:t>covidových</w:t>
      </w:r>
      <w:proofErr w:type="spellEnd"/>
      <w:r w:rsidRPr="00986E57">
        <w:rPr>
          <w:rFonts w:asciiTheme="minorHAnsi" w:hAnsiTheme="minorHAnsi"/>
          <w:bCs/>
          <w:sz w:val="26"/>
          <w:szCs w:val="26"/>
        </w:rPr>
        <w:t xml:space="preserve">“ odměn v 1. pololetí loňského roku. </w:t>
      </w:r>
      <w:r w:rsidRPr="00986E57">
        <w:rPr>
          <w:rFonts w:asciiTheme="minorHAnsi" w:hAnsiTheme="minorHAnsi"/>
          <w:b/>
          <w:bCs/>
          <w:sz w:val="26"/>
          <w:szCs w:val="26"/>
        </w:rPr>
        <w:t>Nejnižší zvýšení</w:t>
      </w:r>
      <w:r w:rsidRPr="00986E57">
        <w:rPr>
          <w:rFonts w:asciiTheme="minorHAnsi" w:hAnsiTheme="minorHAnsi"/>
          <w:sz w:val="26"/>
          <w:szCs w:val="26"/>
        </w:rPr>
        <w:t xml:space="preserve"> </w:t>
      </w:r>
      <w:r w:rsidRPr="00986E57">
        <w:rPr>
          <w:rFonts w:asciiTheme="minorHAnsi" w:hAnsiTheme="minorHAnsi"/>
          <w:bCs/>
          <w:sz w:val="26"/>
          <w:szCs w:val="26"/>
        </w:rPr>
        <w:t xml:space="preserve">o 2,9 % </w:t>
      </w:r>
      <w:r w:rsidRPr="00986E57">
        <w:rPr>
          <w:rFonts w:asciiTheme="minorHAnsi" w:hAnsiTheme="minorHAnsi"/>
          <w:b/>
          <w:bCs/>
          <w:sz w:val="26"/>
          <w:szCs w:val="26"/>
        </w:rPr>
        <w:t>vykázalo</w:t>
      </w:r>
      <w:r w:rsidRPr="00986E57">
        <w:rPr>
          <w:rFonts w:asciiTheme="minorHAnsi" w:hAnsiTheme="minorHAnsi"/>
          <w:bCs/>
          <w:sz w:val="26"/>
          <w:szCs w:val="26"/>
        </w:rPr>
        <w:t xml:space="preserve"> odvětví </w:t>
      </w:r>
      <w:r w:rsidRPr="00986E57">
        <w:rPr>
          <w:rFonts w:asciiTheme="minorHAnsi" w:hAnsiTheme="minorHAnsi"/>
          <w:b/>
          <w:bCs/>
          <w:sz w:val="26"/>
          <w:szCs w:val="26"/>
        </w:rPr>
        <w:t>„veřejná správa a obrana, povinné sociální zabezpečení“.</w:t>
      </w:r>
      <w:r w:rsidRPr="00986E57">
        <w:rPr>
          <w:rFonts w:asciiTheme="minorHAnsi" w:hAnsiTheme="minorHAnsi"/>
          <w:bCs/>
          <w:sz w:val="26"/>
          <w:szCs w:val="26"/>
        </w:rPr>
        <w:t xml:space="preserve"> V odvětví </w:t>
      </w:r>
      <w:r w:rsidRPr="00986E57">
        <w:rPr>
          <w:rFonts w:asciiTheme="minorHAnsi" w:hAnsiTheme="minorHAnsi"/>
          <w:b/>
          <w:bCs/>
          <w:sz w:val="26"/>
          <w:szCs w:val="26"/>
        </w:rPr>
        <w:t>„vzdělávání“</w:t>
      </w:r>
      <w:r w:rsidRPr="00986E57">
        <w:rPr>
          <w:rFonts w:asciiTheme="minorHAnsi" w:hAnsiTheme="minorHAnsi"/>
          <w:bCs/>
          <w:sz w:val="26"/>
          <w:szCs w:val="26"/>
        </w:rPr>
        <w:t xml:space="preserve"> došlo k </w:t>
      </w:r>
      <w:r w:rsidRPr="00986E57">
        <w:rPr>
          <w:rFonts w:asciiTheme="minorHAnsi" w:hAnsiTheme="minorHAnsi"/>
          <w:b/>
          <w:sz w:val="26"/>
          <w:szCs w:val="26"/>
        </w:rPr>
        <w:t>nárůstu průměrného platu v souhrnu o 3,1 %.</w:t>
      </w:r>
      <w:r w:rsidRPr="00986E57">
        <w:rPr>
          <w:rFonts w:asciiTheme="minorHAnsi" w:hAnsiTheme="minorHAnsi"/>
          <w:bCs/>
          <w:sz w:val="26"/>
          <w:szCs w:val="26"/>
        </w:rPr>
        <w:t xml:space="preserve"> Zatímco ve školách a školských zařízeních, jejichž zřizovatelem je kraj nebo obec, vzrostl průměrný plat o 2,9 %, ve státem zřizovaných školských zařízeních se průměrný plat zvýšil o 1,4 p. b. více, tj. o 4,3 %. </w:t>
      </w:r>
      <w:r w:rsidRPr="0096191B">
        <w:rPr>
          <w:rFonts w:asciiTheme="minorHAnsi" w:hAnsiTheme="minorHAnsi"/>
          <w:b/>
          <w:sz w:val="26"/>
          <w:szCs w:val="26"/>
        </w:rPr>
        <w:t>K nejintenzivnějšímu zvýšení</w:t>
      </w:r>
      <w:r w:rsidRPr="0096191B">
        <w:rPr>
          <w:rFonts w:asciiTheme="minorHAnsi" w:hAnsiTheme="minorHAnsi"/>
          <w:sz w:val="26"/>
          <w:szCs w:val="26"/>
        </w:rPr>
        <w:t xml:space="preserve"> průměrného platu</w:t>
      </w:r>
      <w:r w:rsidRPr="0096191B">
        <w:rPr>
          <w:rFonts w:asciiTheme="minorHAnsi" w:hAnsiTheme="minorHAnsi"/>
          <w:bCs/>
          <w:sz w:val="26"/>
          <w:szCs w:val="26"/>
        </w:rPr>
        <w:t xml:space="preserve"> o 10,3 %</w:t>
      </w:r>
      <w:r w:rsidRPr="0096191B">
        <w:rPr>
          <w:rFonts w:asciiTheme="minorHAnsi" w:hAnsiTheme="minorHAnsi"/>
          <w:sz w:val="26"/>
          <w:szCs w:val="26"/>
        </w:rPr>
        <w:t xml:space="preserve"> </w:t>
      </w:r>
      <w:r w:rsidRPr="0096191B">
        <w:rPr>
          <w:rFonts w:asciiTheme="minorHAnsi" w:hAnsiTheme="minorHAnsi"/>
          <w:b/>
          <w:sz w:val="26"/>
          <w:szCs w:val="26"/>
        </w:rPr>
        <w:t>došlo</w:t>
      </w:r>
      <w:r w:rsidRPr="0096191B">
        <w:rPr>
          <w:rFonts w:asciiTheme="minorHAnsi" w:hAnsiTheme="minorHAnsi"/>
          <w:sz w:val="26"/>
          <w:szCs w:val="26"/>
        </w:rPr>
        <w:t xml:space="preserve"> v odvětví</w:t>
      </w:r>
      <w:r w:rsidRPr="0096191B">
        <w:rPr>
          <w:rFonts w:asciiTheme="minorHAnsi" w:hAnsiTheme="minorHAnsi"/>
          <w:bCs/>
          <w:sz w:val="26"/>
          <w:szCs w:val="26"/>
        </w:rPr>
        <w:t xml:space="preserve"> </w:t>
      </w:r>
      <w:r w:rsidRPr="0096191B">
        <w:rPr>
          <w:rFonts w:asciiTheme="minorHAnsi" w:hAnsiTheme="minorHAnsi"/>
          <w:b/>
          <w:sz w:val="26"/>
          <w:szCs w:val="26"/>
        </w:rPr>
        <w:t>„kulturní, zábavní a sportovní činnosti“</w:t>
      </w:r>
      <w:r w:rsidRPr="0096191B">
        <w:rPr>
          <w:rFonts w:asciiTheme="minorHAnsi" w:hAnsiTheme="minorHAnsi"/>
          <w:bCs/>
          <w:sz w:val="26"/>
          <w:szCs w:val="26"/>
        </w:rPr>
        <w:t>, ale ani v tomto odvětví nominální růst nepokryl míru inflace – podrobněji viz tabulku č. 4 v příloze.</w:t>
      </w:r>
    </w:p>
    <w:p w14:paraId="486029AD" w14:textId="77777777" w:rsidR="00F07F6D" w:rsidRPr="008E1C8D" w:rsidRDefault="00F07F6D" w:rsidP="007D0A4A">
      <w:pPr>
        <w:spacing w:line="360" w:lineRule="auto"/>
        <w:jc w:val="both"/>
        <w:rPr>
          <w:rFonts w:asciiTheme="minorHAnsi" w:hAnsiTheme="minorHAnsi"/>
          <w:b/>
          <w:sz w:val="26"/>
          <w:szCs w:val="26"/>
        </w:rPr>
      </w:pPr>
      <w:r w:rsidRPr="008E1C8D">
        <w:rPr>
          <w:rFonts w:asciiTheme="minorHAnsi" w:hAnsiTheme="minorHAnsi"/>
          <w:bCs/>
          <w:sz w:val="26"/>
          <w:szCs w:val="26"/>
        </w:rPr>
        <w:tab/>
      </w:r>
      <w:r w:rsidRPr="008E1C8D">
        <w:rPr>
          <w:rFonts w:asciiTheme="minorHAnsi" w:hAnsiTheme="minorHAnsi"/>
          <w:b/>
          <w:sz w:val="26"/>
          <w:szCs w:val="26"/>
        </w:rPr>
        <w:t>Na nárůst</w:t>
      </w:r>
      <w:r w:rsidRPr="00E27284">
        <w:rPr>
          <w:rFonts w:asciiTheme="minorHAnsi" w:hAnsiTheme="minorHAnsi"/>
          <w:sz w:val="26"/>
          <w:szCs w:val="26"/>
        </w:rPr>
        <w:t xml:space="preserve"> průměrné mzdy </w:t>
      </w:r>
      <w:r w:rsidRPr="008E1C8D">
        <w:rPr>
          <w:rFonts w:asciiTheme="minorHAnsi" w:hAnsiTheme="minorHAnsi"/>
          <w:b/>
          <w:sz w:val="26"/>
          <w:szCs w:val="26"/>
        </w:rPr>
        <w:t>v soukromé sféře</w:t>
      </w:r>
      <w:r w:rsidRPr="00E27284">
        <w:rPr>
          <w:rFonts w:asciiTheme="minorHAnsi" w:hAnsiTheme="minorHAnsi"/>
          <w:bCs/>
          <w:sz w:val="26"/>
          <w:szCs w:val="26"/>
        </w:rPr>
        <w:t xml:space="preserve"> </w:t>
      </w:r>
      <w:r w:rsidRPr="008E1C8D">
        <w:rPr>
          <w:rFonts w:asciiTheme="minorHAnsi" w:hAnsiTheme="minorHAnsi"/>
          <w:sz w:val="26"/>
          <w:szCs w:val="26"/>
        </w:rPr>
        <w:t xml:space="preserve">působily </w:t>
      </w:r>
      <w:r w:rsidRPr="00E27284">
        <w:rPr>
          <w:rFonts w:asciiTheme="minorHAnsi" w:hAnsiTheme="minorHAnsi"/>
          <w:b/>
          <w:bCs/>
          <w:sz w:val="26"/>
          <w:szCs w:val="26"/>
        </w:rPr>
        <w:t>v 1.</w:t>
      </w:r>
      <w:r>
        <w:rPr>
          <w:rFonts w:asciiTheme="minorHAnsi" w:hAnsiTheme="minorHAnsi"/>
          <w:b/>
          <w:bCs/>
          <w:sz w:val="26"/>
          <w:szCs w:val="26"/>
        </w:rPr>
        <w:t> </w:t>
      </w:r>
      <w:r w:rsidRPr="00E27284">
        <w:rPr>
          <w:rFonts w:asciiTheme="minorHAnsi" w:hAnsiTheme="minorHAnsi"/>
          <w:b/>
          <w:bCs/>
          <w:sz w:val="26"/>
          <w:szCs w:val="26"/>
        </w:rPr>
        <w:t>pololetí</w:t>
      </w:r>
      <w:r w:rsidRPr="008E1C8D">
        <w:rPr>
          <w:rFonts w:asciiTheme="minorHAnsi" w:hAnsiTheme="minorHAnsi"/>
          <w:sz w:val="26"/>
          <w:szCs w:val="26"/>
        </w:rPr>
        <w:t xml:space="preserve"> 20</w:t>
      </w:r>
      <w:r>
        <w:rPr>
          <w:rFonts w:asciiTheme="minorHAnsi" w:hAnsiTheme="minorHAnsi"/>
          <w:sz w:val="26"/>
          <w:szCs w:val="26"/>
        </w:rPr>
        <w:t>22</w:t>
      </w:r>
      <w:r w:rsidRPr="008E1C8D">
        <w:rPr>
          <w:rFonts w:asciiTheme="minorHAnsi" w:hAnsiTheme="minorHAnsi"/>
          <w:sz w:val="26"/>
          <w:szCs w:val="26"/>
        </w:rPr>
        <w:t xml:space="preserve"> </w:t>
      </w:r>
      <w:r w:rsidRPr="008E1C8D">
        <w:rPr>
          <w:rFonts w:asciiTheme="minorHAnsi" w:hAnsiTheme="minorHAnsi"/>
          <w:bCs/>
          <w:sz w:val="26"/>
          <w:szCs w:val="26"/>
        </w:rPr>
        <w:t>především</w:t>
      </w:r>
      <w:r w:rsidRPr="00E27284">
        <w:rPr>
          <w:rFonts w:asciiTheme="minorHAnsi" w:hAnsiTheme="minorHAnsi"/>
          <w:bCs/>
          <w:sz w:val="26"/>
          <w:szCs w:val="26"/>
        </w:rPr>
        <w:t xml:space="preserve"> </w:t>
      </w:r>
      <w:r w:rsidRPr="008E1C8D">
        <w:rPr>
          <w:rFonts w:asciiTheme="minorHAnsi" w:hAnsiTheme="minorHAnsi"/>
          <w:b/>
          <w:sz w:val="26"/>
          <w:szCs w:val="26"/>
        </w:rPr>
        <w:t>tyto</w:t>
      </w:r>
      <w:r w:rsidRPr="00E27284">
        <w:rPr>
          <w:rFonts w:asciiTheme="minorHAnsi" w:hAnsiTheme="minorHAnsi"/>
          <w:bCs/>
          <w:sz w:val="26"/>
          <w:szCs w:val="26"/>
        </w:rPr>
        <w:t xml:space="preserve"> základní </w:t>
      </w:r>
      <w:r w:rsidRPr="008E1C8D">
        <w:rPr>
          <w:rFonts w:asciiTheme="minorHAnsi" w:hAnsiTheme="minorHAnsi"/>
          <w:b/>
          <w:sz w:val="26"/>
          <w:szCs w:val="26"/>
        </w:rPr>
        <w:t>faktory:</w:t>
      </w:r>
    </w:p>
    <w:p w14:paraId="2C2BBC8C" w14:textId="77777777" w:rsidR="00F07F6D" w:rsidRPr="00E70C62" w:rsidRDefault="00F07F6D" w:rsidP="007D0A4A">
      <w:pPr>
        <w:numPr>
          <w:ilvl w:val="0"/>
          <w:numId w:val="39"/>
        </w:numPr>
        <w:spacing w:line="360" w:lineRule="auto"/>
        <w:jc w:val="both"/>
        <w:rPr>
          <w:rFonts w:asciiTheme="minorHAnsi" w:hAnsiTheme="minorHAnsi"/>
          <w:sz w:val="26"/>
          <w:szCs w:val="26"/>
        </w:rPr>
      </w:pPr>
      <w:r w:rsidRPr="00E70C62">
        <w:rPr>
          <w:rFonts w:asciiTheme="minorHAnsi" w:hAnsiTheme="minorHAnsi"/>
          <w:sz w:val="26"/>
          <w:szCs w:val="26"/>
        </w:rPr>
        <w:t xml:space="preserve">protisměrně působící na jedné straně </w:t>
      </w:r>
      <w:r w:rsidRPr="00E70C62">
        <w:rPr>
          <w:rFonts w:asciiTheme="minorHAnsi" w:hAnsiTheme="minorHAnsi"/>
          <w:b/>
          <w:bCs/>
          <w:sz w:val="26"/>
          <w:szCs w:val="26"/>
        </w:rPr>
        <w:t>poptávka po vhodné pracovní síle</w:t>
      </w:r>
      <w:r>
        <w:rPr>
          <w:rFonts w:asciiTheme="minorHAnsi" w:hAnsiTheme="minorHAnsi"/>
          <w:b/>
          <w:bCs/>
          <w:sz w:val="26"/>
          <w:szCs w:val="26"/>
        </w:rPr>
        <w:t xml:space="preserve"> a snaha alespoň o částečnou kompenzaci zrychlující inflace</w:t>
      </w:r>
      <w:r w:rsidRPr="00E70C62">
        <w:rPr>
          <w:rFonts w:asciiTheme="minorHAnsi" w:hAnsiTheme="minorHAnsi"/>
          <w:bCs/>
          <w:sz w:val="26"/>
          <w:szCs w:val="26"/>
        </w:rPr>
        <w:t xml:space="preserve">, na straně </w:t>
      </w:r>
      <w:proofErr w:type="gramStart"/>
      <w:r w:rsidRPr="00E70C62">
        <w:rPr>
          <w:rFonts w:asciiTheme="minorHAnsi" w:hAnsiTheme="minorHAnsi"/>
          <w:bCs/>
          <w:sz w:val="26"/>
          <w:szCs w:val="26"/>
        </w:rPr>
        <w:t xml:space="preserve">druhé </w:t>
      </w:r>
      <w:r w:rsidRPr="00E70C62">
        <w:rPr>
          <w:rFonts w:asciiTheme="minorHAnsi" w:hAnsiTheme="minorHAnsi"/>
          <w:b/>
          <w:sz w:val="26"/>
          <w:szCs w:val="26"/>
        </w:rPr>
        <w:t>opatrná mzdová politika zaměstnavatelů</w:t>
      </w:r>
      <w:proofErr w:type="gramEnd"/>
      <w:r w:rsidRPr="00E70C62">
        <w:rPr>
          <w:rFonts w:asciiTheme="minorHAnsi" w:hAnsiTheme="minorHAnsi"/>
          <w:b/>
          <w:sz w:val="26"/>
          <w:szCs w:val="26"/>
        </w:rPr>
        <w:t xml:space="preserve"> při zvyšování mezd zaměstnancům</w:t>
      </w:r>
      <w:r w:rsidRPr="00E70C62">
        <w:rPr>
          <w:rFonts w:asciiTheme="minorHAnsi" w:hAnsiTheme="minorHAnsi"/>
          <w:bCs/>
          <w:sz w:val="26"/>
          <w:szCs w:val="26"/>
        </w:rPr>
        <w:t>,</w:t>
      </w:r>
    </w:p>
    <w:p w14:paraId="24ED1383" w14:textId="77777777" w:rsidR="00F07F6D" w:rsidRPr="00706D9D" w:rsidRDefault="00F07F6D" w:rsidP="004A1968">
      <w:pPr>
        <w:numPr>
          <w:ilvl w:val="0"/>
          <w:numId w:val="39"/>
        </w:numPr>
        <w:spacing w:line="360" w:lineRule="auto"/>
        <w:ind w:left="357" w:hanging="357"/>
        <w:jc w:val="both"/>
        <w:rPr>
          <w:rFonts w:asciiTheme="minorHAnsi" w:hAnsiTheme="minorHAnsi"/>
          <w:sz w:val="26"/>
          <w:szCs w:val="26"/>
        </w:rPr>
      </w:pPr>
      <w:r w:rsidRPr="00E70C62">
        <w:rPr>
          <w:rFonts w:asciiTheme="minorHAnsi" w:hAnsiTheme="minorHAnsi"/>
          <w:sz w:val="26"/>
          <w:szCs w:val="26"/>
        </w:rPr>
        <w:t xml:space="preserve">pokračující nárůst zaměstnanosti a další </w:t>
      </w:r>
      <w:r w:rsidRPr="00E70C62">
        <w:rPr>
          <w:rFonts w:asciiTheme="minorHAnsi" w:hAnsiTheme="minorHAnsi"/>
          <w:b/>
          <w:sz w:val="26"/>
          <w:szCs w:val="26"/>
        </w:rPr>
        <w:t>pokles nezaměstnanosti,</w:t>
      </w:r>
      <w:r w:rsidRPr="00E70C62">
        <w:rPr>
          <w:rFonts w:asciiTheme="minorHAnsi" w:hAnsiTheme="minorHAnsi"/>
          <w:sz w:val="26"/>
          <w:szCs w:val="26"/>
        </w:rPr>
        <w:t xml:space="preserve"> podíl </w:t>
      </w:r>
      <w:r w:rsidRPr="00706D9D">
        <w:rPr>
          <w:rFonts w:asciiTheme="minorHAnsi" w:hAnsiTheme="minorHAnsi"/>
          <w:sz w:val="26"/>
          <w:szCs w:val="26"/>
        </w:rPr>
        <w:t>nezaměstnaných osob</w:t>
      </w:r>
      <w:r w:rsidRPr="00E27284">
        <w:rPr>
          <w:rFonts w:asciiTheme="minorHAnsi" w:hAnsiTheme="minorHAnsi"/>
          <w:sz w:val="26"/>
          <w:szCs w:val="26"/>
        </w:rPr>
        <w:t xml:space="preserve"> </w:t>
      </w:r>
      <w:r w:rsidRPr="00706D9D">
        <w:rPr>
          <w:rFonts w:asciiTheme="minorHAnsi" w:hAnsiTheme="minorHAnsi"/>
          <w:b/>
          <w:bCs/>
          <w:sz w:val="26"/>
          <w:szCs w:val="26"/>
        </w:rPr>
        <w:t>činil 3,</w:t>
      </w:r>
      <w:r>
        <w:rPr>
          <w:rFonts w:asciiTheme="minorHAnsi" w:hAnsiTheme="minorHAnsi"/>
          <w:b/>
          <w:bCs/>
          <w:sz w:val="26"/>
          <w:szCs w:val="26"/>
        </w:rPr>
        <w:t>1</w:t>
      </w:r>
      <w:r w:rsidRPr="00706D9D">
        <w:rPr>
          <w:rFonts w:asciiTheme="minorHAnsi" w:hAnsiTheme="minorHAnsi"/>
          <w:b/>
          <w:bCs/>
          <w:sz w:val="26"/>
          <w:szCs w:val="26"/>
        </w:rPr>
        <w:t> % k 30. červnu 202</w:t>
      </w:r>
      <w:r>
        <w:rPr>
          <w:rFonts w:asciiTheme="minorHAnsi" w:hAnsiTheme="minorHAnsi"/>
          <w:b/>
          <w:bCs/>
          <w:sz w:val="26"/>
          <w:szCs w:val="26"/>
        </w:rPr>
        <w:t>2</w:t>
      </w:r>
      <w:r w:rsidRPr="00E27284">
        <w:rPr>
          <w:rFonts w:asciiTheme="minorHAnsi" w:hAnsiTheme="minorHAnsi"/>
          <w:sz w:val="26"/>
          <w:szCs w:val="26"/>
        </w:rPr>
        <w:t xml:space="preserve"> </w:t>
      </w:r>
      <w:r w:rsidRPr="00706D9D">
        <w:rPr>
          <w:rFonts w:asciiTheme="minorHAnsi" w:hAnsiTheme="minorHAnsi"/>
          <w:bCs/>
          <w:sz w:val="26"/>
          <w:szCs w:val="26"/>
        </w:rPr>
        <w:t>(</w:t>
      </w:r>
      <w:r w:rsidRPr="00242150">
        <w:rPr>
          <w:rFonts w:asciiTheme="minorHAnsi" w:hAnsiTheme="minorHAnsi"/>
          <w:bCs/>
          <w:sz w:val="26"/>
          <w:szCs w:val="26"/>
        </w:rPr>
        <w:t>k</w:t>
      </w:r>
      <w:r>
        <w:rPr>
          <w:rFonts w:asciiTheme="minorHAnsi" w:hAnsiTheme="minorHAnsi"/>
          <w:bCs/>
          <w:sz w:val="26"/>
          <w:szCs w:val="26"/>
        </w:rPr>
        <w:t> </w:t>
      </w:r>
      <w:r w:rsidRPr="00242150">
        <w:rPr>
          <w:rFonts w:asciiTheme="minorHAnsi" w:hAnsiTheme="minorHAnsi"/>
          <w:bCs/>
          <w:sz w:val="26"/>
          <w:szCs w:val="26"/>
        </w:rPr>
        <w:t>30. červnu 20</w:t>
      </w:r>
      <w:r>
        <w:rPr>
          <w:rFonts w:asciiTheme="minorHAnsi" w:hAnsiTheme="minorHAnsi"/>
          <w:bCs/>
          <w:sz w:val="26"/>
          <w:szCs w:val="26"/>
        </w:rPr>
        <w:t>21</w:t>
      </w:r>
      <w:r w:rsidRPr="00242150">
        <w:rPr>
          <w:rFonts w:asciiTheme="minorHAnsi" w:hAnsiTheme="minorHAnsi"/>
          <w:bCs/>
          <w:sz w:val="26"/>
          <w:szCs w:val="26"/>
        </w:rPr>
        <w:t xml:space="preserve"> byl o 0,</w:t>
      </w:r>
      <w:r>
        <w:rPr>
          <w:rFonts w:asciiTheme="minorHAnsi" w:hAnsiTheme="minorHAnsi"/>
          <w:bCs/>
          <w:sz w:val="26"/>
          <w:szCs w:val="26"/>
        </w:rPr>
        <w:t>6</w:t>
      </w:r>
      <w:r w:rsidRPr="00242150">
        <w:rPr>
          <w:rFonts w:asciiTheme="minorHAnsi" w:hAnsiTheme="minorHAnsi"/>
          <w:bCs/>
          <w:sz w:val="26"/>
          <w:szCs w:val="26"/>
        </w:rPr>
        <w:t xml:space="preserve"> p. b. vyšší, tj. </w:t>
      </w:r>
      <w:r w:rsidRPr="00706D9D">
        <w:rPr>
          <w:rFonts w:asciiTheme="minorHAnsi" w:hAnsiTheme="minorHAnsi"/>
          <w:bCs/>
          <w:sz w:val="26"/>
          <w:szCs w:val="26"/>
        </w:rPr>
        <w:t xml:space="preserve">hodnota tohoto ukazatele </w:t>
      </w:r>
      <w:r>
        <w:rPr>
          <w:rFonts w:asciiTheme="minorHAnsi" w:hAnsiTheme="minorHAnsi"/>
          <w:bCs/>
          <w:sz w:val="26"/>
          <w:szCs w:val="26"/>
        </w:rPr>
        <w:t xml:space="preserve">činila </w:t>
      </w:r>
      <w:r w:rsidRPr="00706D9D">
        <w:rPr>
          <w:rFonts w:asciiTheme="minorHAnsi" w:hAnsiTheme="minorHAnsi"/>
          <w:bCs/>
          <w:sz w:val="26"/>
          <w:szCs w:val="26"/>
        </w:rPr>
        <w:t>3,7 %).</w:t>
      </w:r>
    </w:p>
    <w:p w14:paraId="36125B76" w14:textId="77777777" w:rsidR="00F07F6D" w:rsidRPr="008E1C8D" w:rsidRDefault="00F07F6D" w:rsidP="007D0A4A">
      <w:pPr>
        <w:spacing w:after="120"/>
        <w:ind w:left="709"/>
        <w:jc w:val="both"/>
        <w:rPr>
          <w:rFonts w:asciiTheme="minorHAnsi" w:hAnsiTheme="minorHAnsi"/>
          <w:bCs/>
          <w:iCs/>
          <w:sz w:val="26"/>
          <w:szCs w:val="26"/>
        </w:rPr>
      </w:pPr>
      <w:r w:rsidRPr="00706D9D">
        <w:rPr>
          <w:rFonts w:asciiTheme="minorHAnsi" w:hAnsiTheme="minorHAnsi"/>
          <w:sz w:val="26"/>
          <w:szCs w:val="26"/>
        </w:rPr>
        <w:t xml:space="preserve">Ze statistik o </w:t>
      </w:r>
      <w:r w:rsidRPr="00706D9D">
        <w:rPr>
          <w:rFonts w:asciiTheme="minorHAnsi" w:hAnsiTheme="minorHAnsi"/>
          <w:b/>
          <w:bCs/>
          <w:sz w:val="26"/>
          <w:szCs w:val="26"/>
        </w:rPr>
        <w:t>průměrném evidenčním počtu zaměstnanců</w:t>
      </w:r>
      <w:r w:rsidRPr="00706D9D">
        <w:rPr>
          <w:rFonts w:asciiTheme="minorHAnsi" w:hAnsiTheme="minorHAnsi"/>
          <w:bCs/>
          <w:sz w:val="26"/>
          <w:szCs w:val="26"/>
        </w:rPr>
        <w:t xml:space="preserve"> na přepočtené počty </w:t>
      </w:r>
      <w:r w:rsidRPr="008E1C8D">
        <w:rPr>
          <w:rFonts w:asciiTheme="minorHAnsi" w:hAnsiTheme="minorHAnsi"/>
          <w:bCs/>
          <w:sz w:val="26"/>
          <w:szCs w:val="26"/>
        </w:rPr>
        <w:t>(</w:t>
      </w:r>
      <w:r>
        <w:rPr>
          <w:rFonts w:asciiTheme="minorHAnsi" w:hAnsiTheme="minorHAnsi"/>
          <w:bCs/>
          <w:sz w:val="26"/>
          <w:szCs w:val="26"/>
        </w:rPr>
        <w:t>po</w:t>
      </w:r>
      <w:r w:rsidRPr="008E1C8D">
        <w:rPr>
          <w:rFonts w:asciiTheme="minorHAnsi" w:hAnsiTheme="minorHAnsi"/>
          <w:bCs/>
          <w:sz w:val="26"/>
          <w:szCs w:val="26"/>
        </w:rPr>
        <w:t>dle</w:t>
      </w:r>
      <w:r>
        <w:rPr>
          <w:rFonts w:asciiTheme="minorHAnsi" w:hAnsiTheme="minorHAnsi"/>
          <w:bCs/>
          <w:sz w:val="26"/>
          <w:szCs w:val="26"/>
        </w:rPr>
        <w:t xml:space="preserve"> </w:t>
      </w:r>
      <w:r w:rsidRPr="008E1C8D">
        <w:rPr>
          <w:rFonts w:asciiTheme="minorHAnsi" w:hAnsiTheme="minorHAnsi"/>
          <w:bCs/>
          <w:sz w:val="26"/>
          <w:szCs w:val="26"/>
        </w:rPr>
        <w:t>Podnikové statistiky o mzdách a</w:t>
      </w:r>
      <w:r>
        <w:rPr>
          <w:rFonts w:asciiTheme="minorHAnsi" w:hAnsiTheme="minorHAnsi"/>
          <w:bCs/>
          <w:sz w:val="26"/>
          <w:szCs w:val="26"/>
        </w:rPr>
        <w:t xml:space="preserve"> </w:t>
      </w:r>
      <w:r w:rsidRPr="008E1C8D">
        <w:rPr>
          <w:rFonts w:asciiTheme="minorHAnsi" w:hAnsiTheme="minorHAnsi"/>
          <w:bCs/>
          <w:sz w:val="26"/>
          <w:szCs w:val="26"/>
        </w:rPr>
        <w:t xml:space="preserve">zaměstnancích, jedná se o druhý nejvýznamnější zdroj dat, který se však </w:t>
      </w:r>
      <w:proofErr w:type="gramStart"/>
      <w:r w:rsidRPr="008E1C8D">
        <w:rPr>
          <w:rFonts w:asciiTheme="minorHAnsi" w:hAnsiTheme="minorHAnsi"/>
          <w:bCs/>
          <w:sz w:val="26"/>
          <w:szCs w:val="26"/>
        </w:rPr>
        <w:t>liší</w:t>
      </w:r>
      <w:proofErr w:type="gramEnd"/>
      <w:r w:rsidRPr="008E1C8D">
        <w:rPr>
          <w:rFonts w:asciiTheme="minorHAnsi" w:hAnsiTheme="minorHAnsi"/>
          <w:bCs/>
          <w:sz w:val="26"/>
          <w:szCs w:val="26"/>
        </w:rPr>
        <w:t xml:space="preserve"> od Výběrových šetření pracovních sil)</w:t>
      </w:r>
      <w:r w:rsidRPr="00FC1DCA">
        <w:rPr>
          <w:rFonts w:cs="Arial"/>
          <w:bCs/>
          <w:iCs/>
          <w:szCs w:val="24"/>
        </w:rPr>
        <w:t xml:space="preserve"> </w:t>
      </w:r>
      <w:r w:rsidRPr="00FC1DCA">
        <w:rPr>
          <w:rFonts w:asciiTheme="minorHAnsi" w:hAnsiTheme="minorHAnsi"/>
          <w:bCs/>
          <w:iCs/>
          <w:sz w:val="26"/>
          <w:szCs w:val="26"/>
        </w:rPr>
        <w:t xml:space="preserve">je patrný </w:t>
      </w:r>
      <w:r>
        <w:rPr>
          <w:rFonts w:asciiTheme="minorHAnsi" w:hAnsiTheme="minorHAnsi"/>
          <w:bCs/>
          <w:iCs/>
          <w:sz w:val="26"/>
          <w:szCs w:val="26"/>
        </w:rPr>
        <w:t xml:space="preserve">celkový </w:t>
      </w:r>
      <w:r w:rsidRPr="00FC1DCA">
        <w:rPr>
          <w:rFonts w:asciiTheme="minorHAnsi" w:hAnsiTheme="minorHAnsi"/>
          <w:bCs/>
          <w:iCs/>
          <w:sz w:val="26"/>
          <w:szCs w:val="26"/>
        </w:rPr>
        <w:t>meziroční nárůst zaměstnanců (o 43,6 tis.). Největší a nejvýznamnější nárůst zaměstnanců byl vykázán v odvětví „velkoobchod a maloobchod; opravy a údržba motorových vozidel“ (o 13,2 tis., tj. o 2,7 %), dále pak v odvětví „vzdělávání“ (o 9,6 tis.), v odvětví „zdravotní a</w:t>
      </w:r>
      <w:r>
        <w:rPr>
          <w:rFonts w:asciiTheme="minorHAnsi" w:hAnsiTheme="minorHAnsi"/>
          <w:bCs/>
          <w:iCs/>
          <w:sz w:val="26"/>
          <w:szCs w:val="26"/>
        </w:rPr>
        <w:t> </w:t>
      </w:r>
      <w:r w:rsidRPr="00FC1DCA">
        <w:rPr>
          <w:rFonts w:asciiTheme="minorHAnsi" w:hAnsiTheme="minorHAnsi"/>
          <w:bCs/>
          <w:iCs/>
          <w:sz w:val="26"/>
          <w:szCs w:val="26"/>
        </w:rPr>
        <w:t>sociální péče“ (o 8,6 tis.) a v odvětví „informační a komunikační činnosti“ (o 6,1 tis.). Pokles zaměstnanosti byl zaznamenán v šesti odvětvích; nejvíce v</w:t>
      </w:r>
      <w:r>
        <w:rPr>
          <w:rFonts w:asciiTheme="minorHAnsi" w:hAnsiTheme="minorHAnsi"/>
          <w:bCs/>
          <w:iCs/>
          <w:sz w:val="26"/>
          <w:szCs w:val="26"/>
        </w:rPr>
        <w:t> </w:t>
      </w:r>
      <w:r w:rsidRPr="00FC1DCA">
        <w:rPr>
          <w:rFonts w:asciiTheme="minorHAnsi" w:hAnsiTheme="minorHAnsi"/>
          <w:bCs/>
          <w:iCs/>
          <w:sz w:val="26"/>
          <w:szCs w:val="26"/>
        </w:rPr>
        <w:t>odvětví „administrativní a podpůrné činnosti“ (o 10,7 tis., tj. o 6,0 %), „veřejná správa a obrana; povinné sociální zabezpečení“ (o 2,8 tis.) a „těžba a dobývání“ (o 1,4 tis.).</w:t>
      </w:r>
    </w:p>
    <w:p w14:paraId="794B93A8" w14:textId="193BC450" w:rsidR="00F07F6D" w:rsidRPr="008E1C8D" w:rsidRDefault="00F07F6D" w:rsidP="004A1968">
      <w:pPr>
        <w:spacing w:line="360" w:lineRule="auto"/>
        <w:jc w:val="both"/>
        <w:rPr>
          <w:rFonts w:asciiTheme="minorHAnsi" w:hAnsiTheme="minorHAnsi"/>
          <w:sz w:val="26"/>
          <w:szCs w:val="26"/>
        </w:rPr>
      </w:pPr>
      <w:r>
        <w:rPr>
          <w:rFonts w:asciiTheme="minorHAnsi" w:hAnsiTheme="minorHAnsi"/>
          <w:bCs/>
          <w:iCs/>
          <w:sz w:val="26"/>
          <w:szCs w:val="26"/>
        </w:rPr>
        <w:lastRenderedPageBreak/>
        <w:tab/>
      </w:r>
      <w:r w:rsidRPr="008E1C8D">
        <w:rPr>
          <w:rFonts w:asciiTheme="minorHAnsi" w:hAnsiTheme="minorHAnsi"/>
          <w:bCs/>
          <w:iCs/>
          <w:sz w:val="26"/>
          <w:szCs w:val="26"/>
        </w:rPr>
        <w:t>Z hlediska odvětvového členění (podle Klasifikace ekonomických činností CZ</w:t>
      </w:r>
      <w:r w:rsidRPr="008E1C8D">
        <w:rPr>
          <w:rFonts w:asciiTheme="minorHAnsi" w:hAnsiTheme="minorHAnsi"/>
          <w:bCs/>
          <w:iCs/>
          <w:sz w:val="26"/>
          <w:szCs w:val="26"/>
        </w:rPr>
        <w:noBreakHyphen/>
        <w:t>NACE)</w:t>
      </w:r>
      <w:r>
        <w:rPr>
          <w:rFonts w:asciiTheme="minorHAnsi" w:hAnsiTheme="minorHAnsi"/>
          <w:bCs/>
          <w:iCs/>
          <w:sz w:val="26"/>
          <w:szCs w:val="26"/>
        </w:rPr>
        <w:t xml:space="preserve"> </w:t>
      </w:r>
      <w:r w:rsidRPr="00043824">
        <w:rPr>
          <w:rFonts w:asciiTheme="minorHAnsi" w:hAnsiTheme="minorHAnsi"/>
          <w:b/>
          <w:bCs/>
          <w:iCs/>
          <w:sz w:val="26"/>
          <w:szCs w:val="26"/>
        </w:rPr>
        <w:t>bylo v 1. pololetí</w:t>
      </w:r>
      <w:r w:rsidRPr="00CC40CB">
        <w:rPr>
          <w:rFonts w:asciiTheme="minorHAnsi" w:hAnsiTheme="minorHAnsi"/>
          <w:iCs/>
          <w:sz w:val="26"/>
          <w:szCs w:val="26"/>
        </w:rPr>
        <w:t xml:space="preserve"> 2022 </w:t>
      </w:r>
      <w:r w:rsidRPr="00043824">
        <w:rPr>
          <w:rFonts w:asciiTheme="minorHAnsi" w:hAnsiTheme="minorHAnsi"/>
          <w:b/>
          <w:bCs/>
          <w:iCs/>
          <w:sz w:val="26"/>
          <w:szCs w:val="26"/>
        </w:rPr>
        <w:t xml:space="preserve">dosaženo nejvyšší nominální průměrné mzdy v odvětví „peněžnictví a pojišťovnictví“ </w:t>
      </w:r>
      <w:r w:rsidRPr="00043824">
        <w:rPr>
          <w:rFonts w:asciiTheme="minorHAnsi" w:hAnsiTheme="minorHAnsi"/>
          <w:bCs/>
          <w:iCs/>
          <w:sz w:val="26"/>
          <w:szCs w:val="26"/>
        </w:rPr>
        <w:t xml:space="preserve">(70 966 Kč), </w:t>
      </w:r>
      <w:r w:rsidRPr="00043824">
        <w:rPr>
          <w:rFonts w:asciiTheme="minorHAnsi" w:hAnsiTheme="minorHAnsi"/>
          <w:b/>
          <w:bCs/>
          <w:iCs/>
          <w:sz w:val="26"/>
          <w:szCs w:val="26"/>
        </w:rPr>
        <w:t>v odvětví „informační a</w:t>
      </w:r>
      <w:r>
        <w:rPr>
          <w:rFonts w:asciiTheme="minorHAnsi" w:hAnsiTheme="minorHAnsi"/>
          <w:b/>
          <w:bCs/>
          <w:iCs/>
          <w:sz w:val="26"/>
          <w:szCs w:val="26"/>
        </w:rPr>
        <w:t> </w:t>
      </w:r>
      <w:r w:rsidRPr="00043824">
        <w:rPr>
          <w:rFonts w:asciiTheme="minorHAnsi" w:hAnsiTheme="minorHAnsi"/>
          <w:b/>
          <w:bCs/>
          <w:iCs/>
          <w:sz w:val="26"/>
          <w:szCs w:val="26"/>
        </w:rPr>
        <w:t>komunikační činnosti“</w:t>
      </w:r>
      <w:r w:rsidRPr="00043824">
        <w:rPr>
          <w:rFonts w:asciiTheme="minorHAnsi" w:hAnsiTheme="minorHAnsi"/>
          <w:bCs/>
          <w:iCs/>
          <w:sz w:val="26"/>
          <w:szCs w:val="26"/>
        </w:rPr>
        <w:t xml:space="preserve"> (70 935 Kč), </w:t>
      </w:r>
      <w:r w:rsidRPr="00043824">
        <w:rPr>
          <w:rFonts w:asciiTheme="minorHAnsi" w:hAnsiTheme="minorHAnsi"/>
          <w:b/>
          <w:bCs/>
          <w:iCs/>
          <w:sz w:val="26"/>
          <w:szCs w:val="26"/>
        </w:rPr>
        <w:t>v odvětví „výroba a rozvod elektřiny, plynu, tepla a klimatizovaného vzduchu“</w:t>
      </w:r>
      <w:r w:rsidRPr="00043824">
        <w:rPr>
          <w:rFonts w:asciiTheme="minorHAnsi" w:hAnsiTheme="minorHAnsi"/>
          <w:bCs/>
          <w:iCs/>
          <w:sz w:val="26"/>
          <w:szCs w:val="26"/>
        </w:rPr>
        <w:t xml:space="preserve"> (59 634 Kč) a</w:t>
      </w:r>
      <w:r>
        <w:rPr>
          <w:rFonts w:asciiTheme="minorHAnsi" w:hAnsiTheme="minorHAnsi"/>
          <w:bCs/>
          <w:iCs/>
          <w:sz w:val="26"/>
          <w:szCs w:val="26"/>
        </w:rPr>
        <w:t xml:space="preserve"> </w:t>
      </w:r>
      <w:r w:rsidRPr="00043824">
        <w:rPr>
          <w:rFonts w:asciiTheme="minorHAnsi" w:hAnsiTheme="minorHAnsi"/>
          <w:b/>
          <w:bCs/>
          <w:iCs/>
          <w:sz w:val="26"/>
          <w:szCs w:val="26"/>
        </w:rPr>
        <w:t>v odvětví „profesní, vědecké a</w:t>
      </w:r>
      <w:r>
        <w:rPr>
          <w:rFonts w:asciiTheme="minorHAnsi" w:hAnsiTheme="minorHAnsi"/>
          <w:b/>
          <w:bCs/>
          <w:iCs/>
          <w:sz w:val="26"/>
          <w:szCs w:val="26"/>
        </w:rPr>
        <w:t> </w:t>
      </w:r>
      <w:r w:rsidRPr="00043824">
        <w:rPr>
          <w:rFonts w:asciiTheme="minorHAnsi" w:hAnsiTheme="minorHAnsi"/>
          <w:b/>
          <w:bCs/>
          <w:iCs/>
          <w:sz w:val="26"/>
          <w:szCs w:val="26"/>
        </w:rPr>
        <w:t>technické činnosti“</w:t>
      </w:r>
      <w:r w:rsidRPr="00043824">
        <w:rPr>
          <w:rFonts w:asciiTheme="minorHAnsi" w:hAnsiTheme="minorHAnsi"/>
          <w:bCs/>
          <w:iCs/>
          <w:sz w:val="26"/>
          <w:szCs w:val="26"/>
        </w:rPr>
        <w:t xml:space="preserve"> (48 492 Kč). Celorepublikový průměr (39 033 Kč) byl překročen rovněž v odvětvích „zdravotní a sociální péče“ (42 488 Kč), „těžba a dobývání“ (41 094 Kč) a „veřejná správa a obrana; povinné sociální zabezpečení“ (40 874 Kč). </w:t>
      </w:r>
      <w:r w:rsidRPr="00043824">
        <w:rPr>
          <w:rFonts w:asciiTheme="minorHAnsi" w:hAnsiTheme="minorHAnsi"/>
          <w:b/>
          <w:bCs/>
          <w:iCs/>
          <w:sz w:val="26"/>
          <w:szCs w:val="26"/>
        </w:rPr>
        <w:t>Nejnižší průměrná mzda byla v odvětvích „ubytování, stravování a pohostinství“</w:t>
      </w:r>
      <w:r w:rsidRPr="00043824">
        <w:rPr>
          <w:rFonts w:asciiTheme="minorHAnsi" w:hAnsiTheme="minorHAnsi"/>
          <w:bCs/>
          <w:iCs/>
          <w:sz w:val="26"/>
          <w:szCs w:val="26"/>
        </w:rPr>
        <w:t xml:space="preserve"> (22 918 Kč), </w:t>
      </w:r>
      <w:r w:rsidRPr="00043824">
        <w:rPr>
          <w:rFonts w:asciiTheme="minorHAnsi" w:hAnsiTheme="minorHAnsi"/>
          <w:b/>
          <w:bCs/>
          <w:iCs/>
          <w:sz w:val="26"/>
          <w:szCs w:val="26"/>
        </w:rPr>
        <w:t>„administrativní a podpůrné činnosti“</w:t>
      </w:r>
      <w:r w:rsidRPr="00043824">
        <w:rPr>
          <w:rFonts w:asciiTheme="minorHAnsi" w:hAnsiTheme="minorHAnsi"/>
          <w:bCs/>
          <w:iCs/>
          <w:sz w:val="26"/>
          <w:szCs w:val="26"/>
        </w:rPr>
        <w:t xml:space="preserve"> (28 197 Kč) a </w:t>
      </w:r>
      <w:r w:rsidRPr="00043824">
        <w:rPr>
          <w:rFonts w:asciiTheme="minorHAnsi" w:hAnsiTheme="minorHAnsi"/>
          <w:b/>
          <w:bCs/>
          <w:iCs/>
          <w:sz w:val="26"/>
          <w:szCs w:val="26"/>
        </w:rPr>
        <w:t>„ostatní činnosti“</w:t>
      </w:r>
      <w:r w:rsidRPr="00043824">
        <w:rPr>
          <w:rFonts w:asciiTheme="minorHAnsi" w:hAnsiTheme="minorHAnsi"/>
          <w:bCs/>
          <w:iCs/>
          <w:sz w:val="26"/>
          <w:szCs w:val="26"/>
        </w:rPr>
        <w:t xml:space="preserve"> (29 187 Kč) – tj. např. činnosti podnikatelských, zaměstnavatelských a profesních organizací a odborových svazů, opravy počítačů a komunikačních zařízení a výrobků pro osobní potřebu, praní a chemické čištění, kadeřnické, kosmetické činnosti, pohřební služby apod.</w:t>
      </w:r>
      <w:r w:rsidRPr="008E1C8D">
        <w:rPr>
          <w:rFonts w:asciiTheme="minorHAnsi" w:hAnsiTheme="minorHAnsi"/>
          <w:sz w:val="26"/>
          <w:szCs w:val="26"/>
        </w:rPr>
        <w:t xml:space="preserve"> Podrobný přehled o výši průměrných mezd ve všech 19 sekcích CZ-NACE je uveden v následujícím grafu</w:t>
      </w:r>
      <w:r>
        <w:rPr>
          <w:rFonts w:asciiTheme="minorHAnsi" w:hAnsiTheme="minorHAnsi"/>
          <w:sz w:val="26"/>
          <w:szCs w:val="26"/>
        </w:rPr>
        <w:t xml:space="preserve"> </w:t>
      </w:r>
      <w:r w:rsidRPr="008E1C8D">
        <w:rPr>
          <w:rFonts w:asciiTheme="minorHAnsi" w:hAnsiTheme="minorHAnsi"/>
          <w:sz w:val="26"/>
          <w:szCs w:val="26"/>
        </w:rPr>
        <w:t>a</w:t>
      </w:r>
      <w:r>
        <w:rPr>
          <w:rFonts w:asciiTheme="minorHAnsi" w:hAnsiTheme="minorHAnsi"/>
          <w:sz w:val="26"/>
          <w:szCs w:val="26"/>
        </w:rPr>
        <w:t> </w:t>
      </w:r>
      <w:r w:rsidRPr="008E1C8D">
        <w:rPr>
          <w:rFonts w:asciiTheme="minorHAnsi" w:hAnsiTheme="minorHAnsi"/>
          <w:sz w:val="26"/>
          <w:szCs w:val="26"/>
        </w:rPr>
        <w:t>tabulce č.</w:t>
      </w:r>
      <w:r>
        <w:rPr>
          <w:rFonts w:asciiTheme="minorHAnsi" w:hAnsiTheme="minorHAnsi"/>
          <w:sz w:val="26"/>
          <w:szCs w:val="26"/>
        </w:rPr>
        <w:t> </w:t>
      </w:r>
      <w:r w:rsidRPr="008E1C8D">
        <w:rPr>
          <w:rFonts w:asciiTheme="minorHAnsi" w:hAnsiTheme="minorHAnsi"/>
          <w:sz w:val="26"/>
          <w:szCs w:val="26"/>
        </w:rPr>
        <w:t>5 v příloze.</w:t>
      </w:r>
    </w:p>
    <w:p w14:paraId="636C9368" w14:textId="77777777" w:rsidR="00F07F6D" w:rsidRDefault="00F07F6D" w:rsidP="00F07F6D">
      <w:pPr>
        <w:spacing w:line="360" w:lineRule="auto"/>
        <w:jc w:val="center"/>
        <w:rPr>
          <w:rFonts w:asciiTheme="minorHAnsi" w:hAnsiTheme="minorHAnsi"/>
          <w:noProof/>
          <w:sz w:val="26"/>
          <w:szCs w:val="26"/>
        </w:rPr>
      </w:pPr>
      <w:r>
        <w:rPr>
          <w:rFonts w:asciiTheme="minorHAnsi" w:hAnsiTheme="minorHAnsi"/>
          <w:noProof/>
          <w:sz w:val="26"/>
          <w:szCs w:val="26"/>
        </w:rPr>
        <w:drawing>
          <wp:inline distT="0" distB="0" distL="0" distR="0" wp14:anchorId="4D198BEB" wp14:editId="57118F7F">
            <wp:extent cx="5772150" cy="408556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561" cy="4097184"/>
                    </a:xfrm>
                    <a:prstGeom prst="rect">
                      <a:avLst/>
                    </a:prstGeom>
                    <a:noFill/>
                  </pic:spPr>
                </pic:pic>
              </a:graphicData>
            </a:graphic>
          </wp:inline>
        </w:drawing>
      </w:r>
    </w:p>
    <w:p w14:paraId="575FF4E4" w14:textId="77777777" w:rsidR="00F07F6D" w:rsidRPr="00C67B8E" w:rsidRDefault="00F07F6D" w:rsidP="00F07F6D">
      <w:pPr>
        <w:spacing w:line="360" w:lineRule="auto"/>
        <w:jc w:val="both"/>
        <w:rPr>
          <w:rFonts w:asciiTheme="minorHAnsi" w:hAnsiTheme="minorHAnsi"/>
          <w:bCs/>
          <w:sz w:val="22"/>
          <w:szCs w:val="22"/>
        </w:rPr>
      </w:pPr>
      <w:r w:rsidRPr="00C67B8E">
        <w:rPr>
          <w:rFonts w:asciiTheme="minorHAnsi" w:hAnsiTheme="minorHAnsi"/>
          <w:bCs/>
          <w:sz w:val="22"/>
          <w:szCs w:val="22"/>
        </w:rPr>
        <w:t>Zpracováno z údajů ČSÚ</w:t>
      </w:r>
    </w:p>
    <w:p w14:paraId="74478E8A" w14:textId="77777777" w:rsidR="00F07F6D" w:rsidRPr="008E1C8D" w:rsidRDefault="00F07F6D" w:rsidP="00771DAB">
      <w:pPr>
        <w:spacing w:after="240" w:line="360" w:lineRule="auto"/>
        <w:jc w:val="both"/>
        <w:rPr>
          <w:rFonts w:asciiTheme="minorHAnsi" w:hAnsiTheme="minorHAnsi"/>
          <w:sz w:val="26"/>
          <w:szCs w:val="26"/>
        </w:rPr>
      </w:pPr>
      <w:r>
        <w:rPr>
          <w:rFonts w:asciiTheme="minorHAnsi" w:hAnsiTheme="minorHAnsi"/>
          <w:b/>
          <w:bCs/>
          <w:iCs/>
          <w:sz w:val="26"/>
          <w:szCs w:val="26"/>
        </w:rPr>
        <w:lastRenderedPageBreak/>
        <w:tab/>
      </w:r>
      <w:r w:rsidRPr="00F313C3">
        <w:rPr>
          <w:rFonts w:asciiTheme="minorHAnsi" w:hAnsiTheme="minorHAnsi"/>
          <w:b/>
          <w:bCs/>
          <w:iCs/>
          <w:sz w:val="26"/>
          <w:szCs w:val="26"/>
        </w:rPr>
        <w:t>Meziroční vývoj dynamiky průměrné mzdy byl v jednotlivých odvětvích velmi diferencovaný. U většiny odvětví</w:t>
      </w:r>
      <w:r w:rsidRPr="00F313C3">
        <w:rPr>
          <w:rFonts w:asciiTheme="minorHAnsi" w:hAnsiTheme="minorHAnsi"/>
          <w:bCs/>
          <w:iCs/>
          <w:sz w:val="26"/>
          <w:szCs w:val="26"/>
        </w:rPr>
        <w:t xml:space="preserve"> byl sice zaznamenán</w:t>
      </w:r>
      <w:r w:rsidRPr="00F313C3">
        <w:rPr>
          <w:rFonts w:asciiTheme="minorHAnsi" w:hAnsiTheme="minorHAnsi"/>
          <w:b/>
          <w:bCs/>
          <w:iCs/>
          <w:sz w:val="26"/>
          <w:szCs w:val="26"/>
        </w:rPr>
        <w:t xml:space="preserve"> výrazně nadprůměrný nárůst průměrné nominální mzdy, v žádném z nich však toto zvýšení nepřesáhlo míru inflace</w:t>
      </w:r>
      <w:r w:rsidRPr="00F313C3">
        <w:rPr>
          <w:rFonts w:asciiTheme="minorHAnsi" w:hAnsiTheme="minorHAnsi"/>
          <w:bCs/>
          <w:iCs/>
          <w:sz w:val="26"/>
          <w:szCs w:val="26"/>
        </w:rPr>
        <w:t xml:space="preserve">, proto ve všech odvětvích </w:t>
      </w:r>
      <w:r w:rsidRPr="00F313C3">
        <w:rPr>
          <w:rFonts w:asciiTheme="minorHAnsi" w:hAnsiTheme="minorHAnsi"/>
          <w:b/>
          <w:bCs/>
          <w:iCs/>
          <w:sz w:val="26"/>
          <w:szCs w:val="26"/>
        </w:rPr>
        <w:t>došlo k poklesu průměrné reálné mzdy.</w:t>
      </w:r>
      <w:r w:rsidRPr="00F313C3">
        <w:rPr>
          <w:rFonts w:asciiTheme="minorHAnsi" w:hAnsiTheme="minorHAnsi"/>
          <w:bCs/>
          <w:iCs/>
          <w:sz w:val="26"/>
          <w:szCs w:val="26"/>
        </w:rPr>
        <w:t xml:space="preserve"> Příznačné pro hodnocené období byl velmi nízký nominální nárůst průměrné mzdy v hlavních odvětvích tzv. veřejné služby a správy, který byl umocněn poklesem průměrné nominální mzdy v odvětví „zdravotní a sociální péče“. To však bylo dáno vysokou srovnávací základnou minulého roku (zejména 2. čtvrtletí), ve kterém byly vyplaceny mimořádné „</w:t>
      </w:r>
      <w:proofErr w:type="spellStart"/>
      <w:r w:rsidRPr="00F313C3">
        <w:rPr>
          <w:rFonts w:asciiTheme="minorHAnsi" w:hAnsiTheme="minorHAnsi"/>
          <w:bCs/>
          <w:iCs/>
          <w:sz w:val="26"/>
          <w:szCs w:val="26"/>
        </w:rPr>
        <w:t>covidové</w:t>
      </w:r>
      <w:proofErr w:type="spellEnd"/>
      <w:r w:rsidRPr="00F313C3">
        <w:rPr>
          <w:rFonts w:asciiTheme="minorHAnsi" w:hAnsiTheme="minorHAnsi"/>
          <w:bCs/>
          <w:iCs/>
          <w:sz w:val="26"/>
          <w:szCs w:val="26"/>
        </w:rPr>
        <w:t>“ odměny zaměstnancům tohoto odvětví. V odvětví „zdravotní a</w:t>
      </w:r>
      <w:r>
        <w:rPr>
          <w:rFonts w:asciiTheme="minorHAnsi" w:hAnsiTheme="minorHAnsi"/>
          <w:bCs/>
          <w:iCs/>
          <w:sz w:val="26"/>
          <w:szCs w:val="26"/>
        </w:rPr>
        <w:t> </w:t>
      </w:r>
      <w:r w:rsidRPr="00F313C3">
        <w:rPr>
          <w:rFonts w:asciiTheme="minorHAnsi" w:hAnsiTheme="minorHAnsi"/>
          <w:bCs/>
          <w:iCs/>
          <w:sz w:val="26"/>
          <w:szCs w:val="26"/>
        </w:rPr>
        <w:t>sociální péče“ tedy došlo k poklesu průměrné mzdy (nominálně o 10,8 %, reálně o</w:t>
      </w:r>
      <w:r>
        <w:rPr>
          <w:rFonts w:asciiTheme="minorHAnsi" w:hAnsiTheme="minorHAnsi"/>
          <w:bCs/>
          <w:iCs/>
          <w:sz w:val="26"/>
          <w:szCs w:val="26"/>
        </w:rPr>
        <w:t> </w:t>
      </w:r>
      <w:r w:rsidRPr="00F313C3">
        <w:rPr>
          <w:rFonts w:asciiTheme="minorHAnsi" w:hAnsiTheme="minorHAnsi"/>
          <w:bCs/>
          <w:iCs/>
          <w:sz w:val="26"/>
          <w:szCs w:val="26"/>
        </w:rPr>
        <w:t>21,4 %), dále byl</w:t>
      </w:r>
      <w:r w:rsidRPr="00F313C3">
        <w:rPr>
          <w:rFonts w:asciiTheme="minorHAnsi" w:hAnsiTheme="minorHAnsi"/>
          <w:b/>
          <w:bCs/>
          <w:iCs/>
          <w:sz w:val="26"/>
          <w:szCs w:val="26"/>
        </w:rPr>
        <w:t xml:space="preserve"> nejnižší nárůst průměrné mzdy </w:t>
      </w:r>
      <w:r w:rsidRPr="00F313C3">
        <w:rPr>
          <w:rFonts w:asciiTheme="minorHAnsi" w:hAnsiTheme="minorHAnsi"/>
          <w:bCs/>
          <w:iCs/>
          <w:sz w:val="26"/>
          <w:szCs w:val="26"/>
        </w:rPr>
        <w:t xml:space="preserve">zaznamenán </w:t>
      </w:r>
      <w:r w:rsidRPr="00F313C3">
        <w:rPr>
          <w:rFonts w:asciiTheme="minorHAnsi" w:hAnsiTheme="minorHAnsi"/>
          <w:b/>
          <w:bCs/>
          <w:iCs/>
          <w:sz w:val="26"/>
          <w:szCs w:val="26"/>
        </w:rPr>
        <w:t>v odvětvích</w:t>
      </w:r>
      <w:r w:rsidRPr="00F313C3">
        <w:rPr>
          <w:rFonts w:asciiTheme="minorHAnsi" w:hAnsiTheme="minorHAnsi"/>
          <w:bCs/>
          <w:iCs/>
          <w:sz w:val="26"/>
          <w:szCs w:val="26"/>
        </w:rPr>
        <w:t xml:space="preserve"> </w:t>
      </w:r>
      <w:r w:rsidRPr="00F313C3">
        <w:rPr>
          <w:rFonts w:asciiTheme="minorHAnsi" w:hAnsiTheme="minorHAnsi"/>
          <w:b/>
          <w:bCs/>
          <w:iCs/>
          <w:sz w:val="26"/>
          <w:szCs w:val="26"/>
        </w:rPr>
        <w:t>„veřejná správa a obrana; povinné sociální zabezpečení“</w:t>
      </w:r>
      <w:r w:rsidRPr="00F313C3">
        <w:rPr>
          <w:rFonts w:asciiTheme="minorHAnsi" w:hAnsiTheme="minorHAnsi"/>
          <w:bCs/>
          <w:iCs/>
          <w:sz w:val="26"/>
          <w:szCs w:val="26"/>
        </w:rPr>
        <w:t xml:space="preserve"> (nominálně o 2,9 %, reálně pokles o 9,3 %), </w:t>
      </w:r>
      <w:r w:rsidRPr="00F313C3">
        <w:rPr>
          <w:rFonts w:asciiTheme="minorHAnsi" w:hAnsiTheme="minorHAnsi"/>
          <w:b/>
          <w:bCs/>
          <w:iCs/>
          <w:sz w:val="26"/>
          <w:szCs w:val="26"/>
        </w:rPr>
        <w:t>„vzdělávání“</w:t>
      </w:r>
      <w:r w:rsidRPr="00F313C3">
        <w:rPr>
          <w:rFonts w:asciiTheme="minorHAnsi" w:hAnsiTheme="minorHAnsi"/>
          <w:bCs/>
          <w:iCs/>
          <w:sz w:val="26"/>
          <w:szCs w:val="26"/>
        </w:rPr>
        <w:t xml:space="preserve"> (nominálně o 3,1 %, reálně pokles o 9,2 %) a</w:t>
      </w:r>
      <w:r>
        <w:rPr>
          <w:rFonts w:asciiTheme="minorHAnsi" w:hAnsiTheme="minorHAnsi"/>
          <w:bCs/>
          <w:iCs/>
          <w:sz w:val="26"/>
          <w:szCs w:val="26"/>
        </w:rPr>
        <w:t xml:space="preserve"> </w:t>
      </w:r>
      <w:r w:rsidRPr="00F313C3">
        <w:rPr>
          <w:rFonts w:asciiTheme="minorHAnsi" w:hAnsiTheme="minorHAnsi"/>
          <w:b/>
          <w:bCs/>
          <w:iCs/>
          <w:sz w:val="26"/>
          <w:szCs w:val="26"/>
        </w:rPr>
        <w:t>„zemědělství, lesnictví a rybářství“</w:t>
      </w:r>
      <w:r w:rsidRPr="00F313C3">
        <w:rPr>
          <w:rFonts w:asciiTheme="minorHAnsi" w:hAnsiTheme="minorHAnsi"/>
          <w:bCs/>
          <w:iCs/>
          <w:sz w:val="26"/>
          <w:szCs w:val="26"/>
        </w:rPr>
        <w:t xml:space="preserve"> (nominálně o 6,6 %, reálně pokles o 6,1 %). </w:t>
      </w:r>
      <w:r w:rsidRPr="00F313C3">
        <w:rPr>
          <w:rFonts w:asciiTheme="minorHAnsi" w:hAnsiTheme="minorHAnsi"/>
          <w:b/>
          <w:bCs/>
          <w:iCs/>
          <w:sz w:val="26"/>
          <w:szCs w:val="26"/>
        </w:rPr>
        <w:t>Naopak nejvyšší</w:t>
      </w:r>
      <w:r w:rsidRPr="00F313C3">
        <w:rPr>
          <w:rFonts w:asciiTheme="minorHAnsi" w:hAnsiTheme="minorHAnsi"/>
          <w:bCs/>
          <w:iCs/>
          <w:sz w:val="26"/>
          <w:szCs w:val="26"/>
        </w:rPr>
        <w:t xml:space="preserve"> a</w:t>
      </w:r>
      <w:r>
        <w:rPr>
          <w:rFonts w:asciiTheme="minorHAnsi" w:hAnsiTheme="minorHAnsi"/>
          <w:bCs/>
          <w:iCs/>
          <w:sz w:val="26"/>
          <w:szCs w:val="26"/>
        </w:rPr>
        <w:t> </w:t>
      </w:r>
      <w:r w:rsidRPr="00F313C3">
        <w:rPr>
          <w:rFonts w:asciiTheme="minorHAnsi" w:hAnsiTheme="minorHAnsi"/>
          <w:bCs/>
          <w:iCs/>
          <w:sz w:val="26"/>
          <w:szCs w:val="26"/>
        </w:rPr>
        <w:t xml:space="preserve">výrazně nadprůměrný relativní </w:t>
      </w:r>
      <w:r w:rsidRPr="00F313C3">
        <w:rPr>
          <w:rFonts w:asciiTheme="minorHAnsi" w:hAnsiTheme="minorHAnsi"/>
          <w:b/>
          <w:bCs/>
          <w:iCs/>
          <w:sz w:val="26"/>
          <w:szCs w:val="26"/>
        </w:rPr>
        <w:t>nárůst průměrné mzdy byl vykázán v odvětvích „peněžnictví a pojišťovnictví“</w:t>
      </w:r>
      <w:r w:rsidRPr="00F313C3">
        <w:rPr>
          <w:rFonts w:asciiTheme="minorHAnsi" w:hAnsiTheme="minorHAnsi"/>
          <w:bCs/>
          <w:iCs/>
          <w:sz w:val="26"/>
          <w:szCs w:val="26"/>
        </w:rPr>
        <w:t xml:space="preserve"> (nominálně o 12,0 % a reálně pokles o 1,3 %), </w:t>
      </w:r>
      <w:r w:rsidRPr="00F313C3">
        <w:rPr>
          <w:rFonts w:asciiTheme="minorHAnsi" w:hAnsiTheme="minorHAnsi"/>
          <w:b/>
          <w:bCs/>
          <w:iCs/>
          <w:sz w:val="26"/>
          <w:szCs w:val="26"/>
        </w:rPr>
        <w:t>„ubytování, stravování a pohostinství“</w:t>
      </w:r>
      <w:r w:rsidRPr="00F313C3">
        <w:rPr>
          <w:rFonts w:asciiTheme="minorHAnsi" w:hAnsiTheme="minorHAnsi"/>
          <w:bCs/>
          <w:iCs/>
          <w:sz w:val="26"/>
          <w:szCs w:val="26"/>
        </w:rPr>
        <w:t xml:space="preserve"> (nominálně o 11,3 %, reálně pokles o 1,9 %), </w:t>
      </w:r>
      <w:r w:rsidRPr="00F313C3">
        <w:rPr>
          <w:rFonts w:asciiTheme="minorHAnsi" w:hAnsiTheme="minorHAnsi"/>
          <w:b/>
          <w:bCs/>
          <w:iCs/>
          <w:sz w:val="26"/>
          <w:szCs w:val="26"/>
        </w:rPr>
        <w:t>„administrativní a</w:t>
      </w:r>
      <w:r>
        <w:rPr>
          <w:rFonts w:asciiTheme="minorHAnsi" w:hAnsiTheme="minorHAnsi"/>
          <w:b/>
          <w:bCs/>
          <w:iCs/>
          <w:sz w:val="26"/>
          <w:szCs w:val="26"/>
        </w:rPr>
        <w:t xml:space="preserve"> </w:t>
      </w:r>
      <w:r w:rsidRPr="00F313C3">
        <w:rPr>
          <w:rFonts w:asciiTheme="minorHAnsi" w:hAnsiTheme="minorHAnsi"/>
          <w:b/>
          <w:bCs/>
          <w:iCs/>
          <w:sz w:val="26"/>
          <w:szCs w:val="26"/>
        </w:rPr>
        <w:t>podpůrné činnosti“</w:t>
      </w:r>
      <w:r w:rsidRPr="00F313C3">
        <w:rPr>
          <w:rFonts w:asciiTheme="minorHAnsi" w:hAnsiTheme="minorHAnsi"/>
          <w:bCs/>
          <w:iCs/>
          <w:sz w:val="26"/>
          <w:szCs w:val="26"/>
        </w:rPr>
        <w:t xml:space="preserve"> (nominálně o 11,2 %, reálně pokles o 2,0 %) a </w:t>
      </w:r>
      <w:r w:rsidRPr="00F313C3">
        <w:rPr>
          <w:rFonts w:asciiTheme="minorHAnsi" w:hAnsiTheme="minorHAnsi"/>
          <w:b/>
          <w:bCs/>
          <w:iCs/>
          <w:sz w:val="26"/>
          <w:szCs w:val="26"/>
        </w:rPr>
        <w:t>„kulturní, zábavní a rekreační činnosti“</w:t>
      </w:r>
      <w:r w:rsidRPr="00F313C3">
        <w:rPr>
          <w:rFonts w:asciiTheme="minorHAnsi" w:hAnsiTheme="minorHAnsi"/>
          <w:bCs/>
          <w:iCs/>
          <w:sz w:val="26"/>
          <w:szCs w:val="26"/>
        </w:rPr>
        <w:t xml:space="preserve"> (nominálně o 10,3 %, reálně pokles o 2,8 %).</w:t>
      </w:r>
    </w:p>
    <w:p w14:paraId="7834369F" w14:textId="77777777" w:rsidR="00F07F6D" w:rsidRPr="008E1C8D" w:rsidRDefault="00F07F6D" w:rsidP="00771DAB">
      <w:pPr>
        <w:spacing w:after="240" w:line="360" w:lineRule="auto"/>
        <w:jc w:val="both"/>
        <w:rPr>
          <w:rFonts w:asciiTheme="minorHAnsi" w:hAnsiTheme="minorHAnsi"/>
          <w:bCs/>
          <w:sz w:val="26"/>
          <w:szCs w:val="26"/>
        </w:rPr>
      </w:pPr>
      <w:r w:rsidRPr="008E1C8D">
        <w:rPr>
          <w:rFonts w:asciiTheme="minorHAnsi" w:hAnsiTheme="minorHAnsi"/>
          <w:sz w:val="26"/>
          <w:szCs w:val="26"/>
        </w:rPr>
        <w:tab/>
      </w:r>
      <w:r w:rsidRPr="008E1C8D">
        <w:rPr>
          <w:rFonts w:asciiTheme="minorHAnsi" w:hAnsiTheme="minorHAnsi"/>
          <w:b/>
          <w:sz w:val="26"/>
          <w:szCs w:val="26"/>
        </w:rPr>
        <w:t>Meziodvětvová mzdová diferenciace</w:t>
      </w:r>
      <w:r w:rsidRPr="00271814">
        <w:rPr>
          <w:rFonts w:asciiTheme="minorHAnsi" w:hAnsiTheme="minorHAnsi"/>
          <w:b/>
          <w:sz w:val="26"/>
          <w:szCs w:val="26"/>
        </w:rPr>
        <w:t xml:space="preserve"> v 1. pololetí</w:t>
      </w:r>
      <w:r w:rsidRPr="008E1C8D">
        <w:rPr>
          <w:rFonts w:asciiTheme="minorHAnsi" w:hAnsiTheme="minorHAnsi"/>
          <w:bCs/>
          <w:sz w:val="26"/>
          <w:szCs w:val="26"/>
        </w:rPr>
        <w:t xml:space="preserve"> 20</w:t>
      </w:r>
      <w:r>
        <w:rPr>
          <w:rFonts w:asciiTheme="minorHAnsi" w:hAnsiTheme="minorHAnsi"/>
          <w:bCs/>
          <w:sz w:val="26"/>
          <w:szCs w:val="26"/>
        </w:rPr>
        <w:t>22</w:t>
      </w:r>
      <w:r w:rsidRPr="008E1C8D">
        <w:rPr>
          <w:rFonts w:asciiTheme="minorHAnsi" w:hAnsiTheme="minorHAnsi"/>
          <w:bCs/>
          <w:sz w:val="26"/>
          <w:szCs w:val="26"/>
        </w:rPr>
        <w:t xml:space="preserve"> </w:t>
      </w:r>
      <w:r>
        <w:rPr>
          <w:rFonts w:asciiTheme="minorHAnsi" w:hAnsiTheme="minorHAnsi"/>
          <w:b/>
          <w:sz w:val="26"/>
          <w:szCs w:val="26"/>
        </w:rPr>
        <w:t>vzrost</w:t>
      </w:r>
      <w:r w:rsidRPr="008E1C8D">
        <w:rPr>
          <w:rFonts w:asciiTheme="minorHAnsi" w:hAnsiTheme="minorHAnsi"/>
          <w:b/>
          <w:sz w:val="26"/>
          <w:szCs w:val="26"/>
        </w:rPr>
        <w:t>la;</w:t>
      </w:r>
      <w:r w:rsidRPr="008E1C8D">
        <w:rPr>
          <w:rFonts w:asciiTheme="minorHAnsi" w:hAnsiTheme="minorHAnsi"/>
          <w:bCs/>
          <w:sz w:val="26"/>
          <w:szCs w:val="26"/>
        </w:rPr>
        <w:t xml:space="preserve"> variační koeficient průměrných mezd (podle sekcí CZ-NACE) se </w:t>
      </w:r>
      <w:r>
        <w:rPr>
          <w:rFonts w:asciiTheme="minorHAnsi" w:hAnsiTheme="minorHAnsi"/>
          <w:bCs/>
          <w:sz w:val="26"/>
          <w:szCs w:val="26"/>
        </w:rPr>
        <w:t>zvýš</w:t>
      </w:r>
      <w:r w:rsidRPr="008E1C8D">
        <w:rPr>
          <w:rFonts w:asciiTheme="minorHAnsi" w:hAnsiTheme="minorHAnsi"/>
          <w:bCs/>
          <w:sz w:val="26"/>
          <w:szCs w:val="26"/>
        </w:rPr>
        <w:t>il o </w:t>
      </w:r>
      <w:r>
        <w:rPr>
          <w:rFonts w:asciiTheme="minorHAnsi" w:hAnsiTheme="minorHAnsi"/>
          <w:bCs/>
          <w:sz w:val="26"/>
          <w:szCs w:val="26"/>
        </w:rPr>
        <w:t>0</w:t>
      </w:r>
      <w:r w:rsidRPr="008E1C8D">
        <w:rPr>
          <w:rFonts w:asciiTheme="minorHAnsi" w:hAnsiTheme="minorHAnsi"/>
          <w:bCs/>
          <w:sz w:val="26"/>
          <w:szCs w:val="26"/>
        </w:rPr>
        <w:t>,</w:t>
      </w:r>
      <w:r>
        <w:rPr>
          <w:rFonts w:asciiTheme="minorHAnsi" w:hAnsiTheme="minorHAnsi"/>
          <w:bCs/>
          <w:sz w:val="26"/>
          <w:szCs w:val="26"/>
        </w:rPr>
        <w:t>5</w:t>
      </w:r>
      <w:r w:rsidRPr="008E1C8D">
        <w:rPr>
          <w:rFonts w:asciiTheme="minorHAnsi" w:hAnsiTheme="minorHAnsi"/>
          <w:bCs/>
          <w:sz w:val="26"/>
          <w:szCs w:val="26"/>
        </w:rPr>
        <w:t> p. b. na 3</w:t>
      </w:r>
      <w:r>
        <w:rPr>
          <w:rFonts w:asciiTheme="minorHAnsi" w:hAnsiTheme="minorHAnsi"/>
          <w:bCs/>
          <w:sz w:val="26"/>
          <w:szCs w:val="26"/>
        </w:rPr>
        <w:t>2</w:t>
      </w:r>
      <w:r w:rsidRPr="008E1C8D">
        <w:rPr>
          <w:rFonts w:asciiTheme="minorHAnsi" w:hAnsiTheme="minorHAnsi"/>
          <w:bCs/>
          <w:sz w:val="26"/>
          <w:szCs w:val="26"/>
        </w:rPr>
        <w:t>,</w:t>
      </w:r>
      <w:r>
        <w:rPr>
          <w:rFonts w:asciiTheme="minorHAnsi" w:hAnsiTheme="minorHAnsi"/>
          <w:bCs/>
          <w:sz w:val="26"/>
          <w:szCs w:val="26"/>
        </w:rPr>
        <w:t>1</w:t>
      </w:r>
      <w:r w:rsidRPr="008E1C8D">
        <w:rPr>
          <w:rFonts w:asciiTheme="minorHAnsi" w:hAnsiTheme="minorHAnsi"/>
          <w:bCs/>
          <w:sz w:val="26"/>
          <w:szCs w:val="26"/>
        </w:rPr>
        <w:t> %.</w:t>
      </w:r>
    </w:p>
    <w:p w14:paraId="06206096" w14:textId="359A78ED" w:rsidR="00F07F6D" w:rsidRPr="0080146E" w:rsidRDefault="00F07F6D" w:rsidP="00771DAB">
      <w:pPr>
        <w:spacing w:after="240" w:line="360" w:lineRule="auto"/>
        <w:jc w:val="both"/>
        <w:rPr>
          <w:rFonts w:asciiTheme="minorHAnsi" w:hAnsiTheme="minorHAnsi"/>
          <w:bCs/>
          <w:sz w:val="26"/>
          <w:szCs w:val="26"/>
        </w:rPr>
      </w:pPr>
      <w:r w:rsidRPr="008E1C8D">
        <w:rPr>
          <w:rFonts w:asciiTheme="minorHAnsi" w:hAnsiTheme="minorHAnsi"/>
          <w:bCs/>
          <w:sz w:val="26"/>
          <w:szCs w:val="26"/>
        </w:rPr>
        <w:tab/>
      </w:r>
      <w:r w:rsidRPr="008E1C8D">
        <w:rPr>
          <w:rFonts w:asciiTheme="minorHAnsi" w:hAnsiTheme="minorHAnsi"/>
          <w:b/>
          <w:bCs/>
          <w:sz w:val="26"/>
          <w:szCs w:val="26"/>
        </w:rPr>
        <w:t>Výše průměrné nominální mzdy se</w:t>
      </w:r>
      <w:r w:rsidRPr="00271814">
        <w:rPr>
          <w:rFonts w:asciiTheme="minorHAnsi" w:hAnsiTheme="minorHAnsi"/>
          <w:bCs/>
          <w:sz w:val="26"/>
          <w:szCs w:val="26"/>
        </w:rPr>
        <w:t xml:space="preserve"> výrazně </w:t>
      </w:r>
      <w:r w:rsidRPr="008E1C8D">
        <w:rPr>
          <w:rFonts w:asciiTheme="minorHAnsi" w:hAnsiTheme="minorHAnsi"/>
          <w:b/>
          <w:bCs/>
          <w:sz w:val="26"/>
          <w:szCs w:val="26"/>
        </w:rPr>
        <w:t>lišila i podle velikosti zpravodajské jednotky, tj. čím větší byl počet zaměstnanců, tím vyšší byla průměrná mzda. V podnicích do 19 zaměstnanců</w:t>
      </w:r>
      <w:r w:rsidRPr="008E1C8D">
        <w:rPr>
          <w:rFonts w:asciiTheme="minorHAnsi" w:hAnsiTheme="minorHAnsi"/>
          <w:bCs/>
          <w:sz w:val="26"/>
          <w:szCs w:val="26"/>
        </w:rPr>
        <w:t xml:space="preserve"> (velikostní kategorii s dr</w:t>
      </w:r>
      <w:r w:rsidRPr="006A2AC2">
        <w:rPr>
          <w:rFonts w:asciiTheme="minorHAnsi" w:hAnsiTheme="minorHAnsi"/>
          <w:bCs/>
          <w:sz w:val="26"/>
          <w:szCs w:val="26"/>
        </w:rPr>
        <w:t>uhým nejvyšším počtem zaměstnanců – 81</w:t>
      </w:r>
      <w:r>
        <w:rPr>
          <w:rFonts w:asciiTheme="minorHAnsi" w:hAnsiTheme="minorHAnsi"/>
          <w:bCs/>
          <w:sz w:val="26"/>
          <w:szCs w:val="26"/>
        </w:rPr>
        <w:t>3</w:t>
      </w:r>
      <w:r w:rsidRPr="006A2AC2">
        <w:rPr>
          <w:rFonts w:asciiTheme="minorHAnsi" w:hAnsiTheme="minorHAnsi"/>
          <w:bCs/>
          <w:sz w:val="26"/>
          <w:szCs w:val="26"/>
        </w:rPr>
        <w:t>,</w:t>
      </w:r>
      <w:r>
        <w:rPr>
          <w:rFonts w:asciiTheme="minorHAnsi" w:hAnsiTheme="minorHAnsi"/>
          <w:bCs/>
          <w:sz w:val="26"/>
          <w:szCs w:val="26"/>
        </w:rPr>
        <w:t>8</w:t>
      </w:r>
      <w:r w:rsidRPr="006A2AC2">
        <w:rPr>
          <w:rFonts w:asciiTheme="minorHAnsi" w:hAnsiTheme="minorHAnsi"/>
          <w:bCs/>
          <w:sz w:val="26"/>
          <w:szCs w:val="26"/>
        </w:rPr>
        <w:t xml:space="preserve"> tis</w:t>
      </w:r>
      <w:r>
        <w:rPr>
          <w:rFonts w:asciiTheme="minorHAnsi" w:hAnsiTheme="minorHAnsi"/>
          <w:bCs/>
          <w:sz w:val="26"/>
          <w:szCs w:val="26"/>
        </w:rPr>
        <w:t>.</w:t>
      </w:r>
      <w:r w:rsidRPr="006A2AC2">
        <w:rPr>
          <w:rFonts w:asciiTheme="minorHAnsi" w:hAnsiTheme="minorHAnsi"/>
          <w:bCs/>
          <w:sz w:val="26"/>
          <w:szCs w:val="26"/>
        </w:rPr>
        <w:t xml:space="preserve">) byla nejnižší a </w:t>
      </w:r>
      <w:r w:rsidRPr="006A2AC2">
        <w:rPr>
          <w:rFonts w:asciiTheme="minorHAnsi" w:hAnsiTheme="minorHAnsi"/>
          <w:b/>
          <w:bCs/>
          <w:sz w:val="26"/>
          <w:szCs w:val="26"/>
        </w:rPr>
        <w:t>činila 2</w:t>
      </w:r>
      <w:r>
        <w:rPr>
          <w:rFonts w:asciiTheme="minorHAnsi" w:hAnsiTheme="minorHAnsi"/>
          <w:b/>
          <w:bCs/>
          <w:sz w:val="26"/>
          <w:szCs w:val="26"/>
        </w:rPr>
        <w:t>9</w:t>
      </w:r>
      <w:r w:rsidRPr="006A2AC2">
        <w:rPr>
          <w:rFonts w:asciiTheme="minorHAnsi" w:hAnsiTheme="minorHAnsi"/>
          <w:b/>
          <w:bCs/>
          <w:sz w:val="26"/>
          <w:szCs w:val="26"/>
        </w:rPr>
        <w:t> </w:t>
      </w:r>
      <w:r>
        <w:rPr>
          <w:rFonts w:asciiTheme="minorHAnsi" w:hAnsiTheme="minorHAnsi"/>
          <w:b/>
          <w:bCs/>
          <w:sz w:val="26"/>
          <w:szCs w:val="26"/>
        </w:rPr>
        <w:t>3</w:t>
      </w:r>
      <w:r w:rsidRPr="006A2AC2">
        <w:rPr>
          <w:rFonts w:asciiTheme="minorHAnsi" w:hAnsiTheme="minorHAnsi"/>
          <w:b/>
          <w:bCs/>
          <w:sz w:val="26"/>
          <w:szCs w:val="26"/>
        </w:rPr>
        <w:t>8</w:t>
      </w:r>
      <w:r>
        <w:rPr>
          <w:rFonts w:asciiTheme="minorHAnsi" w:hAnsiTheme="minorHAnsi"/>
          <w:b/>
          <w:bCs/>
          <w:sz w:val="26"/>
          <w:szCs w:val="26"/>
        </w:rPr>
        <w:t>7</w:t>
      </w:r>
      <w:r w:rsidRPr="006A2AC2">
        <w:rPr>
          <w:rFonts w:asciiTheme="minorHAnsi" w:hAnsiTheme="minorHAnsi"/>
          <w:b/>
          <w:bCs/>
          <w:sz w:val="26"/>
          <w:szCs w:val="26"/>
        </w:rPr>
        <w:t> Kč</w:t>
      </w:r>
      <w:r w:rsidRPr="006A2AC2">
        <w:rPr>
          <w:rFonts w:asciiTheme="minorHAnsi" w:hAnsiTheme="minorHAnsi"/>
          <w:bCs/>
          <w:sz w:val="26"/>
          <w:szCs w:val="26"/>
        </w:rPr>
        <w:t xml:space="preserve"> (</w:t>
      </w:r>
      <w:r>
        <w:rPr>
          <w:rFonts w:asciiTheme="minorHAnsi" w:hAnsiTheme="minorHAnsi"/>
          <w:bCs/>
          <w:sz w:val="26"/>
          <w:szCs w:val="26"/>
        </w:rPr>
        <w:t>více než</w:t>
      </w:r>
      <w:r w:rsidRPr="006A2AC2">
        <w:rPr>
          <w:rFonts w:asciiTheme="minorHAnsi" w:hAnsiTheme="minorHAnsi"/>
          <w:bCs/>
          <w:sz w:val="26"/>
          <w:szCs w:val="26"/>
        </w:rPr>
        <w:t> 7</w:t>
      </w:r>
      <w:r>
        <w:rPr>
          <w:rFonts w:asciiTheme="minorHAnsi" w:hAnsiTheme="minorHAnsi"/>
          <w:bCs/>
          <w:sz w:val="26"/>
          <w:szCs w:val="26"/>
        </w:rPr>
        <w:t>5</w:t>
      </w:r>
      <w:r w:rsidRPr="006A2AC2">
        <w:rPr>
          <w:rFonts w:asciiTheme="minorHAnsi" w:hAnsiTheme="minorHAnsi"/>
          <w:bCs/>
          <w:sz w:val="26"/>
          <w:szCs w:val="26"/>
        </w:rPr>
        <w:t xml:space="preserve"> % průměrné mzdy v národním hospodářství). Naopak nejvyšší průměrná mzda </w:t>
      </w:r>
      <w:r w:rsidRPr="006A2AC2">
        <w:rPr>
          <w:rFonts w:asciiTheme="minorHAnsi" w:hAnsiTheme="minorHAnsi"/>
          <w:b/>
          <w:bCs/>
          <w:sz w:val="26"/>
          <w:szCs w:val="26"/>
        </w:rPr>
        <w:t>4</w:t>
      </w:r>
      <w:r>
        <w:rPr>
          <w:rFonts w:asciiTheme="minorHAnsi" w:hAnsiTheme="minorHAnsi"/>
          <w:b/>
          <w:bCs/>
          <w:sz w:val="26"/>
          <w:szCs w:val="26"/>
        </w:rPr>
        <w:t>6</w:t>
      </w:r>
      <w:r w:rsidRPr="006A2AC2">
        <w:rPr>
          <w:rFonts w:asciiTheme="minorHAnsi" w:hAnsiTheme="minorHAnsi"/>
          <w:b/>
          <w:bCs/>
          <w:sz w:val="26"/>
          <w:szCs w:val="26"/>
        </w:rPr>
        <w:t> 7</w:t>
      </w:r>
      <w:r>
        <w:rPr>
          <w:rFonts w:asciiTheme="minorHAnsi" w:hAnsiTheme="minorHAnsi"/>
          <w:b/>
          <w:bCs/>
          <w:sz w:val="26"/>
          <w:szCs w:val="26"/>
        </w:rPr>
        <w:t>39</w:t>
      </w:r>
      <w:r w:rsidRPr="006A2AC2">
        <w:rPr>
          <w:rFonts w:asciiTheme="minorHAnsi" w:hAnsiTheme="minorHAnsi"/>
          <w:b/>
          <w:bCs/>
          <w:sz w:val="26"/>
          <w:szCs w:val="26"/>
        </w:rPr>
        <w:t> Kč</w:t>
      </w:r>
      <w:r w:rsidRPr="006A2AC2">
        <w:rPr>
          <w:rFonts w:asciiTheme="minorHAnsi" w:hAnsiTheme="minorHAnsi"/>
          <w:bCs/>
          <w:sz w:val="26"/>
          <w:szCs w:val="26"/>
        </w:rPr>
        <w:t xml:space="preserve"> (</w:t>
      </w:r>
      <w:r>
        <w:rPr>
          <w:rFonts w:asciiTheme="minorHAnsi" w:hAnsiTheme="minorHAnsi"/>
          <w:bCs/>
          <w:sz w:val="26"/>
          <w:szCs w:val="26"/>
        </w:rPr>
        <w:t>téměř</w:t>
      </w:r>
      <w:r w:rsidRPr="006A2AC2">
        <w:rPr>
          <w:rFonts w:asciiTheme="minorHAnsi" w:hAnsiTheme="minorHAnsi"/>
          <w:bCs/>
          <w:sz w:val="26"/>
          <w:szCs w:val="26"/>
        </w:rPr>
        <w:t xml:space="preserve"> 12</w:t>
      </w:r>
      <w:r>
        <w:rPr>
          <w:rFonts w:asciiTheme="minorHAnsi" w:hAnsiTheme="minorHAnsi"/>
          <w:bCs/>
          <w:sz w:val="26"/>
          <w:szCs w:val="26"/>
        </w:rPr>
        <w:t>0</w:t>
      </w:r>
      <w:r w:rsidRPr="006A2AC2">
        <w:rPr>
          <w:rFonts w:asciiTheme="minorHAnsi" w:hAnsiTheme="minorHAnsi"/>
          <w:bCs/>
          <w:sz w:val="26"/>
          <w:szCs w:val="26"/>
        </w:rPr>
        <w:t xml:space="preserve"> % průměru) byla </w:t>
      </w:r>
      <w:r w:rsidRPr="006A2AC2">
        <w:rPr>
          <w:rFonts w:asciiTheme="minorHAnsi" w:hAnsiTheme="minorHAnsi"/>
          <w:b/>
          <w:bCs/>
          <w:sz w:val="26"/>
          <w:szCs w:val="26"/>
        </w:rPr>
        <w:t>vyplacena v organizacích s 1 000 a více zaměstnanci</w:t>
      </w:r>
      <w:r w:rsidRPr="006A2AC2">
        <w:rPr>
          <w:rFonts w:asciiTheme="minorHAnsi" w:hAnsiTheme="minorHAnsi"/>
          <w:bCs/>
          <w:sz w:val="26"/>
          <w:szCs w:val="26"/>
        </w:rPr>
        <w:t>.</w:t>
      </w:r>
      <w:r w:rsidRPr="006A2AC2">
        <w:rPr>
          <w:rFonts w:asciiTheme="minorHAnsi" w:hAnsiTheme="minorHAnsi"/>
          <w:b/>
          <w:bCs/>
          <w:sz w:val="26"/>
          <w:szCs w:val="26"/>
        </w:rPr>
        <w:t xml:space="preserve"> V této velikostní kategorii pracoval největší počet</w:t>
      </w:r>
      <w:r>
        <w:rPr>
          <w:rFonts w:asciiTheme="minorHAnsi" w:hAnsiTheme="minorHAnsi"/>
          <w:b/>
          <w:bCs/>
          <w:sz w:val="26"/>
          <w:szCs w:val="26"/>
        </w:rPr>
        <w:t xml:space="preserve"> </w:t>
      </w:r>
      <w:r w:rsidRPr="006A2AC2">
        <w:rPr>
          <w:rFonts w:asciiTheme="minorHAnsi" w:hAnsiTheme="minorHAnsi"/>
          <w:b/>
          <w:bCs/>
          <w:sz w:val="26"/>
          <w:szCs w:val="26"/>
        </w:rPr>
        <w:t xml:space="preserve">zaměstnanců </w:t>
      </w:r>
      <w:r w:rsidRPr="006A2AC2">
        <w:rPr>
          <w:rFonts w:asciiTheme="minorHAnsi" w:hAnsiTheme="minorHAnsi"/>
          <w:bCs/>
          <w:sz w:val="26"/>
          <w:szCs w:val="26"/>
        </w:rPr>
        <w:t>–</w:t>
      </w:r>
      <w:r w:rsidRPr="006A2AC2">
        <w:rPr>
          <w:rFonts w:asciiTheme="minorHAnsi" w:hAnsiTheme="minorHAnsi"/>
          <w:b/>
          <w:bCs/>
          <w:sz w:val="26"/>
          <w:szCs w:val="26"/>
        </w:rPr>
        <w:t xml:space="preserve"> 99</w:t>
      </w:r>
      <w:r>
        <w:rPr>
          <w:rFonts w:asciiTheme="minorHAnsi" w:hAnsiTheme="minorHAnsi"/>
          <w:b/>
          <w:bCs/>
          <w:sz w:val="26"/>
          <w:szCs w:val="26"/>
        </w:rPr>
        <w:t>9</w:t>
      </w:r>
      <w:r w:rsidRPr="006A2AC2">
        <w:rPr>
          <w:rFonts w:asciiTheme="minorHAnsi" w:hAnsiTheme="minorHAnsi"/>
          <w:b/>
          <w:bCs/>
          <w:sz w:val="26"/>
          <w:szCs w:val="26"/>
        </w:rPr>
        <w:t>,</w:t>
      </w:r>
      <w:r>
        <w:rPr>
          <w:rFonts w:asciiTheme="minorHAnsi" w:hAnsiTheme="minorHAnsi"/>
          <w:b/>
          <w:bCs/>
          <w:sz w:val="26"/>
          <w:szCs w:val="26"/>
        </w:rPr>
        <w:t>3</w:t>
      </w:r>
      <w:r w:rsidRPr="006A2AC2">
        <w:rPr>
          <w:rFonts w:asciiTheme="minorHAnsi" w:hAnsiTheme="minorHAnsi"/>
          <w:b/>
          <w:bCs/>
          <w:sz w:val="26"/>
          <w:szCs w:val="26"/>
        </w:rPr>
        <w:t> tis.</w:t>
      </w:r>
      <w:r w:rsidRPr="006A2AC2">
        <w:rPr>
          <w:rFonts w:asciiTheme="minorHAnsi" w:hAnsiTheme="minorHAnsi"/>
          <w:bCs/>
          <w:sz w:val="26"/>
          <w:szCs w:val="26"/>
        </w:rPr>
        <w:t xml:space="preserve"> Největší nárůst průměrné </w:t>
      </w:r>
      <w:r w:rsidRPr="006A2AC2">
        <w:rPr>
          <w:rFonts w:asciiTheme="minorHAnsi" w:hAnsiTheme="minorHAnsi"/>
          <w:bCs/>
          <w:sz w:val="26"/>
          <w:szCs w:val="26"/>
        </w:rPr>
        <w:lastRenderedPageBreak/>
        <w:t>nominální mzdy o </w:t>
      </w:r>
      <w:r>
        <w:rPr>
          <w:rFonts w:asciiTheme="minorHAnsi" w:hAnsiTheme="minorHAnsi"/>
          <w:bCs/>
          <w:sz w:val="26"/>
          <w:szCs w:val="26"/>
        </w:rPr>
        <w:t>8</w:t>
      </w:r>
      <w:r w:rsidRPr="006A2AC2">
        <w:rPr>
          <w:rFonts w:asciiTheme="minorHAnsi" w:hAnsiTheme="minorHAnsi"/>
          <w:bCs/>
          <w:sz w:val="26"/>
          <w:szCs w:val="26"/>
        </w:rPr>
        <w:t>,</w:t>
      </w:r>
      <w:r>
        <w:rPr>
          <w:rFonts w:asciiTheme="minorHAnsi" w:hAnsiTheme="minorHAnsi"/>
          <w:bCs/>
          <w:sz w:val="26"/>
          <w:szCs w:val="26"/>
        </w:rPr>
        <w:t>6</w:t>
      </w:r>
      <w:r w:rsidRPr="006A2AC2">
        <w:rPr>
          <w:rFonts w:asciiTheme="minorHAnsi" w:hAnsiTheme="minorHAnsi"/>
          <w:bCs/>
          <w:sz w:val="26"/>
          <w:szCs w:val="26"/>
        </w:rPr>
        <w:t> % byl zaznamenán u</w:t>
      </w:r>
      <w:r>
        <w:rPr>
          <w:rFonts w:asciiTheme="minorHAnsi" w:hAnsiTheme="minorHAnsi"/>
          <w:bCs/>
          <w:sz w:val="26"/>
          <w:szCs w:val="26"/>
        </w:rPr>
        <w:t xml:space="preserve"> nejmenších </w:t>
      </w:r>
      <w:r w:rsidRPr="006A2AC2">
        <w:rPr>
          <w:rFonts w:asciiTheme="minorHAnsi" w:hAnsiTheme="minorHAnsi"/>
          <w:bCs/>
          <w:sz w:val="26"/>
          <w:szCs w:val="26"/>
        </w:rPr>
        <w:t xml:space="preserve">zaměstnavatelů </w:t>
      </w:r>
      <w:r>
        <w:rPr>
          <w:rFonts w:asciiTheme="minorHAnsi" w:hAnsiTheme="minorHAnsi"/>
          <w:bCs/>
          <w:sz w:val="26"/>
          <w:szCs w:val="26"/>
        </w:rPr>
        <w:t>(s počtem zaměstnanců do</w:t>
      </w:r>
      <w:r w:rsidRPr="006A2AC2">
        <w:rPr>
          <w:rFonts w:asciiTheme="minorHAnsi" w:hAnsiTheme="minorHAnsi"/>
          <w:bCs/>
          <w:sz w:val="26"/>
          <w:szCs w:val="26"/>
        </w:rPr>
        <w:t xml:space="preserve"> </w:t>
      </w:r>
      <w:r>
        <w:rPr>
          <w:rFonts w:asciiTheme="minorHAnsi" w:hAnsiTheme="minorHAnsi"/>
          <w:bCs/>
          <w:sz w:val="26"/>
          <w:szCs w:val="26"/>
        </w:rPr>
        <w:t>1</w:t>
      </w:r>
      <w:r w:rsidRPr="006A2AC2">
        <w:rPr>
          <w:rFonts w:asciiTheme="minorHAnsi" w:hAnsiTheme="minorHAnsi"/>
          <w:bCs/>
          <w:sz w:val="26"/>
          <w:szCs w:val="26"/>
        </w:rPr>
        <w:t>9</w:t>
      </w:r>
      <w:r>
        <w:rPr>
          <w:rFonts w:asciiTheme="minorHAnsi" w:hAnsiTheme="minorHAnsi"/>
          <w:bCs/>
          <w:sz w:val="26"/>
          <w:szCs w:val="26"/>
        </w:rPr>
        <w:t xml:space="preserve">) a naopak nejnižší nárůst o 4,0 % u největších zaměstnavatelů </w:t>
      </w:r>
      <w:r w:rsidRPr="0080146E">
        <w:rPr>
          <w:rFonts w:asciiTheme="minorHAnsi" w:hAnsiTheme="minorHAnsi"/>
          <w:bCs/>
          <w:sz w:val="26"/>
          <w:szCs w:val="26"/>
        </w:rPr>
        <w:t>(s </w:t>
      </w:r>
      <w:r w:rsidR="00BA0CBC" w:rsidRPr="0080146E">
        <w:rPr>
          <w:rFonts w:asciiTheme="minorHAnsi" w:hAnsiTheme="minorHAnsi"/>
          <w:bCs/>
          <w:sz w:val="26"/>
          <w:szCs w:val="26"/>
        </w:rPr>
        <w:t>1 000 a více</w:t>
      </w:r>
      <w:r w:rsidRPr="0080146E">
        <w:rPr>
          <w:rFonts w:asciiTheme="minorHAnsi" w:hAnsiTheme="minorHAnsi"/>
          <w:bCs/>
          <w:sz w:val="26"/>
          <w:szCs w:val="26"/>
        </w:rPr>
        <w:t xml:space="preserve"> zaměstnanc</w:t>
      </w:r>
      <w:r w:rsidR="00BA0CBC" w:rsidRPr="0080146E">
        <w:rPr>
          <w:rFonts w:asciiTheme="minorHAnsi" w:hAnsiTheme="minorHAnsi"/>
          <w:bCs/>
          <w:sz w:val="26"/>
          <w:szCs w:val="26"/>
        </w:rPr>
        <w:t>i</w:t>
      </w:r>
      <w:r w:rsidRPr="0080146E">
        <w:rPr>
          <w:rFonts w:asciiTheme="minorHAnsi" w:hAnsiTheme="minorHAnsi"/>
          <w:bCs/>
          <w:sz w:val="26"/>
          <w:szCs w:val="26"/>
        </w:rPr>
        <w:t xml:space="preserve">). K nárůstu počtu zaměstnanců došlo u všech </w:t>
      </w:r>
      <w:r w:rsidR="00FE26D1" w:rsidRPr="0080146E">
        <w:rPr>
          <w:rFonts w:asciiTheme="minorHAnsi" w:hAnsiTheme="minorHAnsi"/>
          <w:bCs/>
          <w:sz w:val="26"/>
          <w:szCs w:val="26"/>
        </w:rPr>
        <w:t xml:space="preserve">sledovaných velikostních kategorií </w:t>
      </w:r>
      <w:r w:rsidRPr="0080146E">
        <w:rPr>
          <w:rFonts w:asciiTheme="minorHAnsi" w:hAnsiTheme="minorHAnsi"/>
          <w:bCs/>
          <w:sz w:val="26"/>
          <w:szCs w:val="26"/>
        </w:rPr>
        <w:t>zaměstnavatelů (v rozsahu od 1,3 tis. do 9,8 tis.) – podrobněji viz</w:t>
      </w:r>
      <w:r w:rsidR="00BA0CBC" w:rsidRPr="0080146E">
        <w:rPr>
          <w:rFonts w:asciiTheme="minorHAnsi" w:hAnsiTheme="minorHAnsi"/>
          <w:bCs/>
          <w:sz w:val="26"/>
          <w:szCs w:val="26"/>
        </w:rPr>
        <w:t> </w:t>
      </w:r>
      <w:r w:rsidRPr="0080146E">
        <w:rPr>
          <w:rFonts w:asciiTheme="minorHAnsi" w:hAnsiTheme="minorHAnsi"/>
          <w:bCs/>
          <w:sz w:val="26"/>
          <w:szCs w:val="26"/>
        </w:rPr>
        <w:t>tabulku č. 6 v příloze.</w:t>
      </w:r>
    </w:p>
    <w:p w14:paraId="2326007C" w14:textId="7D49A621" w:rsidR="00F07F6D" w:rsidRDefault="00F07F6D" w:rsidP="00771DAB">
      <w:pPr>
        <w:spacing w:after="240" w:line="360" w:lineRule="auto"/>
        <w:jc w:val="both"/>
        <w:rPr>
          <w:rFonts w:asciiTheme="minorHAnsi" w:hAnsiTheme="minorHAnsi"/>
          <w:bCs/>
          <w:sz w:val="26"/>
          <w:szCs w:val="26"/>
        </w:rPr>
      </w:pPr>
      <w:r w:rsidRPr="0080146E">
        <w:rPr>
          <w:rFonts w:asciiTheme="minorHAnsi" w:hAnsiTheme="minorHAnsi"/>
          <w:bCs/>
          <w:sz w:val="26"/>
          <w:szCs w:val="26"/>
        </w:rPr>
        <w:tab/>
      </w:r>
      <w:r w:rsidRPr="0080146E">
        <w:rPr>
          <w:rFonts w:asciiTheme="minorHAnsi" w:hAnsiTheme="minorHAnsi"/>
          <w:b/>
          <w:bCs/>
          <w:sz w:val="26"/>
          <w:szCs w:val="26"/>
        </w:rPr>
        <w:t>V územním členění podle krajů</w:t>
      </w:r>
      <w:r w:rsidRPr="0080146E">
        <w:rPr>
          <w:rFonts w:asciiTheme="minorHAnsi" w:hAnsiTheme="minorHAnsi"/>
          <w:bCs/>
          <w:sz w:val="26"/>
          <w:szCs w:val="26"/>
        </w:rPr>
        <w:t xml:space="preserve"> (rovněž viz graf na následující straně)</w:t>
      </w:r>
      <w:r w:rsidRPr="0080146E">
        <w:rPr>
          <w:rFonts w:asciiTheme="minorHAnsi" w:hAnsiTheme="minorHAnsi"/>
          <w:b/>
          <w:bCs/>
          <w:sz w:val="26"/>
          <w:szCs w:val="26"/>
        </w:rPr>
        <w:t xml:space="preserve"> bylo v 1. pololetí</w:t>
      </w:r>
      <w:r w:rsidRPr="0080146E">
        <w:rPr>
          <w:rFonts w:asciiTheme="minorHAnsi" w:hAnsiTheme="minorHAnsi"/>
          <w:sz w:val="26"/>
          <w:szCs w:val="26"/>
        </w:rPr>
        <w:t xml:space="preserve"> 2022 </w:t>
      </w:r>
      <w:r w:rsidRPr="0080146E">
        <w:rPr>
          <w:rFonts w:asciiTheme="minorHAnsi" w:hAnsiTheme="minorHAnsi"/>
          <w:b/>
          <w:bCs/>
          <w:sz w:val="26"/>
          <w:szCs w:val="26"/>
        </w:rPr>
        <w:t>dosaženo</w:t>
      </w:r>
      <w:r w:rsidRPr="0080146E">
        <w:rPr>
          <w:rFonts w:asciiTheme="minorHAnsi" w:hAnsiTheme="minorHAnsi"/>
          <w:sz w:val="26"/>
          <w:szCs w:val="26"/>
        </w:rPr>
        <w:t xml:space="preserve"> </w:t>
      </w:r>
      <w:r w:rsidRPr="0080146E">
        <w:rPr>
          <w:rFonts w:asciiTheme="minorHAnsi" w:hAnsiTheme="minorHAnsi"/>
          <w:b/>
          <w:bCs/>
          <w:sz w:val="26"/>
          <w:szCs w:val="26"/>
        </w:rPr>
        <w:t xml:space="preserve">nejvyšší průměrné </w:t>
      </w:r>
      <w:r w:rsidRPr="0080146E">
        <w:rPr>
          <w:rFonts w:asciiTheme="minorHAnsi" w:hAnsiTheme="minorHAnsi"/>
          <w:bCs/>
          <w:sz w:val="26"/>
          <w:szCs w:val="26"/>
        </w:rPr>
        <w:t xml:space="preserve">měsíční </w:t>
      </w:r>
      <w:r w:rsidRPr="0080146E">
        <w:rPr>
          <w:rFonts w:asciiTheme="minorHAnsi" w:hAnsiTheme="minorHAnsi"/>
          <w:b/>
          <w:bCs/>
          <w:sz w:val="26"/>
          <w:szCs w:val="26"/>
        </w:rPr>
        <w:t>mzdy 48 936 Kč v hl. m</w:t>
      </w:r>
      <w:r w:rsidR="00BA0CBC" w:rsidRPr="0080146E">
        <w:rPr>
          <w:rFonts w:asciiTheme="minorHAnsi" w:hAnsiTheme="minorHAnsi"/>
          <w:b/>
          <w:bCs/>
          <w:sz w:val="26"/>
          <w:szCs w:val="26"/>
        </w:rPr>
        <w:t>.</w:t>
      </w:r>
      <w:r w:rsidRPr="0080146E">
        <w:rPr>
          <w:rFonts w:asciiTheme="minorHAnsi" w:hAnsiTheme="minorHAnsi"/>
          <w:b/>
          <w:bCs/>
          <w:sz w:val="26"/>
          <w:szCs w:val="26"/>
        </w:rPr>
        <w:t> Praze,</w:t>
      </w:r>
      <w:r w:rsidRPr="0080146E">
        <w:rPr>
          <w:rFonts w:asciiTheme="minorHAnsi" w:hAnsiTheme="minorHAnsi"/>
          <w:bCs/>
          <w:sz w:val="26"/>
          <w:szCs w:val="26"/>
        </w:rPr>
        <w:t xml:space="preserve"> ve kterém byl zároveň evidován největší počet zaměstnanců (844,6 tis. podle </w:t>
      </w:r>
      <w:proofErr w:type="spellStart"/>
      <w:r w:rsidRPr="0080146E">
        <w:rPr>
          <w:rFonts w:asciiTheme="minorHAnsi" w:hAnsiTheme="minorHAnsi"/>
          <w:bCs/>
          <w:sz w:val="26"/>
          <w:szCs w:val="26"/>
        </w:rPr>
        <w:t>pracovištní</w:t>
      </w:r>
      <w:proofErr w:type="spellEnd"/>
      <w:r w:rsidRPr="0080146E">
        <w:rPr>
          <w:rFonts w:asciiTheme="minorHAnsi" w:hAnsiTheme="minorHAnsi"/>
          <w:bCs/>
          <w:sz w:val="26"/>
          <w:szCs w:val="26"/>
        </w:rPr>
        <w:t xml:space="preserve"> metody z údajů z podnikového výkaznictví ČSÚ).</w:t>
      </w:r>
      <w:r w:rsidRPr="0080146E">
        <w:rPr>
          <w:rFonts w:asciiTheme="minorHAnsi" w:hAnsiTheme="minorHAnsi"/>
          <w:sz w:val="26"/>
          <w:szCs w:val="26"/>
        </w:rPr>
        <w:t xml:space="preserve"> </w:t>
      </w:r>
      <w:r w:rsidRPr="0080146E">
        <w:rPr>
          <w:rFonts w:asciiTheme="minorHAnsi" w:hAnsiTheme="minorHAnsi"/>
          <w:b/>
          <w:bCs/>
          <w:sz w:val="26"/>
          <w:szCs w:val="26"/>
        </w:rPr>
        <w:t>Dlouhodobě se jedná o region, který úrovní průměrné mzdy výrazně převyšuje celorepublikový průměr,</w:t>
      </w:r>
      <w:r w:rsidRPr="0080146E">
        <w:rPr>
          <w:rFonts w:asciiTheme="minorHAnsi" w:hAnsiTheme="minorHAnsi"/>
          <w:bCs/>
          <w:sz w:val="26"/>
          <w:szCs w:val="26"/>
        </w:rPr>
        <w:t xml:space="preserve"> a</w:t>
      </w:r>
      <w:r w:rsidR="00BA0CBC" w:rsidRPr="0080146E">
        <w:rPr>
          <w:rFonts w:asciiTheme="minorHAnsi" w:hAnsiTheme="minorHAnsi"/>
          <w:bCs/>
          <w:sz w:val="26"/>
          <w:szCs w:val="26"/>
        </w:rPr>
        <w:t> </w:t>
      </w:r>
      <w:r w:rsidRPr="0080146E">
        <w:rPr>
          <w:rFonts w:asciiTheme="minorHAnsi" w:hAnsiTheme="minorHAnsi"/>
          <w:bCs/>
          <w:sz w:val="26"/>
          <w:szCs w:val="26"/>
        </w:rPr>
        <w:t xml:space="preserve">to o cca 25 % (o 9 903 Kč). Jednalo se zároveň o kraj s největším nárůstem </w:t>
      </w:r>
      <w:r w:rsidRPr="0027229F">
        <w:rPr>
          <w:rFonts w:asciiTheme="minorHAnsi" w:hAnsiTheme="minorHAnsi"/>
          <w:bCs/>
          <w:sz w:val="26"/>
          <w:szCs w:val="26"/>
        </w:rPr>
        <w:t xml:space="preserve">absolutního počtu zaměstnanců </w:t>
      </w:r>
      <w:r>
        <w:rPr>
          <w:rFonts w:asciiTheme="minorHAnsi" w:hAnsiTheme="minorHAnsi"/>
          <w:bCs/>
          <w:sz w:val="26"/>
          <w:szCs w:val="26"/>
        </w:rPr>
        <w:t>(</w:t>
      </w:r>
      <w:r w:rsidRPr="0027229F">
        <w:rPr>
          <w:rFonts w:asciiTheme="minorHAnsi" w:hAnsiTheme="minorHAnsi"/>
          <w:bCs/>
          <w:sz w:val="26"/>
          <w:szCs w:val="26"/>
        </w:rPr>
        <w:t>o </w:t>
      </w:r>
      <w:r>
        <w:rPr>
          <w:rFonts w:asciiTheme="minorHAnsi" w:hAnsiTheme="minorHAnsi"/>
          <w:bCs/>
          <w:sz w:val="26"/>
          <w:szCs w:val="26"/>
        </w:rPr>
        <w:t>24</w:t>
      </w:r>
      <w:r w:rsidRPr="0027229F">
        <w:rPr>
          <w:rFonts w:asciiTheme="minorHAnsi" w:hAnsiTheme="minorHAnsi"/>
          <w:bCs/>
          <w:sz w:val="26"/>
          <w:szCs w:val="26"/>
        </w:rPr>
        <w:t>,</w:t>
      </w:r>
      <w:r>
        <w:rPr>
          <w:rFonts w:asciiTheme="minorHAnsi" w:hAnsiTheme="minorHAnsi"/>
          <w:bCs/>
          <w:sz w:val="26"/>
          <w:szCs w:val="26"/>
        </w:rPr>
        <w:t>0</w:t>
      </w:r>
      <w:r w:rsidRPr="0027229F">
        <w:rPr>
          <w:rFonts w:asciiTheme="minorHAnsi" w:hAnsiTheme="minorHAnsi"/>
          <w:bCs/>
          <w:sz w:val="26"/>
          <w:szCs w:val="26"/>
        </w:rPr>
        <w:t> tis.</w:t>
      </w:r>
      <w:r>
        <w:rPr>
          <w:rFonts w:asciiTheme="minorHAnsi" w:hAnsiTheme="minorHAnsi"/>
          <w:bCs/>
          <w:sz w:val="26"/>
          <w:szCs w:val="26"/>
        </w:rPr>
        <w:t>)</w:t>
      </w:r>
      <w:r w:rsidRPr="0027229F">
        <w:rPr>
          <w:rFonts w:asciiTheme="minorHAnsi" w:hAnsiTheme="minorHAnsi"/>
          <w:bCs/>
          <w:sz w:val="26"/>
          <w:szCs w:val="26"/>
        </w:rPr>
        <w:t xml:space="preserve">; ke zvýšení počtu zaměstnanců došlo </w:t>
      </w:r>
      <w:r>
        <w:rPr>
          <w:rFonts w:asciiTheme="minorHAnsi" w:hAnsiTheme="minorHAnsi"/>
          <w:bCs/>
          <w:sz w:val="26"/>
          <w:szCs w:val="26"/>
        </w:rPr>
        <w:t>rovněž,</w:t>
      </w:r>
      <w:r w:rsidRPr="0027229F">
        <w:rPr>
          <w:rFonts w:asciiTheme="minorHAnsi" w:hAnsiTheme="minorHAnsi"/>
          <w:bCs/>
          <w:sz w:val="26"/>
          <w:szCs w:val="26"/>
        </w:rPr>
        <w:t xml:space="preserve"> </w:t>
      </w:r>
      <w:r>
        <w:rPr>
          <w:rFonts w:asciiTheme="minorHAnsi" w:hAnsiTheme="minorHAnsi"/>
          <w:bCs/>
          <w:sz w:val="26"/>
          <w:szCs w:val="26"/>
        </w:rPr>
        <w:t xml:space="preserve">i když ne zdaleka tak výrazně, </w:t>
      </w:r>
      <w:r w:rsidRPr="0027229F">
        <w:rPr>
          <w:rFonts w:asciiTheme="minorHAnsi" w:hAnsiTheme="minorHAnsi"/>
          <w:bCs/>
          <w:sz w:val="26"/>
          <w:szCs w:val="26"/>
        </w:rPr>
        <w:t xml:space="preserve">ve </w:t>
      </w:r>
      <w:r>
        <w:rPr>
          <w:rFonts w:asciiTheme="minorHAnsi" w:hAnsiTheme="minorHAnsi"/>
          <w:bCs/>
          <w:sz w:val="26"/>
          <w:szCs w:val="26"/>
        </w:rPr>
        <w:t>všech ostatních krajích s výjimkou Ústeckého a Moravskoslezského</w:t>
      </w:r>
      <w:r w:rsidRPr="0027229F">
        <w:rPr>
          <w:rFonts w:asciiTheme="minorHAnsi" w:hAnsiTheme="minorHAnsi"/>
          <w:bCs/>
          <w:sz w:val="26"/>
          <w:szCs w:val="26"/>
        </w:rPr>
        <w:t xml:space="preserve"> kraj</w:t>
      </w:r>
      <w:r>
        <w:rPr>
          <w:rFonts w:asciiTheme="minorHAnsi" w:hAnsiTheme="minorHAnsi"/>
          <w:bCs/>
          <w:sz w:val="26"/>
          <w:szCs w:val="26"/>
        </w:rPr>
        <w:t>e</w:t>
      </w:r>
      <w:r w:rsidRPr="0027229F">
        <w:rPr>
          <w:rFonts w:asciiTheme="minorHAnsi" w:hAnsiTheme="minorHAnsi"/>
          <w:bCs/>
          <w:sz w:val="26"/>
          <w:szCs w:val="26"/>
        </w:rPr>
        <w:t xml:space="preserve">, </w:t>
      </w:r>
      <w:r>
        <w:rPr>
          <w:rFonts w:asciiTheme="minorHAnsi" w:hAnsiTheme="minorHAnsi"/>
          <w:bCs/>
          <w:sz w:val="26"/>
          <w:szCs w:val="26"/>
        </w:rPr>
        <w:t xml:space="preserve">které </w:t>
      </w:r>
      <w:r w:rsidRPr="0027229F">
        <w:rPr>
          <w:rFonts w:asciiTheme="minorHAnsi" w:hAnsiTheme="minorHAnsi"/>
          <w:bCs/>
          <w:sz w:val="26"/>
          <w:szCs w:val="26"/>
        </w:rPr>
        <w:t>zaznamenaly pokles počtu zaměstnanců (o</w:t>
      </w:r>
      <w:r>
        <w:rPr>
          <w:rFonts w:asciiTheme="minorHAnsi" w:hAnsiTheme="minorHAnsi"/>
          <w:bCs/>
          <w:sz w:val="26"/>
          <w:szCs w:val="26"/>
        </w:rPr>
        <w:t> 1</w:t>
      </w:r>
      <w:r w:rsidRPr="0027229F">
        <w:rPr>
          <w:rFonts w:asciiTheme="minorHAnsi" w:hAnsiTheme="minorHAnsi"/>
          <w:bCs/>
          <w:sz w:val="26"/>
          <w:szCs w:val="26"/>
        </w:rPr>
        <w:t>,</w:t>
      </w:r>
      <w:r>
        <w:rPr>
          <w:rFonts w:asciiTheme="minorHAnsi" w:hAnsiTheme="minorHAnsi"/>
          <w:bCs/>
          <w:sz w:val="26"/>
          <w:szCs w:val="26"/>
        </w:rPr>
        <w:t>0</w:t>
      </w:r>
      <w:r w:rsidRPr="0027229F">
        <w:rPr>
          <w:rFonts w:asciiTheme="minorHAnsi" w:hAnsiTheme="minorHAnsi"/>
          <w:bCs/>
          <w:sz w:val="26"/>
          <w:szCs w:val="26"/>
        </w:rPr>
        <w:t> tis.</w:t>
      </w:r>
      <w:r>
        <w:rPr>
          <w:rFonts w:asciiTheme="minorHAnsi" w:hAnsiTheme="minorHAnsi"/>
          <w:bCs/>
          <w:sz w:val="26"/>
          <w:szCs w:val="26"/>
        </w:rPr>
        <w:t>, resp.</w:t>
      </w:r>
      <w:r w:rsidRPr="0027229F">
        <w:rPr>
          <w:rFonts w:asciiTheme="minorHAnsi" w:hAnsiTheme="minorHAnsi"/>
          <w:bCs/>
          <w:sz w:val="26"/>
          <w:szCs w:val="26"/>
        </w:rPr>
        <w:t xml:space="preserve"> o </w:t>
      </w:r>
      <w:r>
        <w:rPr>
          <w:rFonts w:asciiTheme="minorHAnsi" w:hAnsiTheme="minorHAnsi"/>
          <w:bCs/>
          <w:sz w:val="26"/>
          <w:szCs w:val="26"/>
        </w:rPr>
        <w:t>0</w:t>
      </w:r>
      <w:r w:rsidRPr="0027229F">
        <w:rPr>
          <w:rFonts w:asciiTheme="minorHAnsi" w:hAnsiTheme="minorHAnsi"/>
          <w:bCs/>
          <w:sz w:val="26"/>
          <w:szCs w:val="26"/>
        </w:rPr>
        <w:t>,</w:t>
      </w:r>
      <w:r>
        <w:rPr>
          <w:rFonts w:asciiTheme="minorHAnsi" w:hAnsiTheme="minorHAnsi"/>
          <w:bCs/>
          <w:sz w:val="26"/>
          <w:szCs w:val="26"/>
        </w:rPr>
        <w:t>2</w:t>
      </w:r>
      <w:r w:rsidRPr="0027229F">
        <w:rPr>
          <w:rFonts w:asciiTheme="minorHAnsi" w:hAnsiTheme="minorHAnsi"/>
          <w:bCs/>
          <w:sz w:val="26"/>
          <w:szCs w:val="26"/>
        </w:rPr>
        <w:t> tis.). S velkým odstupem a</w:t>
      </w:r>
      <w:r>
        <w:rPr>
          <w:rFonts w:asciiTheme="minorHAnsi" w:hAnsiTheme="minorHAnsi"/>
          <w:bCs/>
          <w:sz w:val="26"/>
          <w:szCs w:val="26"/>
        </w:rPr>
        <w:t> </w:t>
      </w:r>
      <w:r w:rsidRPr="0027229F">
        <w:rPr>
          <w:rFonts w:asciiTheme="minorHAnsi" w:hAnsiTheme="minorHAnsi"/>
          <w:bCs/>
          <w:sz w:val="26"/>
          <w:szCs w:val="26"/>
        </w:rPr>
        <w:t xml:space="preserve">překročením hranice </w:t>
      </w:r>
      <w:r w:rsidRPr="00904BD8">
        <w:rPr>
          <w:rFonts w:asciiTheme="minorHAnsi" w:hAnsiTheme="minorHAnsi"/>
          <w:bCs/>
          <w:sz w:val="26"/>
          <w:szCs w:val="26"/>
        </w:rPr>
        <w:t>39 000 Kč následoval Středočeský kraj. Nejčastěji byl zastoupen interval s průměrnou mzdou 35</w:t>
      </w:r>
      <w:r w:rsidR="00BA0CBC">
        <w:rPr>
          <w:rFonts w:asciiTheme="minorHAnsi" w:hAnsiTheme="minorHAnsi"/>
          <w:bCs/>
          <w:sz w:val="26"/>
          <w:szCs w:val="26"/>
        </w:rPr>
        <w:t> </w:t>
      </w:r>
      <w:r w:rsidRPr="00904BD8">
        <w:rPr>
          <w:rFonts w:asciiTheme="minorHAnsi" w:hAnsiTheme="minorHAnsi"/>
          <w:bCs/>
          <w:sz w:val="26"/>
          <w:szCs w:val="26"/>
        </w:rPr>
        <w:t>001</w:t>
      </w:r>
      <w:r w:rsidR="00BA0CBC">
        <w:rPr>
          <w:rFonts w:asciiTheme="minorHAnsi" w:hAnsiTheme="minorHAnsi"/>
          <w:bCs/>
          <w:sz w:val="26"/>
          <w:szCs w:val="26"/>
        </w:rPr>
        <w:t> </w:t>
      </w:r>
      <w:r w:rsidRPr="00904BD8">
        <w:rPr>
          <w:rFonts w:asciiTheme="minorHAnsi" w:hAnsiTheme="minorHAnsi"/>
          <w:bCs/>
          <w:sz w:val="26"/>
          <w:szCs w:val="26"/>
        </w:rPr>
        <w:t>až</w:t>
      </w:r>
      <w:r w:rsidR="00BA0CBC">
        <w:rPr>
          <w:rFonts w:asciiTheme="minorHAnsi" w:hAnsiTheme="minorHAnsi"/>
          <w:bCs/>
          <w:sz w:val="26"/>
          <w:szCs w:val="26"/>
        </w:rPr>
        <w:t> </w:t>
      </w:r>
      <w:r w:rsidRPr="00904BD8">
        <w:rPr>
          <w:rFonts w:asciiTheme="minorHAnsi" w:hAnsiTheme="minorHAnsi"/>
          <w:bCs/>
          <w:sz w:val="26"/>
          <w:szCs w:val="26"/>
        </w:rPr>
        <w:t>36 000 Kč, který zahrnoval 5 krajů (Moravskoslezský, Jihočeský, Liberecký, Vysočina a Ústecký kraj), a následně interval s 34 001 až 35 000 Kč s 3 kraji (Pardubický, Zlínský a</w:t>
      </w:r>
      <w:r>
        <w:rPr>
          <w:rFonts w:asciiTheme="minorHAnsi" w:hAnsiTheme="minorHAnsi"/>
          <w:bCs/>
          <w:sz w:val="26"/>
          <w:szCs w:val="26"/>
        </w:rPr>
        <w:t xml:space="preserve"> </w:t>
      </w:r>
      <w:r w:rsidRPr="00904BD8">
        <w:rPr>
          <w:rFonts w:asciiTheme="minorHAnsi" w:hAnsiTheme="minorHAnsi"/>
          <w:bCs/>
          <w:sz w:val="26"/>
          <w:szCs w:val="26"/>
        </w:rPr>
        <w:t xml:space="preserve">Olomoucký). </w:t>
      </w:r>
      <w:r w:rsidRPr="00904BD8">
        <w:rPr>
          <w:rFonts w:asciiTheme="minorHAnsi" w:hAnsiTheme="minorHAnsi"/>
          <w:b/>
          <w:bCs/>
          <w:sz w:val="26"/>
          <w:szCs w:val="26"/>
        </w:rPr>
        <w:t>Nejnižší průměrná mzda 33 672 Kč byla zaznamenána v Karlovarském kraji.</w:t>
      </w:r>
      <w:r w:rsidRPr="00904BD8">
        <w:rPr>
          <w:rFonts w:asciiTheme="minorHAnsi" w:hAnsiTheme="minorHAnsi"/>
          <w:bCs/>
          <w:sz w:val="26"/>
          <w:szCs w:val="26"/>
        </w:rPr>
        <w:t xml:space="preserve"> </w:t>
      </w:r>
      <w:r w:rsidRPr="00904BD8">
        <w:rPr>
          <w:rFonts w:asciiTheme="minorHAnsi" w:hAnsiTheme="minorHAnsi"/>
          <w:b/>
          <w:bCs/>
          <w:sz w:val="26"/>
          <w:szCs w:val="26"/>
        </w:rPr>
        <w:t xml:space="preserve">Nejvýznamnější </w:t>
      </w:r>
      <w:r w:rsidRPr="00904BD8">
        <w:rPr>
          <w:rFonts w:asciiTheme="minorHAnsi" w:hAnsiTheme="minorHAnsi"/>
          <w:bCs/>
          <w:sz w:val="26"/>
          <w:szCs w:val="26"/>
        </w:rPr>
        <w:t xml:space="preserve">relativní </w:t>
      </w:r>
      <w:r w:rsidRPr="00904BD8">
        <w:rPr>
          <w:rFonts w:asciiTheme="minorHAnsi" w:hAnsiTheme="minorHAnsi"/>
          <w:b/>
          <w:bCs/>
          <w:sz w:val="26"/>
          <w:szCs w:val="26"/>
        </w:rPr>
        <w:t xml:space="preserve">vzestup průměrné </w:t>
      </w:r>
      <w:r w:rsidRPr="00A730C6">
        <w:rPr>
          <w:rFonts w:asciiTheme="minorHAnsi" w:hAnsiTheme="minorHAnsi"/>
          <w:b/>
          <w:bCs/>
          <w:sz w:val="26"/>
          <w:szCs w:val="26"/>
        </w:rPr>
        <w:t>nominální mzdy byl vykázán</w:t>
      </w:r>
      <w:r w:rsidRPr="00C421F8">
        <w:rPr>
          <w:rFonts w:asciiTheme="minorHAnsi" w:hAnsiTheme="minorHAnsi"/>
          <w:sz w:val="26"/>
          <w:szCs w:val="26"/>
        </w:rPr>
        <w:t xml:space="preserve"> </w:t>
      </w:r>
      <w:r w:rsidRPr="00C421F8">
        <w:rPr>
          <w:rFonts w:asciiTheme="minorHAnsi" w:hAnsiTheme="minorHAnsi"/>
          <w:iCs/>
          <w:sz w:val="26"/>
          <w:szCs w:val="26"/>
        </w:rPr>
        <w:t>v </w:t>
      </w:r>
      <w:r w:rsidRPr="00C421F8">
        <w:rPr>
          <w:rFonts w:asciiTheme="minorHAnsi" w:hAnsiTheme="minorHAnsi"/>
          <w:b/>
          <w:bCs/>
          <w:iCs/>
          <w:sz w:val="26"/>
          <w:szCs w:val="26"/>
        </w:rPr>
        <w:t>hl. m. Praze</w:t>
      </w:r>
      <w:r w:rsidRPr="00C421F8">
        <w:rPr>
          <w:rFonts w:asciiTheme="minorHAnsi" w:hAnsiTheme="minorHAnsi"/>
          <w:iCs/>
          <w:sz w:val="26"/>
          <w:szCs w:val="26"/>
        </w:rPr>
        <w:t xml:space="preserve"> (o 7,0 %)</w:t>
      </w:r>
      <w:r w:rsidRPr="00C421F8">
        <w:rPr>
          <w:rFonts w:asciiTheme="minorHAnsi" w:hAnsiTheme="minorHAnsi"/>
          <w:sz w:val="26"/>
          <w:szCs w:val="26"/>
        </w:rPr>
        <w:t xml:space="preserve">. </w:t>
      </w:r>
      <w:r w:rsidRPr="00A730C6">
        <w:rPr>
          <w:rFonts w:asciiTheme="minorHAnsi" w:hAnsiTheme="minorHAnsi"/>
          <w:bCs/>
          <w:sz w:val="26"/>
          <w:szCs w:val="26"/>
        </w:rPr>
        <w:t xml:space="preserve">Následovaly </w:t>
      </w:r>
      <w:r w:rsidRPr="00A730C6">
        <w:rPr>
          <w:rFonts w:asciiTheme="minorHAnsi" w:hAnsiTheme="minorHAnsi"/>
          <w:b/>
          <w:bCs/>
          <w:sz w:val="26"/>
          <w:szCs w:val="26"/>
        </w:rPr>
        <w:t>kraje</w:t>
      </w:r>
      <w:r w:rsidRPr="00A730C6">
        <w:rPr>
          <w:rFonts w:asciiTheme="minorHAnsi" w:hAnsiTheme="minorHAnsi"/>
          <w:bCs/>
          <w:sz w:val="26"/>
          <w:szCs w:val="26"/>
        </w:rPr>
        <w:t xml:space="preserve"> </w:t>
      </w:r>
      <w:r>
        <w:rPr>
          <w:rFonts w:asciiTheme="minorHAnsi" w:hAnsiTheme="minorHAnsi"/>
          <w:b/>
          <w:bCs/>
          <w:sz w:val="26"/>
          <w:szCs w:val="26"/>
        </w:rPr>
        <w:t>Zlíns</w:t>
      </w:r>
      <w:r w:rsidRPr="00A730C6">
        <w:rPr>
          <w:rFonts w:asciiTheme="minorHAnsi" w:hAnsiTheme="minorHAnsi"/>
          <w:b/>
          <w:bCs/>
          <w:sz w:val="26"/>
          <w:szCs w:val="26"/>
        </w:rPr>
        <w:t xml:space="preserve">ký </w:t>
      </w:r>
      <w:r w:rsidRPr="00A730C6">
        <w:rPr>
          <w:rFonts w:asciiTheme="minorHAnsi" w:hAnsiTheme="minorHAnsi"/>
          <w:bCs/>
          <w:sz w:val="26"/>
          <w:szCs w:val="26"/>
        </w:rPr>
        <w:t>(o </w:t>
      </w:r>
      <w:r>
        <w:rPr>
          <w:rFonts w:asciiTheme="minorHAnsi" w:hAnsiTheme="minorHAnsi"/>
          <w:bCs/>
          <w:sz w:val="26"/>
          <w:szCs w:val="26"/>
        </w:rPr>
        <w:t>6</w:t>
      </w:r>
      <w:r w:rsidRPr="00A730C6">
        <w:rPr>
          <w:rFonts w:asciiTheme="minorHAnsi" w:hAnsiTheme="minorHAnsi"/>
          <w:bCs/>
          <w:sz w:val="26"/>
          <w:szCs w:val="26"/>
        </w:rPr>
        <w:t>,</w:t>
      </w:r>
      <w:r>
        <w:rPr>
          <w:rFonts w:asciiTheme="minorHAnsi" w:hAnsiTheme="minorHAnsi"/>
          <w:bCs/>
          <w:sz w:val="26"/>
          <w:szCs w:val="26"/>
        </w:rPr>
        <w:t>3</w:t>
      </w:r>
      <w:r w:rsidRPr="00A730C6">
        <w:rPr>
          <w:rFonts w:asciiTheme="minorHAnsi" w:hAnsiTheme="minorHAnsi"/>
          <w:bCs/>
          <w:sz w:val="26"/>
          <w:szCs w:val="26"/>
        </w:rPr>
        <w:t> %)</w:t>
      </w:r>
      <w:r>
        <w:rPr>
          <w:rFonts w:asciiTheme="minorHAnsi" w:hAnsiTheme="minorHAnsi"/>
          <w:bCs/>
          <w:sz w:val="26"/>
          <w:szCs w:val="26"/>
        </w:rPr>
        <w:t xml:space="preserve"> a</w:t>
      </w:r>
      <w:r w:rsidRPr="00A730C6">
        <w:rPr>
          <w:rFonts w:asciiTheme="minorHAnsi" w:hAnsiTheme="minorHAnsi"/>
          <w:b/>
          <w:bCs/>
          <w:sz w:val="26"/>
          <w:szCs w:val="26"/>
        </w:rPr>
        <w:t xml:space="preserve"> </w:t>
      </w:r>
      <w:r>
        <w:rPr>
          <w:rFonts w:asciiTheme="minorHAnsi" w:hAnsiTheme="minorHAnsi"/>
          <w:b/>
          <w:bCs/>
          <w:sz w:val="26"/>
          <w:szCs w:val="26"/>
        </w:rPr>
        <w:t>Středočes</w:t>
      </w:r>
      <w:r w:rsidRPr="00A730C6">
        <w:rPr>
          <w:rFonts w:asciiTheme="minorHAnsi" w:hAnsiTheme="minorHAnsi"/>
          <w:b/>
          <w:bCs/>
          <w:sz w:val="26"/>
          <w:szCs w:val="26"/>
        </w:rPr>
        <w:t xml:space="preserve">ký </w:t>
      </w:r>
      <w:r w:rsidRPr="00A730C6">
        <w:rPr>
          <w:rFonts w:asciiTheme="minorHAnsi" w:hAnsiTheme="minorHAnsi"/>
          <w:bCs/>
          <w:sz w:val="26"/>
          <w:szCs w:val="26"/>
        </w:rPr>
        <w:t>(o </w:t>
      </w:r>
      <w:r>
        <w:rPr>
          <w:rFonts w:asciiTheme="minorHAnsi" w:hAnsiTheme="minorHAnsi"/>
          <w:bCs/>
          <w:sz w:val="26"/>
          <w:szCs w:val="26"/>
        </w:rPr>
        <w:t>6</w:t>
      </w:r>
      <w:r w:rsidRPr="00A730C6">
        <w:rPr>
          <w:rFonts w:asciiTheme="minorHAnsi" w:hAnsiTheme="minorHAnsi"/>
          <w:bCs/>
          <w:sz w:val="26"/>
          <w:szCs w:val="26"/>
        </w:rPr>
        <w:t>,</w:t>
      </w:r>
      <w:r>
        <w:rPr>
          <w:rFonts w:asciiTheme="minorHAnsi" w:hAnsiTheme="minorHAnsi"/>
          <w:bCs/>
          <w:sz w:val="26"/>
          <w:szCs w:val="26"/>
        </w:rPr>
        <w:t>1</w:t>
      </w:r>
      <w:r w:rsidRPr="00A730C6">
        <w:rPr>
          <w:rFonts w:asciiTheme="minorHAnsi" w:hAnsiTheme="minorHAnsi"/>
          <w:bCs/>
          <w:sz w:val="26"/>
          <w:szCs w:val="26"/>
        </w:rPr>
        <w:t xml:space="preserve"> %). </w:t>
      </w:r>
      <w:r w:rsidRPr="00A730C6">
        <w:rPr>
          <w:rFonts w:asciiTheme="minorHAnsi" w:hAnsiTheme="minorHAnsi"/>
          <w:b/>
          <w:bCs/>
          <w:iCs/>
          <w:sz w:val="26"/>
          <w:szCs w:val="26"/>
        </w:rPr>
        <w:t>Naopak nejnižší nárůst</w:t>
      </w:r>
      <w:r w:rsidRPr="00A730C6">
        <w:rPr>
          <w:rFonts w:asciiTheme="minorHAnsi" w:hAnsiTheme="minorHAnsi"/>
          <w:bCs/>
          <w:iCs/>
          <w:sz w:val="26"/>
          <w:szCs w:val="26"/>
        </w:rPr>
        <w:t xml:space="preserve"> byl v </w:t>
      </w:r>
      <w:r>
        <w:rPr>
          <w:rFonts w:asciiTheme="minorHAnsi" w:hAnsiTheme="minorHAnsi"/>
          <w:b/>
          <w:bCs/>
          <w:iCs/>
          <w:sz w:val="26"/>
          <w:szCs w:val="26"/>
        </w:rPr>
        <w:t>Ústeckém</w:t>
      </w:r>
      <w:r w:rsidRPr="00A730C6">
        <w:rPr>
          <w:rFonts w:asciiTheme="minorHAnsi" w:hAnsiTheme="minorHAnsi"/>
          <w:bCs/>
          <w:iCs/>
          <w:sz w:val="26"/>
          <w:szCs w:val="26"/>
        </w:rPr>
        <w:t xml:space="preserve"> (o </w:t>
      </w:r>
      <w:r>
        <w:rPr>
          <w:rFonts w:asciiTheme="minorHAnsi" w:hAnsiTheme="minorHAnsi"/>
          <w:bCs/>
          <w:iCs/>
          <w:sz w:val="26"/>
          <w:szCs w:val="26"/>
        </w:rPr>
        <w:t>3</w:t>
      </w:r>
      <w:r w:rsidRPr="00A730C6">
        <w:rPr>
          <w:rFonts w:asciiTheme="minorHAnsi" w:hAnsiTheme="minorHAnsi"/>
          <w:bCs/>
          <w:iCs/>
          <w:sz w:val="26"/>
          <w:szCs w:val="26"/>
        </w:rPr>
        <w:t>,</w:t>
      </w:r>
      <w:r>
        <w:rPr>
          <w:rFonts w:asciiTheme="minorHAnsi" w:hAnsiTheme="minorHAnsi"/>
          <w:bCs/>
          <w:iCs/>
          <w:sz w:val="26"/>
          <w:szCs w:val="26"/>
        </w:rPr>
        <w:t>6</w:t>
      </w:r>
      <w:r w:rsidRPr="00A730C6">
        <w:rPr>
          <w:rFonts w:asciiTheme="minorHAnsi" w:hAnsiTheme="minorHAnsi"/>
          <w:bCs/>
          <w:iCs/>
          <w:sz w:val="26"/>
          <w:szCs w:val="26"/>
        </w:rPr>
        <w:t xml:space="preserve"> %), </w:t>
      </w:r>
      <w:r>
        <w:rPr>
          <w:rFonts w:asciiTheme="minorHAnsi" w:hAnsiTheme="minorHAnsi"/>
          <w:b/>
          <w:bCs/>
          <w:iCs/>
          <w:sz w:val="26"/>
          <w:szCs w:val="26"/>
        </w:rPr>
        <w:t>Olomouc</w:t>
      </w:r>
      <w:r w:rsidRPr="00A730C6">
        <w:rPr>
          <w:rFonts w:asciiTheme="minorHAnsi" w:hAnsiTheme="minorHAnsi"/>
          <w:b/>
          <w:bCs/>
          <w:iCs/>
          <w:sz w:val="26"/>
          <w:szCs w:val="26"/>
        </w:rPr>
        <w:t>kém</w:t>
      </w:r>
      <w:r w:rsidRPr="00A730C6">
        <w:rPr>
          <w:rFonts w:asciiTheme="minorHAnsi" w:hAnsiTheme="minorHAnsi"/>
          <w:bCs/>
          <w:iCs/>
          <w:sz w:val="26"/>
          <w:szCs w:val="26"/>
        </w:rPr>
        <w:t xml:space="preserve"> (o </w:t>
      </w:r>
      <w:r>
        <w:rPr>
          <w:rFonts w:asciiTheme="minorHAnsi" w:hAnsiTheme="minorHAnsi"/>
          <w:bCs/>
          <w:iCs/>
          <w:sz w:val="26"/>
          <w:szCs w:val="26"/>
        </w:rPr>
        <w:t>4</w:t>
      </w:r>
      <w:r w:rsidRPr="00A730C6">
        <w:rPr>
          <w:rFonts w:asciiTheme="minorHAnsi" w:hAnsiTheme="minorHAnsi"/>
          <w:bCs/>
          <w:iCs/>
          <w:sz w:val="26"/>
          <w:szCs w:val="26"/>
        </w:rPr>
        <w:t>,</w:t>
      </w:r>
      <w:r>
        <w:rPr>
          <w:rFonts w:asciiTheme="minorHAnsi" w:hAnsiTheme="minorHAnsi"/>
          <w:bCs/>
          <w:iCs/>
          <w:sz w:val="26"/>
          <w:szCs w:val="26"/>
        </w:rPr>
        <w:t>5</w:t>
      </w:r>
      <w:r w:rsidRPr="00A730C6">
        <w:rPr>
          <w:rFonts w:asciiTheme="minorHAnsi" w:hAnsiTheme="minorHAnsi"/>
          <w:bCs/>
          <w:iCs/>
          <w:sz w:val="26"/>
          <w:szCs w:val="26"/>
        </w:rPr>
        <w:t> %)</w:t>
      </w:r>
      <w:r>
        <w:rPr>
          <w:rFonts w:asciiTheme="minorHAnsi" w:hAnsiTheme="minorHAnsi"/>
          <w:bCs/>
          <w:iCs/>
          <w:sz w:val="26"/>
          <w:szCs w:val="26"/>
        </w:rPr>
        <w:t>,</w:t>
      </w:r>
      <w:r w:rsidRPr="00A730C6">
        <w:rPr>
          <w:rFonts w:asciiTheme="minorHAnsi" w:hAnsiTheme="minorHAnsi"/>
          <w:bCs/>
          <w:iCs/>
          <w:sz w:val="26"/>
          <w:szCs w:val="26"/>
        </w:rPr>
        <w:t xml:space="preserve"> </w:t>
      </w:r>
      <w:r w:rsidRPr="00C421F8">
        <w:rPr>
          <w:rFonts w:asciiTheme="minorHAnsi" w:hAnsiTheme="minorHAnsi"/>
          <w:b/>
          <w:iCs/>
          <w:sz w:val="26"/>
          <w:szCs w:val="26"/>
        </w:rPr>
        <w:t>Jihočeském</w:t>
      </w:r>
      <w:r>
        <w:rPr>
          <w:rFonts w:asciiTheme="minorHAnsi" w:hAnsiTheme="minorHAnsi"/>
          <w:bCs/>
          <w:iCs/>
          <w:sz w:val="26"/>
          <w:szCs w:val="26"/>
        </w:rPr>
        <w:t xml:space="preserve"> </w:t>
      </w:r>
      <w:r w:rsidRPr="00A730C6">
        <w:rPr>
          <w:rFonts w:asciiTheme="minorHAnsi" w:hAnsiTheme="minorHAnsi"/>
          <w:bCs/>
          <w:iCs/>
          <w:sz w:val="26"/>
          <w:szCs w:val="26"/>
        </w:rPr>
        <w:t>a</w:t>
      </w:r>
      <w:r>
        <w:rPr>
          <w:rFonts w:asciiTheme="minorHAnsi" w:hAnsiTheme="minorHAnsi"/>
          <w:bCs/>
          <w:iCs/>
          <w:sz w:val="26"/>
          <w:szCs w:val="26"/>
        </w:rPr>
        <w:t xml:space="preserve"> </w:t>
      </w:r>
      <w:r w:rsidRPr="00A730C6">
        <w:rPr>
          <w:rFonts w:asciiTheme="minorHAnsi" w:hAnsiTheme="minorHAnsi"/>
          <w:b/>
          <w:bCs/>
          <w:iCs/>
          <w:sz w:val="26"/>
          <w:szCs w:val="26"/>
        </w:rPr>
        <w:t>Plzeňském</w:t>
      </w:r>
      <w:r w:rsidRPr="00A730C6">
        <w:rPr>
          <w:rFonts w:asciiTheme="minorHAnsi" w:hAnsiTheme="minorHAnsi"/>
          <w:bCs/>
          <w:iCs/>
          <w:sz w:val="26"/>
          <w:szCs w:val="26"/>
        </w:rPr>
        <w:t xml:space="preserve"> </w:t>
      </w:r>
      <w:r w:rsidRPr="00A730C6">
        <w:rPr>
          <w:rFonts w:asciiTheme="minorHAnsi" w:hAnsiTheme="minorHAnsi"/>
          <w:b/>
          <w:bCs/>
          <w:iCs/>
          <w:sz w:val="26"/>
          <w:szCs w:val="26"/>
        </w:rPr>
        <w:t>kraji</w:t>
      </w:r>
      <w:r w:rsidRPr="00A730C6">
        <w:rPr>
          <w:rFonts w:asciiTheme="minorHAnsi" w:hAnsiTheme="minorHAnsi"/>
          <w:bCs/>
          <w:iCs/>
          <w:sz w:val="26"/>
          <w:szCs w:val="26"/>
        </w:rPr>
        <w:t xml:space="preserve"> (</w:t>
      </w:r>
      <w:r>
        <w:rPr>
          <w:rFonts w:asciiTheme="minorHAnsi" w:hAnsiTheme="minorHAnsi"/>
          <w:bCs/>
          <w:iCs/>
          <w:sz w:val="26"/>
          <w:szCs w:val="26"/>
        </w:rPr>
        <w:t xml:space="preserve">oba shodně </w:t>
      </w:r>
      <w:r w:rsidRPr="00A730C6">
        <w:rPr>
          <w:rFonts w:asciiTheme="minorHAnsi" w:hAnsiTheme="minorHAnsi"/>
          <w:bCs/>
          <w:iCs/>
          <w:sz w:val="26"/>
          <w:szCs w:val="26"/>
        </w:rPr>
        <w:t>o </w:t>
      </w:r>
      <w:r>
        <w:rPr>
          <w:rFonts w:asciiTheme="minorHAnsi" w:hAnsiTheme="minorHAnsi"/>
          <w:bCs/>
          <w:iCs/>
          <w:sz w:val="26"/>
          <w:szCs w:val="26"/>
        </w:rPr>
        <w:t>4</w:t>
      </w:r>
      <w:r w:rsidRPr="00A730C6">
        <w:rPr>
          <w:rFonts w:asciiTheme="minorHAnsi" w:hAnsiTheme="minorHAnsi"/>
          <w:bCs/>
          <w:iCs/>
          <w:sz w:val="26"/>
          <w:szCs w:val="26"/>
        </w:rPr>
        <w:t>,</w:t>
      </w:r>
      <w:r>
        <w:rPr>
          <w:rFonts w:asciiTheme="minorHAnsi" w:hAnsiTheme="minorHAnsi"/>
          <w:bCs/>
          <w:iCs/>
          <w:sz w:val="26"/>
          <w:szCs w:val="26"/>
        </w:rPr>
        <w:t>7</w:t>
      </w:r>
      <w:r w:rsidRPr="00A730C6">
        <w:rPr>
          <w:rFonts w:asciiTheme="minorHAnsi" w:hAnsiTheme="minorHAnsi"/>
          <w:bCs/>
          <w:iCs/>
          <w:sz w:val="26"/>
          <w:szCs w:val="26"/>
        </w:rPr>
        <w:t> %).</w:t>
      </w:r>
      <w:r w:rsidRPr="00A730C6">
        <w:rPr>
          <w:rFonts w:asciiTheme="minorHAnsi" w:hAnsiTheme="minorHAnsi"/>
          <w:bCs/>
          <w:sz w:val="26"/>
          <w:szCs w:val="26"/>
        </w:rPr>
        <w:t xml:space="preserve"> V porovnání se stejným obdobím předchozího roku </w:t>
      </w:r>
      <w:r w:rsidRPr="00A730C6">
        <w:rPr>
          <w:rFonts w:asciiTheme="minorHAnsi" w:hAnsiTheme="minorHAnsi"/>
          <w:b/>
          <w:bCs/>
          <w:sz w:val="26"/>
          <w:szCs w:val="26"/>
        </w:rPr>
        <w:t>kupní síla průměrné mzdy v krajském průřezu ve</w:t>
      </w:r>
      <w:r>
        <w:rPr>
          <w:rFonts w:asciiTheme="minorHAnsi" w:hAnsiTheme="minorHAnsi"/>
          <w:b/>
          <w:bCs/>
          <w:sz w:val="26"/>
          <w:szCs w:val="26"/>
        </w:rPr>
        <w:t xml:space="preserve"> </w:t>
      </w:r>
      <w:r w:rsidRPr="00A730C6">
        <w:rPr>
          <w:rFonts w:asciiTheme="minorHAnsi" w:hAnsiTheme="minorHAnsi"/>
          <w:b/>
          <w:bCs/>
          <w:sz w:val="26"/>
          <w:szCs w:val="26"/>
        </w:rPr>
        <w:t xml:space="preserve">všech krajích </w:t>
      </w:r>
      <w:r>
        <w:rPr>
          <w:rFonts w:asciiTheme="minorHAnsi" w:hAnsiTheme="minorHAnsi"/>
          <w:b/>
          <w:bCs/>
          <w:sz w:val="26"/>
          <w:szCs w:val="26"/>
        </w:rPr>
        <w:t>poklesla</w:t>
      </w:r>
      <w:r w:rsidRPr="00A730C6">
        <w:rPr>
          <w:rFonts w:asciiTheme="minorHAnsi" w:hAnsiTheme="minorHAnsi"/>
          <w:bCs/>
          <w:sz w:val="26"/>
          <w:szCs w:val="26"/>
        </w:rPr>
        <w:t xml:space="preserve"> (v rozsahu od </w:t>
      </w:r>
      <w:r>
        <w:rPr>
          <w:rFonts w:asciiTheme="minorHAnsi" w:hAnsiTheme="minorHAnsi"/>
          <w:bCs/>
          <w:sz w:val="26"/>
          <w:szCs w:val="26"/>
        </w:rPr>
        <w:t>8</w:t>
      </w:r>
      <w:r w:rsidRPr="00A730C6">
        <w:rPr>
          <w:rFonts w:asciiTheme="minorHAnsi" w:hAnsiTheme="minorHAnsi"/>
          <w:bCs/>
          <w:sz w:val="26"/>
          <w:szCs w:val="26"/>
        </w:rPr>
        <w:t>,</w:t>
      </w:r>
      <w:r>
        <w:rPr>
          <w:rFonts w:asciiTheme="minorHAnsi" w:hAnsiTheme="minorHAnsi"/>
          <w:bCs/>
          <w:sz w:val="26"/>
          <w:szCs w:val="26"/>
        </w:rPr>
        <w:t>7</w:t>
      </w:r>
      <w:r w:rsidRPr="00A730C6">
        <w:rPr>
          <w:rFonts w:asciiTheme="minorHAnsi" w:hAnsiTheme="minorHAnsi"/>
          <w:bCs/>
          <w:sz w:val="26"/>
          <w:szCs w:val="26"/>
        </w:rPr>
        <w:t> % do</w:t>
      </w:r>
      <w:r>
        <w:rPr>
          <w:rFonts w:asciiTheme="minorHAnsi" w:hAnsiTheme="minorHAnsi"/>
          <w:bCs/>
          <w:sz w:val="26"/>
          <w:szCs w:val="26"/>
        </w:rPr>
        <w:t> 5</w:t>
      </w:r>
      <w:r w:rsidRPr="00A730C6">
        <w:rPr>
          <w:rFonts w:asciiTheme="minorHAnsi" w:hAnsiTheme="minorHAnsi"/>
          <w:bCs/>
          <w:sz w:val="26"/>
          <w:szCs w:val="26"/>
        </w:rPr>
        <w:t>,</w:t>
      </w:r>
      <w:r>
        <w:rPr>
          <w:rFonts w:asciiTheme="minorHAnsi" w:hAnsiTheme="minorHAnsi"/>
          <w:bCs/>
          <w:sz w:val="26"/>
          <w:szCs w:val="26"/>
        </w:rPr>
        <w:t>7</w:t>
      </w:r>
      <w:r w:rsidRPr="00A730C6">
        <w:rPr>
          <w:rFonts w:asciiTheme="minorHAnsi" w:hAnsiTheme="minorHAnsi"/>
          <w:bCs/>
          <w:sz w:val="26"/>
          <w:szCs w:val="26"/>
        </w:rPr>
        <w:t xml:space="preserve"> %) </w:t>
      </w:r>
      <w:r w:rsidRPr="008E1C8D">
        <w:rPr>
          <w:rFonts w:asciiTheme="minorHAnsi" w:hAnsiTheme="minorHAnsi"/>
          <w:bCs/>
          <w:sz w:val="26"/>
          <w:szCs w:val="26"/>
        </w:rPr>
        <w:t>– viz</w:t>
      </w:r>
      <w:r w:rsidR="00FE26D1">
        <w:rPr>
          <w:rFonts w:asciiTheme="minorHAnsi" w:hAnsiTheme="minorHAnsi"/>
          <w:bCs/>
          <w:sz w:val="26"/>
          <w:szCs w:val="26"/>
        </w:rPr>
        <w:t> </w:t>
      </w:r>
      <w:r w:rsidRPr="008E1C8D">
        <w:rPr>
          <w:rFonts w:asciiTheme="minorHAnsi" w:hAnsiTheme="minorHAnsi"/>
          <w:bCs/>
          <w:sz w:val="26"/>
          <w:szCs w:val="26"/>
        </w:rPr>
        <w:t>tabulku č.</w:t>
      </w:r>
      <w:r>
        <w:rPr>
          <w:rFonts w:asciiTheme="minorHAnsi" w:hAnsiTheme="minorHAnsi"/>
          <w:bCs/>
          <w:sz w:val="26"/>
          <w:szCs w:val="26"/>
        </w:rPr>
        <w:t> </w:t>
      </w:r>
      <w:r w:rsidRPr="008E1C8D">
        <w:rPr>
          <w:rFonts w:asciiTheme="minorHAnsi" w:hAnsiTheme="minorHAnsi"/>
          <w:bCs/>
          <w:sz w:val="26"/>
          <w:szCs w:val="26"/>
        </w:rPr>
        <w:t>7 v příloze.</w:t>
      </w:r>
    </w:p>
    <w:p w14:paraId="03ED4C0C" w14:textId="77777777" w:rsidR="00F07F6D" w:rsidRDefault="00F07F6D" w:rsidP="00F07F6D">
      <w:pPr>
        <w:spacing w:line="360" w:lineRule="auto"/>
        <w:jc w:val="center"/>
        <w:rPr>
          <w:rFonts w:asciiTheme="minorHAnsi" w:hAnsiTheme="minorHAnsi"/>
          <w:bCs/>
          <w:sz w:val="26"/>
          <w:szCs w:val="26"/>
        </w:rPr>
      </w:pPr>
      <w:r>
        <w:rPr>
          <w:rFonts w:asciiTheme="minorHAnsi" w:hAnsiTheme="minorHAnsi"/>
          <w:bCs/>
          <w:noProof/>
          <w:sz w:val="26"/>
          <w:szCs w:val="26"/>
        </w:rPr>
        <w:lastRenderedPageBreak/>
        <w:drawing>
          <wp:inline distT="0" distB="0" distL="0" distR="0" wp14:anchorId="3A591B49" wp14:editId="07789BE9">
            <wp:extent cx="5759450" cy="3926840"/>
            <wp:effectExtent l="0" t="0" r="0" b="0"/>
            <wp:docPr id="8" name="Obrázek 8"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5759450" cy="3926840"/>
                    </a:xfrm>
                    <a:prstGeom prst="rect">
                      <a:avLst/>
                    </a:prstGeom>
                  </pic:spPr>
                </pic:pic>
              </a:graphicData>
            </a:graphic>
          </wp:inline>
        </w:drawing>
      </w:r>
    </w:p>
    <w:p w14:paraId="418B2846" w14:textId="77777777" w:rsidR="00F07F6D" w:rsidRPr="00C67B8E" w:rsidRDefault="00F07F6D" w:rsidP="00F07F6D">
      <w:pPr>
        <w:spacing w:line="360" w:lineRule="auto"/>
        <w:jc w:val="both"/>
        <w:rPr>
          <w:rFonts w:asciiTheme="minorHAnsi" w:hAnsiTheme="minorHAnsi"/>
          <w:bCs/>
          <w:sz w:val="22"/>
          <w:szCs w:val="22"/>
        </w:rPr>
      </w:pPr>
      <w:r w:rsidRPr="00C67B8E">
        <w:rPr>
          <w:rFonts w:asciiTheme="minorHAnsi" w:hAnsiTheme="minorHAnsi"/>
          <w:bCs/>
          <w:sz w:val="22"/>
          <w:szCs w:val="22"/>
        </w:rPr>
        <w:t>Zpracováno z údajů ČSÚ</w:t>
      </w:r>
    </w:p>
    <w:p w14:paraId="1294DCF3" w14:textId="77777777" w:rsidR="00F07F6D" w:rsidRPr="008E1C8D" w:rsidRDefault="00F07F6D" w:rsidP="00F07F6D">
      <w:pPr>
        <w:spacing w:line="360" w:lineRule="auto"/>
        <w:jc w:val="both"/>
        <w:rPr>
          <w:rFonts w:asciiTheme="minorHAnsi" w:hAnsiTheme="minorHAnsi"/>
          <w:bCs/>
          <w:sz w:val="26"/>
          <w:szCs w:val="26"/>
        </w:rPr>
      </w:pPr>
    </w:p>
    <w:p w14:paraId="73ED0FBF" w14:textId="24E700CA" w:rsidR="00F07F6D" w:rsidRDefault="00F07F6D" w:rsidP="00F07F6D">
      <w:pPr>
        <w:spacing w:line="360" w:lineRule="auto"/>
        <w:jc w:val="both"/>
        <w:rPr>
          <w:rFonts w:asciiTheme="minorHAnsi" w:hAnsiTheme="minorHAnsi"/>
          <w:bCs/>
          <w:sz w:val="26"/>
          <w:szCs w:val="26"/>
        </w:rPr>
      </w:pPr>
      <w:r w:rsidRPr="008E1C8D">
        <w:rPr>
          <w:rFonts w:asciiTheme="minorHAnsi" w:hAnsiTheme="minorHAnsi"/>
          <w:sz w:val="26"/>
          <w:szCs w:val="26"/>
        </w:rPr>
        <w:tab/>
      </w:r>
      <w:r w:rsidRPr="008E1C8D">
        <w:rPr>
          <w:rFonts w:asciiTheme="minorHAnsi" w:hAnsiTheme="minorHAnsi"/>
          <w:b/>
          <w:bCs/>
          <w:sz w:val="26"/>
          <w:szCs w:val="26"/>
        </w:rPr>
        <w:t>D</w:t>
      </w:r>
      <w:r w:rsidRPr="008E1C8D">
        <w:rPr>
          <w:rFonts w:asciiTheme="minorHAnsi" w:hAnsiTheme="minorHAnsi"/>
          <w:b/>
          <w:sz w:val="26"/>
          <w:szCs w:val="26"/>
        </w:rPr>
        <w:t>iferenciace</w:t>
      </w:r>
      <w:r w:rsidRPr="008E1C8D">
        <w:rPr>
          <w:rFonts w:asciiTheme="minorHAnsi" w:hAnsiTheme="minorHAnsi"/>
          <w:sz w:val="26"/>
          <w:szCs w:val="26"/>
        </w:rPr>
        <w:t xml:space="preserve"> </w:t>
      </w:r>
      <w:r w:rsidRPr="008E1C8D">
        <w:rPr>
          <w:rFonts w:asciiTheme="minorHAnsi" w:hAnsiTheme="minorHAnsi"/>
          <w:bCs/>
          <w:sz w:val="26"/>
          <w:szCs w:val="26"/>
        </w:rPr>
        <w:t xml:space="preserve">extrémních mzdových hladin </w:t>
      </w:r>
      <w:r w:rsidRPr="008E1C8D">
        <w:rPr>
          <w:rFonts w:asciiTheme="minorHAnsi" w:hAnsiTheme="minorHAnsi"/>
          <w:b/>
          <w:sz w:val="26"/>
          <w:szCs w:val="26"/>
        </w:rPr>
        <w:t>na úrovni krajů</w:t>
      </w:r>
      <w:r w:rsidRPr="008E1C8D">
        <w:rPr>
          <w:rFonts w:asciiTheme="minorHAnsi" w:hAnsiTheme="minorHAnsi"/>
          <w:b/>
          <w:bCs/>
          <w:sz w:val="26"/>
          <w:szCs w:val="26"/>
        </w:rPr>
        <w:t xml:space="preserve"> se zvýšila</w:t>
      </w:r>
      <w:r w:rsidRPr="008E1C8D">
        <w:rPr>
          <w:rFonts w:asciiTheme="minorHAnsi" w:hAnsiTheme="minorHAnsi"/>
          <w:bCs/>
          <w:sz w:val="26"/>
          <w:szCs w:val="26"/>
        </w:rPr>
        <w:t xml:space="preserve"> o </w:t>
      </w:r>
      <w:r>
        <w:rPr>
          <w:rFonts w:asciiTheme="minorHAnsi" w:hAnsiTheme="minorHAnsi"/>
          <w:bCs/>
          <w:sz w:val="26"/>
          <w:szCs w:val="26"/>
        </w:rPr>
        <w:t>1 423</w:t>
      </w:r>
      <w:r w:rsidRPr="008E1C8D">
        <w:rPr>
          <w:rFonts w:asciiTheme="minorHAnsi" w:hAnsiTheme="minorHAnsi"/>
          <w:bCs/>
          <w:sz w:val="26"/>
          <w:szCs w:val="26"/>
        </w:rPr>
        <w:t xml:space="preserve"> Kč </w:t>
      </w:r>
      <w:r w:rsidRPr="008E1C8D">
        <w:rPr>
          <w:rFonts w:asciiTheme="minorHAnsi" w:hAnsiTheme="minorHAnsi"/>
          <w:b/>
          <w:sz w:val="26"/>
          <w:szCs w:val="26"/>
        </w:rPr>
        <w:t>na 1</w:t>
      </w:r>
      <w:r>
        <w:rPr>
          <w:rFonts w:asciiTheme="minorHAnsi" w:hAnsiTheme="minorHAnsi"/>
          <w:b/>
          <w:sz w:val="26"/>
          <w:szCs w:val="26"/>
        </w:rPr>
        <w:t>5</w:t>
      </w:r>
      <w:r w:rsidRPr="008E1C8D">
        <w:rPr>
          <w:rFonts w:asciiTheme="minorHAnsi" w:hAnsiTheme="minorHAnsi"/>
          <w:b/>
          <w:sz w:val="26"/>
          <w:szCs w:val="26"/>
        </w:rPr>
        <w:t> </w:t>
      </w:r>
      <w:r>
        <w:rPr>
          <w:rFonts w:asciiTheme="minorHAnsi" w:hAnsiTheme="minorHAnsi"/>
          <w:b/>
          <w:sz w:val="26"/>
          <w:szCs w:val="26"/>
        </w:rPr>
        <w:t>264</w:t>
      </w:r>
      <w:r w:rsidRPr="008E1C8D">
        <w:rPr>
          <w:rFonts w:asciiTheme="minorHAnsi" w:hAnsiTheme="minorHAnsi"/>
          <w:b/>
          <w:sz w:val="26"/>
          <w:szCs w:val="26"/>
        </w:rPr>
        <w:t> Kč</w:t>
      </w:r>
      <w:r w:rsidRPr="00271814">
        <w:rPr>
          <w:rFonts w:asciiTheme="minorHAnsi" w:hAnsiTheme="minorHAnsi"/>
          <w:bCs/>
          <w:sz w:val="26"/>
          <w:szCs w:val="26"/>
        </w:rPr>
        <w:t xml:space="preserve"> </w:t>
      </w:r>
      <w:r w:rsidRPr="008E1C8D">
        <w:rPr>
          <w:rFonts w:asciiTheme="minorHAnsi" w:hAnsiTheme="minorHAnsi"/>
          <w:bCs/>
          <w:sz w:val="26"/>
          <w:szCs w:val="26"/>
        </w:rPr>
        <w:t xml:space="preserve">(hl. m. Praha x Karlovarský kraj). Hodnota variačního koeficientu v tomto členění </w:t>
      </w:r>
      <w:r>
        <w:rPr>
          <w:rFonts w:asciiTheme="minorHAnsi" w:hAnsiTheme="minorHAnsi"/>
          <w:bCs/>
          <w:sz w:val="26"/>
          <w:szCs w:val="26"/>
        </w:rPr>
        <w:t>vzro</w:t>
      </w:r>
      <w:r w:rsidRPr="008E1C8D">
        <w:rPr>
          <w:rFonts w:asciiTheme="minorHAnsi" w:hAnsiTheme="minorHAnsi"/>
          <w:bCs/>
          <w:sz w:val="26"/>
          <w:szCs w:val="26"/>
        </w:rPr>
        <w:t>s</w:t>
      </w:r>
      <w:r>
        <w:rPr>
          <w:rFonts w:asciiTheme="minorHAnsi" w:hAnsiTheme="minorHAnsi"/>
          <w:bCs/>
          <w:sz w:val="26"/>
          <w:szCs w:val="26"/>
        </w:rPr>
        <w:t>t</w:t>
      </w:r>
      <w:r w:rsidRPr="008E1C8D">
        <w:rPr>
          <w:rFonts w:asciiTheme="minorHAnsi" w:hAnsiTheme="minorHAnsi"/>
          <w:bCs/>
          <w:sz w:val="26"/>
          <w:szCs w:val="26"/>
        </w:rPr>
        <w:t>la z </w:t>
      </w:r>
      <w:r>
        <w:rPr>
          <w:rFonts w:asciiTheme="minorHAnsi" w:hAnsiTheme="minorHAnsi"/>
          <w:bCs/>
          <w:sz w:val="26"/>
          <w:szCs w:val="26"/>
        </w:rPr>
        <w:t>9</w:t>
      </w:r>
      <w:r w:rsidRPr="008E1C8D">
        <w:rPr>
          <w:rFonts w:asciiTheme="minorHAnsi" w:hAnsiTheme="minorHAnsi"/>
          <w:bCs/>
          <w:sz w:val="26"/>
          <w:szCs w:val="26"/>
        </w:rPr>
        <w:t>,</w:t>
      </w:r>
      <w:r>
        <w:rPr>
          <w:rFonts w:asciiTheme="minorHAnsi" w:hAnsiTheme="minorHAnsi"/>
          <w:bCs/>
          <w:sz w:val="26"/>
          <w:szCs w:val="26"/>
        </w:rPr>
        <w:t>4</w:t>
      </w:r>
      <w:r w:rsidRPr="008E1C8D">
        <w:rPr>
          <w:rFonts w:asciiTheme="minorHAnsi" w:hAnsiTheme="minorHAnsi"/>
          <w:bCs/>
          <w:sz w:val="26"/>
          <w:szCs w:val="26"/>
        </w:rPr>
        <w:t> % v 1. pololetí 20</w:t>
      </w:r>
      <w:r>
        <w:rPr>
          <w:rFonts w:asciiTheme="minorHAnsi" w:hAnsiTheme="minorHAnsi"/>
          <w:bCs/>
          <w:sz w:val="26"/>
          <w:szCs w:val="26"/>
        </w:rPr>
        <w:t>21</w:t>
      </w:r>
      <w:r w:rsidRPr="008E1C8D">
        <w:rPr>
          <w:rFonts w:asciiTheme="minorHAnsi" w:hAnsiTheme="minorHAnsi"/>
          <w:bCs/>
          <w:sz w:val="26"/>
          <w:szCs w:val="26"/>
        </w:rPr>
        <w:t xml:space="preserve"> na </w:t>
      </w:r>
      <w:r>
        <w:rPr>
          <w:rFonts w:asciiTheme="minorHAnsi" w:hAnsiTheme="minorHAnsi"/>
          <w:bCs/>
          <w:sz w:val="26"/>
          <w:szCs w:val="26"/>
        </w:rPr>
        <w:t>10</w:t>
      </w:r>
      <w:r w:rsidRPr="008E1C8D">
        <w:rPr>
          <w:rFonts w:asciiTheme="minorHAnsi" w:hAnsiTheme="minorHAnsi"/>
          <w:bCs/>
          <w:sz w:val="26"/>
          <w:szCs w:val="26"/>
        </w:rPr>
        <w:t>,</w:t>
      </w:r>
      <w:r>
        <w:rPr>
          <w:rFonts w:asciiTheme="minorHAnsi" w:hAnsiTheme="minorHAnsi"/>
          <w:bCs/>
          <w:sz w:val="26"/>
          <w:szCs w:val="26"/>
        </w:rPr>
        <w:t>0</w:t>
      </w:r>
      <w:r w:rsidRPr="008E1C8D">
        <w:rPr>
          <w:rFonts w:asciiTheme="minorHAnsi" w:hAnsiTheme="minorHAnsi"/>
          <w:bCs/>
          <w:sz w:val="26"/>
          <w:szCs w:val="26"/>
        </w:rPr>
        <w:t> % v 1. pololetí letošního roku.</w:t>
      </w:r>
    </w:p>
    <w:p w14:paraId="4D16116A" w14:textId="0AE3B1BA" w:rsidR="00BA35BC" w:rsidRDefault="00BA35BC" w:rsidP="00F07F6D">
      <w:pPr>
        <w:spacing w:line="360" w:lineRule="auto"/>
        <w:jc w:val="both"/>
        <w:rPr>
          <w:rFonts w:asciiTheme="minorHAnsi" w:hAnsiTheme="minorHAnsi"/>
          <w:bCs/>
          <w:sz w:val="26"/>
          <w:szCs w:val="26"/>
        </w:rPr>
      </w:pPr>
    </w:p>
    <w:p w14:paraId="5C25D960" w14:textId="77777777" w:rsidR="00771DAB" w:rsidRPr="008E1C8D" w:rsidRDefault="00771DAB" w:rsidP="00F07F6D">
      <w:pPr>
        <w:spacing w:line="360" w:lineRule="auto"/>
        <w:jc w:val="both"/>
        <w:rPr>
          <w:rFonts w:asciiTheme="minorHAnsi" w:hAnsiTheme="minorHAnsi"/>
          <w:bCs/>
          <w:sz w:val="26"/>
          <w:szCs w:val="26"/>
        </w:rPr>
      </w:pPr>
    </w:p>
    <w:p w14:paraId="5D24C9CF" w14:textId="355C023F" w:rsidR="00F07F6D" w:rsidRPr="00EE611F" w:rsidRDefault="00F07F6D" w:rsidP="00F07F6D">
      <w:pPr>
        <w:spacing w:after="360" w:line="360" w:lineRule="auto"/>
        <w:jc w:val="both"/>
        <w:rPr>
          <w:rFonts w:ascii="Calibri" w:hAnsi="Calibri"/>
          <w:b/>
          <w:bCs/>
          <w:i/>
          <w:smallCaps/>
          <w:color w:val="1F497D"/>
          <w:sz w:val="28"/>
          <w:szCs w:val="24"/>
        </w:rPr>
      </w:pPr>
      <w:r w:rsidRPr="00EE611F">
        <w:rPr>
          <w:rFonts w:ascii="Calibri" w:hAnsi="Calibri"/>
          <w:b/>
          <w:bCs/>
          <w:i/>
          <w:smallCaps/>
          <w:color w:val="1F497D"/>
          <w:sz w:val="28"/>
          <w:szCs w:val="24"/>
        </w:rPr>
        <w:t>1.2.1</w:t>
      </w:r>
      <w:r>
        <w:rPr>
          <w:rFonts w:ascii="Calibri" w:hAnsi="Calibri"/>
          <w:b/>
          <w:bCs/>
          <w:i/>
          <w:smallCaps/>
          <w:color w:val="1F497D"/>
          <w:sz w:val="28"/>
          <w:szCs w:val="24"/>
        </w:rPr>
        <w:t>.</w:t>
      </w:r>
      <w:r w:rsidRPr="00EE611F">
        <w:rPr>
          <w:rFonts w:ascii="Calibri" w:hAnsi="Calibri"/>
          <w:b/>
          <w:bCs/>
          <w:i/>
          <w:smallCaps/>
          <w:color w:val="1F497D"/>
          <w:sz w:val="28"/>
          <w:szCs w:val="24"/>
        </w:rPr>
        <w:t xml:space="preserve"> Poznatky ze šetření Informačního systému o průměrném výdělku</w:t>
      </w:r>
    </w:p>
    <w:p w14:paraId="675F0455" w14:textId="77777777" w:rsidR="00F07F6D" w:rsidRPr="008E1C8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t>Dalším důležitým zdrojem informací o</w:t>
      </w:r>
      <w:r>
        <w:rPr>
          <w:rFonts w:asciiTheme="minorHAnsi" w:hAnsiTheme="minorHAnsi"/>
          <w:bCs/>
          <w:sz w:val="26"/>
          <w:szCs w:val="26"/>
        </w:rPr>
        <w:t xml:space="preserve"> </w:t>
      </w:r>
      <w:r w:rsidRPr="008E1C8D">
        <w:rPr>
          <w:rFonts w:asciiTheme="minorHAnsi" w:hAnsiTheme="minorHAnsi"/>
          <w:bCs/>
          <w:sz w:val="26"/>
          <w:szCs w:val="26"/>
        </w:rPr>
        <w:t xml:space="preserve">pracovních příjmech, resp. výdělcích jednotlivých zaměstnanců v České republice, které doplňují údaje Českého statistického úřadu (ČSÚ), jsou data získaná z pravidelného statistického šetření </w:t>
      </w:r>
      <w:r w:rsidRPr="008E1C8D">
        <w:rPr>
          <w:rFonts w:asciiTheme="minorHAnsi" w:hAnsiTheme="minorHAnsi"/>
          <w:b/>
          <w:bCs/>
          <w:sz w:val="26"/>
          <w:szCs w:val="26"/>
        </w:rPr>
        <w:t>„Informační systém o</w:t>
      </w:r>
      <w:r>
        <w:rPr>
          <w:rFonts w:asciiTheme="minorHAnsi" w:hAnsiTheme="minorHAnsi"/>
          <w:b/>
          <w:bCs/>
          <w:sz w:val="26"/>
          <w:szCs w:val="26"/>
        </w:rPr>
        <w:t xml:space="preserve"> </w:t>
      </w:r>
      <w:r w:rsidRPr="008E1C8D">
        <w:rPr>
          <w:rFonts w:asciiTheme="minorHAnsi" w:hAnsiTheme="minorHAnsi"/>
          <w:b/>
          <w:bCs/>
          <w:sz w:val="26"/>
          <w:szCs w:val="26"/>
        </w:rPr>
        <w:t>průměrném výdělku“</w:t>
      </w:r>
      <w:r w:rsidRPr="008E1C8D">
        <w:rPr>
          <w:rFonts w:asciiTheme="minorHAnsi" w:hAnsiTheme="minorHAnsi"/>
          <w:bCs/>
          <w:sz w:val="26"/>
          <w:szCs w:val="26"/>
        </w:rPr>
        <w:t xml:space="preserve"> (ISPV). Na rozdíl od podnikového výkaznictví ČSÚ, které vychází z údajů o</w:t>
      </w:r>
      <w:r>
        <w:rPr>
          <w:rFonts w:asciiTheme="minorHAnsi" w:hAnsiTheme="minorHAnsi"/>
          <w:bCs/>
          <w:sz w:val="26"/>
          <w:szCs w:val="26"/>
        </w:rPr>
        <w:t xml:space="preserve"> </w:t>
      </w:r>
      <w:r w:rsidRPr="008E1C8D">
        <w:rPr>
          <w:rFonts w:asciiTheme="minorHAnsi" w:hAnsiTheme="minorHAnsi"/>
          <w:bCs/>
          <w:sz w:val="26"/>
          <w:szCs w:val="26"/>
        </w:rPr>
        <w:t>evidenčním počtu zaměstnanců a</w:t>
      </w:r>
      <w:r>
        <w:rPr>
          <w:rFonts w:asciiTheme="minorHAnsi" w:hAnsiTheme="minorHAnsi"/>
          <w:bCs/>
          <w:sz w:val="26"/>
          <w:szCs w:val="26"/>
        </w:rPr>
        <w:t xml:space="preserve"> </w:t>
      </w:r>
      <w:r w:rsidRPr="008E1C8D">
        <w:rPr>
          <w:rFonts w:asciiTheme="minorHAnsi" w:hAnsiTheme="minorHAnsi"/>
          <w:bCs/>
          <w:sz w:val="26"/>
          <w:szCs w:val="26"/>
        </w:rPr>
        <w:t>vyplacených mzdách za ekonomický subjekt, jehož účelem je makroekonomický pohled na mzdy, ISPV poskytuje data o</w:t>
      </w:r>
      <w:r>
        <w:rPr>
          <w:rFonts w:asciiTheme="minorHAnsi" w:hAnsiTheme="minorHAnsi"/>
          <w:bCs/>
          <w:sz w:val="26"/>
          <w:szCs w:val="26"/>
        </w:rPr>
        <w:t xml:space="preserve"> </w:t>
      </w:r>
      <w:r w:rsidRPr="008E1C8D">
        <w:rPr>
          <w:rFonts w:asciiTheme="minorHAnsi" w:hAnsiTheme="minorHAnsi"/>
          <w:bCs/>
          <w:sz w:val="26"/>
          <w:szCs w:val="26"/>
        </w:rPr>
        <w:t>mzdové úrovni jednotlivých skupin zaměstnanců i</w:t>
      </w:r>
      <w:r>
        <w:rPr>
          <w:rFonts w:asciiTheme="minorHAnsi" w:hAnsiTheme="minorHAnsi"/>
          <w:bCs/>
          <w:sz w:val="26"/>
          <w:szCs w:val="26"/>
        </w:rPr>
        <w:t xml:space="preserve"> </w:t>
      </w:r>
      <w:r w:rsidRPr="008E1C8D">
        <w:rPr>
          <w:rFonts w:asciiTheme="minorHAnsi" w:hAnsiTheme="minorHAnsi"/>
          <w:bCs/>
          <w:sz w:val="26"/>
          <w:szCs w:val="26"/>
        </w:rPr>
        <w:t xml:space="preserve">podle profesní </w:t>
      </w:r>
      <w:r w:rsidRPr="008E1C8D">
        <w:rPr>
          <w:rFonts w:asciiTheme="minorHAnsi" w:hAnsiTheme="minorHAnsi"/>
          <w:bCs/>
          <w:sz w:val="26"/>
          <w:szCs w:val="26"/>
        </w:rPr>
        <w:lastRenderedPageBreak/>
        <w:t>struktury (včetně rozdělení na ženy a muže). Ve</w:t>
      </w:r>
      <w:r>
        <w:rPr>
          <w:rFonts w:asciiTheme="minorHAnsi" w:hAnsiTheme="minorHAnsi"/>
          <w:bCs/>
          <w:sz w:val="26"/>
          <w:szCs w:val="26"/>
        </w:rPr>
        <w:t xml:space="preserve"> </w:t>
      </w:r>
      <w:r w:rsidRPr="008E1C8D">
        <w:rPr>
          <w:rFonts w:asciiTheme="minorHAnsi" w:hAnsiTheme="minorHAnsi"/>
          <w:bCs/>
          <w:sz w:val="26"/>
          <w:szCs w:val="26"/>
        </w:rPr>
        <w:t>výsledcích o průměrných mzdách ČSÚ a ISPV jsou rozdíly, které vyplývají zejména z odlišné metodiky šetření, z</w:t>
      </w:r>
      <w:r>
        <w:rPr>
          <w:rFonts w:asciiTheme="minorHAnsi" w:hAnsiTheme="minorHAnsi"/>
          <w:bCs/>
          <w:sz w:val="26"/>
          <w:szCs w:val="26"/>
        </w:rPr>
        <w:t> </w:t>
      </w:r>
      <w:r w:rsidRPr="008E1C8D">
        <w:rPr>
          <w:rFonts w:asciiTheme="minorHAnsi" w:hAnsiTheme="minorHAnsi"/>
          <w:bCs/>
          <w:sz w:val="26"/>
          <w:szCs w:val="26"/>
        </w:rPr>
        <w:t>rozdílného způsobu přepočtu zaměstnanců apod.</w:t>
      </w:r>
    </w:p>
    <w:p w14:paraId="43360D91" w14:textId="77777777" w:rsidR="00F07F6D" w:rsidRPr="008E1C8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t>Z výstupů šetření ISPV lze porovnat mimo jiné i výdělkovou úroveň žen a</w:t>
      </w:r>
      <w:r>
        <w:rPr>
          <w:rFonts w:asciiTheme="minorHAnsi" w:hAnsiTheme="minorHAnsi"/>
          <w:bCs/>
          <w:sz w:val="26"/>
          <w:szCs w:val="26"/>
        </w:rPr>
        <w:t xml:space="preserve"> </w:t>
      </w:r>
      <w:r w:rsidRPr="008E1C8D">
        <w:rPr>
          <w:rFonts w:asciiTheme="minorHAnsi" w:hAnsiTheme="minorHAnsi"/>
          <w:bCs/>
          <w:sz w:val="26"/>
          <w:szCs w:val="26"/>
        </w:rPr>
        <w:t xml:space="preserve">mužů. </w:t>
      </w:r>
      <w:r w:rsidRPr="008E1C8D">
        <w:rPr>
          <w:rFonts w:asciiTheme="minorHAnsi" w:hAnsiTheme="minorHAnsi"/>
          <w:b/>
          <w:bCs/>
          <w:sz w:val="26"/>
          <w:szCs w:val="26"/>
        </w:rPr>
        <w:t>Průměrná mzda mužů</w:t>
      </w:r>
      <w:r w:rsidRPr="008E1C8D">
        <w:rPr>
          <w:rFonts w:asciiTheme="minorHAnsi" w:hAnsiTheme="minorHAnsi"/>
          <w:bCs/>
          <w:sz w:val="26"/>
          <w:szCs w:val="26"/>
        </w:rPr>
        <w:t xml:space="preserve"> dosáhla v </w:t>
      </w:r>
      <w:r w:rsidRPr="00192519">
        <w:rPr>
          <w:rFonts w:asciiTheme="minorHAnsi" w:hAnsiTheme="minorHAnsi"/>
          <w:b/>
          <w:sz w:val="26"/>
          <w:szCs w:val="26"/>
        </w:rPr>
        <w:t>1. pololetí</w:t>
      </w:r>
      <w:r w:rsidRPr="008E1C8D">
        <w:rPr>
          <w:rFonts w:asciiTheme="minorHAnsi" w:hAnsiTheme="minorHAnsi"/>
          <w:bCs/>
          <w:sz w:val="26"/>
          <w:szCs w:val="26"/>
        </w:rPr>
        <w:t xml:space="preserve"> 20</w:t>
      </w:r>
      <w:r>
        <w:rPr>
          <w:rFonts w:asciiTheme="minorHAnsi" w:hAnsiTheme="minorHAnsi"/>
          <w:bCs/>
          <w:sz w:val="26"/>
          <w:szCs w:val="26"/>
        </w:rPr>
        <w:t>22</w:t>
      </w:r>
      <w:r w:rsidRPr="008E1C8D">
        <w:rPr>
          <w:rFonts w:asciiTheme="minorHAnsi" w:hAnsiTheme="minorHAnsi"/>
          <w:bCs/>
          <w:sz w:val="26"/>
          <w:szCs w:val="26"/>
        </w:rPr>
        <w:t xml:space="preserve"> výše </w:t>
      </w:r>
      <w:r>
        <w:rPr>
          <w:rFonts w:asciiTheme="minorHAnsi" w:hAnsiTheme="minorHAnsi"/>
          <w:b/>
          <w:bCs/>
          <w:sz w:val="26"/>
          <w:szCs w:val="26"/>
        </w:rPr>
        <w:t>46</w:t>
      </w:r>
      <w:r w:rsidRPr="008E1C8D">
        <w:rPr>
          <w:rFonts w:asciiTheme="minorHAnsi" w:hAnsiTheme="minorHAnsi"/>
          <w:b/>
          <w:bCs/>
          <w:sz w:val="26"/>
          <w:szCs w:val="26"/>
        </w:rPr>
        <w:t> </w:t>
      </w:r>
      <w:r>
        <w:rPr>
          <w:rFonts w:asciiTheme="minorHAnsi" w:hAnsiTheme="minorHAnsi"/>
          <w:b/>
          <w:bCs/>
          <w:sz w:val="26"/>
          <w:szCs w:val="26"/>
        </w:rPr>
        <w:t>009</w:t>
      </w:r>
      <w:r w:rsidRPr="008E1C8D">
        <w:rPr>
          <w:rFonts w:asciiTheme="minorHAnsi" w:hAnsiTheme="minorHAnsi"/>
          <w:b/>
          <w:bCs/>
          <w:sz w:val="26"/>
          <w:szCs w:val="26"/>
        </w:rPr>
        <w:t> Kč a</w:t>
      </w:r>
      <w:r>
        <w:rPr>
          <w:rFonts w:asciiTheme="minorHAnsi" w:hAnsiTheme="minorHAnsi"/>
          <w:b/>
          <w:bCs/>
          <w:sz w:val="26"/>
          <w:szCs w:val="26"/>
        </w:rPr>
        <w:t xml:space="preserve"> </w:t>
      </w:r>
      <w:r w:rsidRPr="008E1C8D">
        <w:rPr>
          <w:rFonts w:asciiTheme="minorHAnsi" w:hAnsiTheme="minorHAnsi"/>
          <w:b/>
          <w:bCs/>
          <w:sz w:val="26"/>
          <w:szCs w:val="26"/>
        </w:rPr>
        <w:t>průměrná mzda žen 3</w:t>
      </w:r>
      <w:r>
        <w:rPr>
          <w:rFonts w:asciiTheme="minorHAnsi" w:hAnsiTheme="minorHAnsi"/>
          <w:b/>
          <w:bCs/>
          <w:sz w:val="26"/>
          <w:szCs w:val="26"/>
        </w:rPr>
        <w:t>7</w:t>
      </w:r>
      <w:r w:rsidRPr="008E1C8D">
        <w:rPr>
          <w:rFonts w:asciiTheme="minorHAnsi" w:hAnsiTheme="minorHAnsi"/>
          <w:b/>
          <w:bCs/>
          <w:sz w:val="26"/>
          <w:szCs w:val="26"/>
        </w:rPr>
        <w:t> </w:t>
      </w:r>
      <w:r>
        <w:rPr>
          <w:rFonts w:asciiTheme="minorHAnsi" w:hAnsiTheme="minorHAnsi"/>
          <w:b/>
          <w:bCs/>
          <w:sz w:val="26"/>
          <w:szCs w:val="26"/>
        </w:rPr>
        <w:t>600</w:t>
      </w:r>
      <w:r w:rsidRPr="008E1C8D">
        <w:rPr>
          <w:rFonts w:asciiTheme="minorHAnsi" w:hAnsiTheme="minorHAnsi"/>
          <w:b/>
          <w:bCs/>
          <w:sz w:val="26"/>
          <w:szCs w:val="26"/>
        </w:rPr>
        <w:t> Kč. Dynamika růstu průměrné mzdy žen byla</w:t>
      </w:r>
      <w:r w:rsidRPr="00963847">
        <w:rPr>
          <w:rFonts w:asciiTheme="minorHAnsi" w:hAnsiTheme="minorHAnsi"/>
          <w:sz w:val="26"/>
          <w:szCs w:val="26"/>
        </w:rPr>
        <w:t xml:space="preserve"> v hodnoceném období </w:t>
      </w:r>
      <w:r w:rsidRPr="008E1C8D">
        <w:rPr>
          <w:rFonts w:asciiTheme="minorHAnsi" w:hAnsiTheme="minorHAnsi"/>
          <w:b/>
          <w:bCs/>
          <w:sz w:val="26"/>
          <w:szCs w:val="26"/>
        </w:rPr>
        <w:t>o </w:t>
      </w:r>
      <w:r>
        <w:rPr>
          <w:rFonts w:asciiTheme="minorHAnsi" w:hAnsiTheme="minorHAnsi"/>
          <w:b/>
          <w:bCs/>
          <w:sz w:val="26"/>
          <w:szCs w:val="26"/>
        </w:rPr>
        <w:t>4</w:t>
      </w:r>
      <w:r w:rsidRPr="008E1C8D">
        <w:rPr>
          <w:rFonts w:asciiTheme="minorHAnsi" w:hAnsiTheme="minorHAnsi"/>
          <w:b/>
          <w:bCs/>
          <w:sz w:val="26"/>
          <w:szCs w:val="26"/>
        </w:rPr>
        <w:t>,</w:t>
      </w:r>
      <w:r>
        <w:rPr>
          <w:rFonts w:asciiTheme="minorHAnsi" w:hAnsiTheme="minorHAnsi"/>
          <w:b/>
          <w:bCs/>
          <w:sz w:val="26"/>
          <w:szCs w:val="26"/>
        </w:rPr>
        <w:t>0</w:t>
      </w:r>
      <w:r w:rsidRPr="008E1C8D">
        <w:rPr>
          <w:rFonts w:asciiTheme="minorHAnsi" w:hAnsiTheme="minorHAnsi"/>
          <w:b/>
          <w:bCs/>
          <w:sz w:val="26"/>
          <w:szCs w:val="26"/>
        </w:rPr>
        <w:t xml:space="preserve"> p. b. </w:t>
      </w:r>
      <w:r>
        <w:rPr>
          <w:rFonts w:asciiTheme="minorHAnsi" w:hAnsiTheme="minorHAnsi"/>
          <w:b/>
          <w:bCs/>
          <w:sz w:val="26"/>
          <w:szCs w:val="26"/>
        </w:rPr>
        <w:t>niž</w:t>
      </w:r>
      <w:r w:rsidRPr="008E1C8D">
        <w:rPr>
          <w:rFonts w:asciiTheme="minorHAnsi" w:hAnsiTheme="minorHAnsi"/>
          <w:b/>
          <w:bCs/>
          <w:sz w:val="26"/>
          <w:szCs w:val="26"/>
        </w:rPr>
        <w:t xml:space="preserve">ší a činila </w:t>
      </w:r>
      <w:r>
        <w:rPr>
          <w:rFonts w:asciiTheme="minorHAnsi" w:hAnsiTheme="minorHAnsi"/>
          <w:b/>
          <w:bCs/>
          <w:sz w:val="26"/>
          <w:szCs w:val="26"/>
        </w:rPr>
        <w:t>3</w:t>
      </w:r>
      <w:r w:rsidRPr="008E1C8D">
        <w:rPr>
          <w:rFonts w:asciiTheme="minorHAnsi" w:hAnsiTheme="minorHAnsi"/>
          <w:b/>
          <w:bCs/>
          <w:sz w:val="26"/>
          <w:szCs w:val="26"/>
        </w:rPr>
        <w:t>,</w:t>
      </w:r>
      <w:r>
        <w:rPr>
          <w:rFonts w:asciiTheme="minorHAnsi" w:hAnsiTheme="minorHAnsi"/>
          <w:b/>
          <w:bCs/>
          <w:sz w:val="26"/>
          <w:szCs w:val="26"/>
        </w:rPr>
        <w:t>0</w:t>
      </w:r>
      <w:r w:rsidRPr="008E1C8D">
        <w:rPr>
          <w:rFonts w:asciiTheme="minorHAnsi" w:hAnsiTheme="minorHAnsi"/>
          <w:b/>
          <w:bCs/>
          <w:sz w:val="26"/>
          <w:szCs w:val="26"/>
        </w:rPr>
        <w:t> %.</w:t>
      </w:r>
      <w:r w:rsidRPr="008E1C8D">
        <w:rPr>
          <w:rFonts w:asciiTheme="minorHAnsi" w:hAnsiTheme="minorHAnsi"/>
          <w:bCs/>
          <w:sz w:val="26"/>
          <w:szCs w:val="26"/>
        </w:rPr>
        <w:t xml:space="preserve"> Rozdíl v průměrném výdělku mužů a žen činil </w:t>
      </w:r>
      <w:r>
        <w:rPr>
          <w:rFonts w:asciiTheme="minorHAnsi" w:hAnsiTheme="minorHAnsi"/>
          <w:bCs/>
          <w:sz w:val="26"/>
          <w:szCs w:val="26"/>
        </w:rPr>
        <w:t>8</w:t>
      </w:r>
      <w:r w:rsidRPr="008E1C8D">
        <w:rPr>
          <w:rFonts w:asciiTheme="minorHAnsi" w:hAnsiTheme="minorHAnsi"/>
          <w:bCs/>
          <w:sz w:val="26"/>
          <w:szCs w:val="26"/>
        </w:rPr>
        <w:t> </w:t>
      </w:r>
      <w:r>
        <w:rPr>
          <w:rFonts w:asciiTheme="minorHAnsi" w:hAnsiTheme="minorHAnsi"/>
          <w:bCs/>
          <w:sz w:val="26"/>
          <w:szCs w:val="26"/>
        </w:rPr>
        <w:t>409</w:t>
      </w:r>
      <w:r w:rsidRPr="008E1C8D">
        <w:rPr>
          <w:rFonts w:asciiTheme="minorHAnsi" w:hAnsiTheme="minorHAnsi"/>
          <w:bCs/>
          <w:sz w:val="26"/>
          <w:szCs w:val="26"/>
        </w:rPr>
        <w:t xml:space="preserve"> Kč, </w:t>
      </w:r>
      <w:r w:rsidRPr="008E1C8D">
        <w:rPr>
          <w:rFonts w:asciiTheme="minorHAnsi" w:hAnsiTheme="minorHAnsi"/>
          <w:b/>
          <w:bCs/>
          <w:sz w:val="26"/>
          <w:szCs w:val="26"/>
        </w:rPr>
        <w:t xml:space="preserve">relace průměrné mzdy žen k průměrné mzdě mužů </w:t>
      </w:r>
      <w:r w:rsidRPr="008E1C8D">
        <w:rPr>
          <w:rFonts w:asciiTheme="minorHAnsi" w:hAnsiTheme="minorHAnsi"/>
          <w:bCs/>
          <w:sz w:val="26"/>
          <w:szCs w:val="26"/>
        </w:rPr>
        <w:t xml:space="preserve">dosáhla </w:t>
      </w:r>
      <w:r w:rsidRPr="008E1C8D">
        <w:rPr>
          <w:rFonts w:asciiTheme="minorHAnsi" w:hAnsiTheme="minorHAnsi"/>
          <w:b/>
          <w:bCs/>
          <w:sz w:val="26"/>
          <w:szCs w:val="26"/>
        </w:rPr>
        <w:t>8</w:t>
      </w:r>
      <w:r>
        <w:rPr>
          <w:rFonts w:asciiTheme="minorHAnsi" w:hAnsiTheme="minorHAnsi"/>
          <w:b/>
          <w:bCs/>
          <w:sz w:val="26"/>
          <w:szCs w:val="26"/>
        </w:rPr>
        <w:t>1</w:t>
      </w:r>
      <w:r w:rsidRPr="008E1C8D">
        <w:rPr>
          <w:rFonts w:asciiTheme="minorHAnsi" w:hAnsiTheme="minorHAnsi"/>
          <w:b/>
          <w:bCs/>
          <w:sz w:val="26"/>
          <w:szCs w:val="26"/>
        </w:rPr>
        <w:t>,</w:t>
      </w:r>
      <w:r>
        <w:rPr>
          <w:rFonts w:asciiTheme="minorHAnsi" w:hAnsiTheme="minorHAnsi"/>
          <w:b/>
          <w:bCs/>
          <w:sz w:val="26"/>
          <w:szCs w:val="26"/>
        </w:rPr>
        <w:t>7</w:t>
      </w:r>
      <w:r w:rsidRPr="008E1C8D">
        <w:rPr>
          <w:rFonts w:asciiTheme="minorHAnsi" w:hAnsiTheme="minorHAnsi"/>
          <w:b/>
          <w:bCs/>
          <w:sz w:val="26"/>
          <w:szCs w:val="26"/>
        </w:rPr>
        <w:t> %</w:t>
      </w:r>
      <w:r w:rsidRPr="008E1C8D">
        <w:rPr>
          <w:rFonts w:asciiTheme="minorHAnsi" w:hAnsiTheme="minorHAnsi"/>
          <w:bCs/>
          <w:sz w:val="26"/>
          <w:szCs w:val="26"/>
        </w:rPr>
        <w:t xml:space="preserve"> a</w:t>
      </w:r>
      <w:r>
        <w:rPr>
          <w:rFonts w:asciiTheme="minorHAnsi" w:hAnsiTheme="minorHAnsi"/>
          <w:bCs/>
          <w:sz w:val="26"/>
          <w:szCs w:val="26"/>
        </w:rPr>
        <w:t xml:space="preserve"> </w:t>
      </w:r>
      <w:r w:rsidRPr="008E1C8D">
        <w:rPr>
          <w:rFonts w:asciiTheme="minorHAnsi" w:hAnsiTheme="minorHAnsi"/>
          <w:bCs/>
          <w:sz w:val="26"/>
          <w:szCs w:val="26"/>
        </w:rPr>
        <w:t xml:space="preserve">byla meziročně </w:t>
      </w:r>
      <w:r w:rsidRPr="00271814">
        <w:rPr>
          <w:rFonts w:asciiTheme="minorHAnsi" w:hAnsiTheme="minorHAnsi"/>
          <w:bCs/>
          <w:sz w:val="26"/>
          <w:szCs w:val="26"/>
        </w:rPr>
        <w:t>o 3,</w:t>
      </w:r>
      <w:r>
        <w:rPr>
          <w:rFonts w:asciiTheme="minorHAnsi" w:hAnsiTheme="minorHAnsi"/>
          <w:bCs/>
          <w:sz w:val="26"/>
          <w:szCs w:val="26"/>
        </w:rPr>
        <w:t>0</w:t>
      </w:r>
      <w:r w:rsidRPr="00271814">
        <w:rPr>
          <w:rFonts w:asciiTheme="minorHAnsi" w:hAnsiTheme="minorHAnsi"/>
          <w:bCs/>
          <w:sz w:val="26"/>
          <w:szCs w:val="26"/>
        </w:rPr>
        <w:t xml:space="preserve"> p. b. </w:t>
      </w:r>
      <w:r>
        <w:rPr>
          <w:rFonts w:asciiTheme="minorHAnsi" w:hAnsiTheme="minorHAnsi"/>
          <w:bCs/>
          <w:sz w:val="26"/>
          <w:szCs w:val="26"/>
        </w:rPr>
        <w:t>niž</w:t>
      </w:r>
      <w:r w:rsidRPr="00271814">
        <w:rPr>
          <w:rFonts w:asciiTheme="minorHAnsi" w:hAnsiTheme="minorHAnsi"/>
          <w:bCs/>
          <w:sz w:val="26"/>
          <w:szCs w:val="26"/>
        </w:rPr>
        <w:t>ší než v 1. pololetí předchozího roku.</w:t>
      </w:r>
      <w:r w:rsidRPr="00271814">
        <w:rPr>
          <w:rFonts w:asciiTheme="minorHAnsi" w:hAnsiTheme="minorHAnsi"/>
          <w:b/>
          <w:bCs/>
          <w:sz w:val="26"/>
          <w:szCs w:val="26"/>
        </w:rPr>
        <w:t xml:space="preserve"> </w:t>
      </w:r>
      <w:r w:rsidRPr="00271814">
        <w:rPr>
          <w:rFonts w:asciiTheme="minorHAnsi" w:hAnsiTheme="minorHAnsi"/>
          <w:bCs/>
          <w:sz w:val="26"/>
          <w:szCs w:val="26"/>
        </w:rPr>
        <w:t xml:space="preserve">Hodnota </w:t>
      </w:r>
      <w:r w:rsidRPr="00271814">
        <w:rPr>
          <w:rFonts w:asciiTheme="minorHAnsi" w:hAnsiTheme="minorHAnsi"/>
          <w:b/>
          <w:bCs/>
          <w:sz w:val="26"/>
          <w:szCs w:val="26"/>
        </w:rPr>
        <w:t>mediánu mezd mužů</w:t>
      </w:r>
      <w:r w:rsidRPr="00271814">
        <w:rPr>
          <w:rFonts w:asciiTheme="minorHAnsi" w:hAnsiTheme="minorHAnsi"/>
          <w:bCs/>
          <w:sz w:val="26"/>
          <w:szCs w:val="26"/>
        </w:rPr>
        <w:t xml:space="preserve"> činila </w:t>
      </w:r>
      <w:r w:rsidRPr="008E1C8D">
        <w:rPr>
          <w:rFonts w:asciiTheme="minorHAnsi" w:hAnsiTheme="minorHAnsi"/>
          <w:bCs/>
          <w:sz w:val="26"/>
          <w:szCs w:val="26"/>
        </w:rPr>
        <w:t xml:space="preserve">ve sledovaném období </w:t>
      </w:r>
      <w:r w:rsidRPr="008E1C8D">
        <w:rPr>
          <w:rFonts w:asciiTheme="minorHAnsi" w:hAnsiTheme="minorHAnsi"/>
          <w:b/>
          <w:bCs/>
          <w:sz w:val="26"/>
          <w:szCs w:val="26"/>
        </w:rPr>
        <w:t>3</w:t>
      </w:r>
      <w:r>
        <w:rPr>
          <w:rFonts w:asciiTheme="minorHAnsi" w:hAnsiTheme="minorHAnsi"/>
          <w:b/>
          <w:bCs/>
          <w:sz w:val="26"/>
          <w:szCs w:val="26"/>
        </w:rPr>
        <w:t>8</w:t>
      </w:r>
      <w:r w:rsidRPr="008E1C8D">
        <w:rPr>
          <w:rFonts w:asciiTheme="minorHAnsi" w:hAnsiTheme="minorHAnsi"/>
          <w:b/>
          <w:bCs/>
          <w:sz w:val="26"/>
          <w:szCs w:val="26"/>
        </w:rPr>
        <w:t> </w:t>
      </w:r>
      <w:r>
        <w:rPr>
          <w:rFonts w:asciiTheme="minorHAnsi" w:hAnsiTheme="minorHAnsi"/>
          <w:b/>
          <w:bCs/>
          <w:sz w:val="26"/>
          <w:szCs w:val="26"/>
        </w:rPr>
        <w:t>284</w:t>
      </w:r>
      <w:r w:rsidRPr="008E1C8D">
        <w:rPr>
          <w:rFonts w:asciiTheme="minorHAnsi" w:hAnsiTheme="minorHAnsi"/>
          <w:b/>
          <w:bCs/>
          <w:sz w:val="26"/>
          <w:szCs w:val="26"/>
        </w:rPr>
        <w:t> Kč</w:t>
      </w:r>
      <w:r w:rsidRPr="008E1C8D">
        <w:rPr>
          <w:rFonts w:asciiTheme="minorHAnsi" w:hAnsiTheme="minorHAnsi"/>
          <w:bCs/>
          <w:sz w:val="26"/>
          <w:szCs w:val="26"/>
        </w:rPr>
        <w:t xml:space="preserve"> a </w:t>
      </w:r>
      <w:r w:rsidRPr="008E1C8D">
        <w:rPr>
          <w:rFonts w:asciiTheme="minorHAnsi" w:hAnsiTheme="minorHAnsi"/>
          <w:b/>
          <w:bCs/>
          <w:sz w:val="26"/>
          <w:szCs w:val="26"/>
        </w:rPr>
        <w:t xml:space="preserve">mediánu mezd žen </w:t>
      </w:r>
      <w:r>
        <w:rPr>
          <w:rFonts w:asciiTheme="minorHAnsi" w:hAnsiTheme="minorHAnsi"/>
          <w:b/>
          <w:bCs/>
          <w:sz w:val="26"/>
          <w:szCs w:val="26"/>
        </w:rPr>
        <w:t>33</w:t>
      </w:r>
      <w:r w:rsidRPr="008E1C8D">
        <w:rPr>
          <w:rFonts w:asciiTheme="minorHAnsi" w:hAnsiTheme="minorHAnsi"/>
          <w:b/>
          <w:bCs/>
          <w:sz w:val="26"/>
          <w:szCs w:val="26"/>
        </w:rPr>
        <w:t> </w:t>
      </w:r>
      <w:r>
        <w:rPr>
          <w:rFonts w:asciiTheme="minorHAnsi" w:hAnsiTheme="minorHAnsi"/>
          <w:b/>
          <w:bCs/>
          <w:sz w:val="26"/>
          <w:szCs w:val="26"/>
        </w:rPr>
        <w:t>077</w:t>
      </w:r>
      <w:r w:rsidRPr="008E1C8D">
        <w:rPr>
          <w:rFonts w:asciiTheme="minorHAnsi" w:hAnsiTheme="minorHAnsi"/>
          <w:b/>
          <w:bCs/>
          <w:sz w:val="26"/>
          <w:szCs w:val="26"/>
        </w:rPr>
        <w:t> Kč</w:t>
      </w:r>
      <w:r w:rsidRPr="008E1C8D">
        <w:rPr>
          <w:rFonts w:asciiTheme="minorHAnsi" w:hAnsiTheme="minorHAnsi"/>
          <w:bCs/>
          <w:sz w:val="26"/>
          <w:szCs w:val="26"/>
        </w:rPr>
        <w:t xml:space="preserve">. </w:t>
      </w:r>
      <w:r w:rsidRPr="008E1C8D">
        <w:rPr>
          <w:rFonts w:asciiTheme="minorHAnsi" w:hAnsiTheme="minorHAnsi"/>
          <w:b/>
          <w:bCs/>
          <w:sz w:val="26"/>
          <w:szCs w:val="26"/>
        </w:rPr>
        <w:t>Porovnání</w:t>
      </w:r>
      <w:r w:rsidRPr="008E1C8D">
        <w:rPr>
          <w:rFonts w:asciiTheme="minorHAnsi" w:hAnsiTheme="minorHAnsi"/>
          <w:bCs/>
          <w:sz w:val="26"/>
          <w:szCs w:val="26"/>
        </w:rPr>
        <w:t xml:space="preserve"> založené na posouzení vývoje </w:t>
      </w:r>
      <w:r w:rsidRPr="008E1C8D">
        <w:rPr>
          <w:rFonts w:asciiTheme="minorHAnsi" w:hAnsiTheme="minorHAnsi"/>
          <w:b/>
          <w:bCs/>
          <w:sz w:val="26"/>
          <w:szCs w:val="26"/>
        </w:rPr>
        <w:t>relace mediánové</w:t>
      </w:r>
      <w:r w:rsidRPr="008E1C8D">
        <w:rPr>
          <w:rFonts w:asciiTheme="minorHAnsi" w:hAnsiTheme="minorHAnsi"/>
          <w:bCs/>
          <w:sz w:val="26"/>
          <w:szCs w:val="26"/>
        </w:rPr>
        <w:t xml:space="preserve"> </w:t>
      </w:r>
      <w:r w:rsidRPr="008E1C8D">
        <w:rPr>
          <w:rFonts w:asciiTheme="minorHAnsi" w:hAnsiTheme="minorHAnsi"/>
          <w:b/>
          <w:bCs/>
          <w:sz w:val="26"/>
          <w:szCs w:val="26"/>
        </w:rPr>
        <w:t>hodnoty výdělků žen a mužů</w:t>
      </w:r>
      <w:r w:rsidRPr="008E1C8D">
        <w:rPr>
          <w:rFonts w:asciiTheme="minorHAnsi" w:hAnsiTheme="minorHAnsi"/>
          <w:bCs/>
          <w:sz w:val="26"/>
          <w:szCs w:val="26"/>
        </w:rPr>
        <w:t xml:space="preserve"> představovalo </w:t>
      </w:r>
      <w:r w:rsidRPr="008E1C8D">
        <w:rPr>
          <w:rFonts w:asciiTheme="minorHAnsi" w:hAnsiTheme="minorHAnsi"/>
          <w:b/>
          <w:bCs/>
          <w:sz w:val="26"/>
          <w:szCs w:val="26"/>
        </w:rPr>
        <w:t>8</w:t>
      </w:r>
      <w:r>
        <w:rPr>
          <w:rFonts w:asciiTheme="minorHAnsi" w:hAnsiTheme="minorHAnsi"/>
          <w:b/>
          <w:bCs/>
          <w:sz w:val="26"/>
          <w:szCs w:val="26"/>
        </w:rPr>
        <w:t>6</w:t>
      </w:r>
      <w:r w:rsidRPr="008E1C8D">
        <w:rPr>
          <w:rFonts w:asciiTheme="minorHAnsi" w:hAnsiTheme="minorHAnsi"/>
          <w:b/>
          <w:bCs/>
          <w:sz w:val="26"/>
          <w:szCs w:val="26"/>
        </w:rPr>
        <w:t>,</w:t>
      </w:r>
      <w:r>
        <w:rPr>
          <w:rFonts w:asciiTheme="minorHAnsi" w:hAnsiTheme="minorHAnsi"/>
          <w:b/>
          <w:bCs/>
          <w:sz w:val="26"/>
          <w:szCs w:val="26"/>
        </w:rPr>
        <w:t>4</w:t>
      </w:r>
      <w:r w:rsidRPr="008E1C8D">
        <w:rPr>
          <w:rFonts w:asciiTheme="minorHAnsi" w:hAnsiTheme="minorHAnsi"/>
          <w:b/>
          <w:bCs/>
          <w:sz w:val="26"/>
          <w:szCs w:val="26"/>
        </w:rPr>
        <w:t> %</w:t>
      </w:r>
      <w:r w:rsidRPr="008E1C8D">
        <w:rPr>
          <w:rFonts w:asciiTheme="minorHAnsi" w:hAnsiTheme="minorHAnsi"/>
          <w:bCs/>
          <w:sz w:val="26"/>
          <w:szCs w:val="26"/>
        </w:rPr>
        <w:t xml:space="preserve"> (absolutní rozdíl </w:t>
      </w:r>
      <w:r>
        <w:rPr>
          <w:rFonts w:asciiTheme="minorHAnsi" w:hAnsiTheme="minorHAnsi"/>
          <w:bCs/>
          <w:sz w:val="26"/>
          <w:szCs w:val="26"/>
        </w:rPr>
        <w:t>5</w:t>
      </w:r>
      <w:r w:rsidRPr="008E1C8D">
        <w:rPr>
          <w:rFonts w:asciiTheme="minorHAnsi" w:hAnsiTheme="minorHAnsi"/>
          <w:bCs/>
          <w:sz w:val="26"/>
          <w:szCs w:val="26"/>
        </w:rPr>
        <w:t> </w:t>
      </w:r>
      <w:r>
        <w:rPr>
          <w:rFonts w:asciiTheme="minorHAnsi" w:hAnsiTheme="minorHAnsi"/>
          <w:bCs/>
          <w:sz w:val="26"/>
          <w:szCs w:val="26"/>
        </w:rPr>
        <w:t>207</w:t>
      </w:r>
      <w:r w:rsidRPr="008E1C8D">
        <w:rPr>
          <w:rFonts w:asciiTheme="minorHAnsi" w:hAnsiTheme="minorHAnsi"/>
          <w:bCs/>
          <w:sz w:val="26"/>
          <w:szCs w:val="26"/>
        </w:rPr>
        <w:t> Kč, což bylo o </w:t>
      </w:r>
      <w:r>
        <w:rPr>
          <w:rFonts w:asciiTheme="minorHAnsi" w:hAnsiTheme="minorHAnsi"/>
          <w:bCs/>
          <w:sz w:val="26"/>
          <w:szCs w:val="26"/>
        </w:rPr>
        <w:t>3</w:t>
      </w:r>
      <w:r w:rsidRPr="008E1C8D">
        <w:rPr>
          <w:rFonts w:asciiTheme="minorHAnsi" w:hAnsiTheme="minorHAnsi"/>
          <w:bCs/>
          <w:sz w:val="26"/>
          <w:szCs w:val="26"/>
        </w:rPr>
        <w:t> </w:t>
      </w:r>
      <w:r>
        <w:rPr>
          <w:rFonts w:asciiTheme="minorHAnsi" w:hAnsiTheme="minorHAnsi"/>
          <w:bCs/>
          <w:sz w:val="26"/>
          <w:szCs w:val="26"/>
        </w:rPr>
        <w:t>202</w:t>
      </w:r>
      <w:r w:rsidRPr="008E1C8D">
        <w:rPr>
          <w:rFonts w:asciiTheme="minorHAnsi" w:hAnsiTheme="minorHAnsi"/>
          <w:bCs/>
          <w:sz w:val="26"/>
          <w:szCs w:val="26"/>
        </w:rPr>
        <w:t> Kč méně než v případě průměru).</w:t>
      </w:r>
    </w:p>
    <w:p w14:paraId="0BB3419B" w14:textId="77777777" w:rsidR="00F07F6D" w:rsidRDefault="00F07F6D" w:rsidP="007D0A4A">
      <w:pPr>
        <w:spacing w:after="120" w:line="360" w:lineRule="auto"/>
        <w:jc w:val="both"/>
        <w:rPr>
          <w:rFonts w:asciiTheme="minorHAnsi" w:hAnsiTheme="minorHAnsi"/>
          <w:bCs/>
          <w:sz w:val="26"/>
          <w:szCs w:val="26"/>
        </w:rPr>
      </w:pPr>
      <w:r w:rsidRPr="008E1C8D">
        <w:rPr>
          <w:rFonts w:asciiTheme="minorHAnsi" w:hAnsiTheme="minorHAnsi"/>
          <w:b/>
          <w:bCs/>
          <w:sz w:val="26"/>
          <w:szCs w:val="26"/>
        </w:rPr>
        <w:tab/>
      </w:r>
      <w:r>
        <w:rPr>
          <w:rFonts w:asciiTheme="minorHAnsi" w:hAnsiTheme="minorHAnsi"/>
          <w:sz w:val="26"/>
          <w:szCs w:val="26"/>
        </w:rPr>
        <w:t>Mírné</w:t>
      </w:r>
      <w:r w:rsidRPr="008E1C8D">
        <w:rPr>
          <w:rFonts w:asciiTheme="minorHAnsi" w:hAnsiTheme="minorHAnsi"/>
          <w:b/>
          <w:bCs/>
          <w:sz w:val="26"/>
          <w:szCs w:val="26"/>
        </w:rPr>
        <w:t xml:space="preserve"> </w:t>
      </w:r>
      <w:r>
        <w:rPr>
          <w:rFonts w:asciiTheme="minorHAnsi" w:hAnsiTheme="minorHAnsi"/>
          <w:b/>
          <w:bCs/>
          <w:sz w:val="26"/>
          <w:szCs w:val="26"/>
        </w:rPr>
        <w:t>zvýšení</w:t>
      </w:r>
      <w:r w:rsidRPr="008E1C8D">
        <w:rPr>
          <w:rFonts w:asciiTheme="minorHAnsi" w:hAnsiTheme="minorHAnsi"/>
          <w:b/>
          <w:bCs/>
          <w:sz w:val="26"/>
          <w:szCs w:val="26"/>
        </w:rPr>
        <w:t xml:space="preserve"> mzdové diferenciace</w:t>
      </w:r>
      <w:r w:rsidRPr="008E1C8D">
        <w:rPr>
          <w:rFonts w:asciiTheme="minorHAnsi" w:hAnsiTheme="minorHAnsi"/>
          <w:bCs/>
          <w:sz w:val="26"/>
          <w:szCs w:val="26"/>
        </w:rPr>
        <w:t xml:space="preserve"> na nejnižší </w:t>
      </w:r>
      <w:r w:rsidRPr="008E1C8D">
        <w:rPr>
          <w:rFonts w:asciiTheme="minorHAnsi" w:hAnsiTheme="minorHAnsi"/>
          <w:b/>
          <w:bCs/>
          <w:sz w:val="26"/>
          <w:szCs w:val="26"/>
        </w:rPr>
        <w:t>úrovni jednotlivých</w:t>
      </w:r>
      <w:r w:rsidRPr="008E1C8D">
        <w:rPr>
          <w:rFonts w:asciiTheme="minorHAnsi" w:hAnsiTheme="minorHAnsi"/>
          <w:bCs/>
          <w:sz w:val="26"/>
          <w:szCs w:val="26"/>
        </w:rPr>
        <w:t xml:space="preserve"> </w:t>
      </w:r>
      <w:r w:rsidRPr="008E1C8D">
        <w:rPr>
          <w:rFonts w:asciiTheme="minorHAnsi" w:hAnsiTheme="minorHAnsi"/>
          <w:b/>
          <w:bCs/>
          <w:sz w:val="26"/>
          <w:szCs w:val="26"/>
        </w:rPr>
        <w:t>zaměstnanců signalizuje vývoj hodnoty většiny základních diferenciačních charakteristik</w:t>
      </w:r>
      <w:r w:rsidRPr="008E1C8D">
        <w:rPr>
          <w:rFonts w:asciiTheme="minorHAnsi" w:hAnsiTheme="minorHAnsi"/>
          <w:bCs/>
          <w:sz w:val="26"/>
          <w:szCs w:val="26"/>
        </w:rPr>
        <w:t xml:space="preserve"> popsaných na výsledcích ukazatelů 1. pololetí 20</w:t>
      </w:r>
      <w:r>
        <w:rPr>
          <w:rFonts w:asciiTheme="minorHAnsi" w:hAnsiTheme="minorHAnsi"/>
          <w:bCs/>
          <w:sz w:val="26"/>
          <w:szCs w:val="26"/>
        </w:rPr>
        <w:t>21</w:t>
      </w:r>
      <w:r w:rsidRPr="008E1C8D">
        <w:rPr>
          <w:rFonts w:asciiTheme="minorHAnsi" w:hAnsiTheme="minorHAnsi"/>
          <w:bCs/>
          <w:sz w:val="26"/>
          <w:szCs w:val="26"/>
        </w:rPr>
        <w:t xml:space="preserve"> a 1. pololetí 20</w:t>
      </w:r>
      <w:r>
        <w:rPr>
          <w:rFonts w:asciiTheme="minorHAnsi" w:hAnsiTheme="minorHAnsi"/>
          <w:bCs/>
          <w:sz w:val="26"/>
          <w:szCs w:val="26"/>
        </w:rPr>
        <w:t>22</w:t>
      </w:r>
      <w:r w:rsidRPr="008E1C8D">
        <w:rPr>
          <w:rFonts w:asciiTheme="minorHAnsi" w:hAnsiTheme="minorHAnsi"/>
          <w:bCs/>
          <w:sz w:val="26"/>
          <w:szCs w:val="26"/>
        </w:rPr>
        <w:t xml:space="preserve"> v následující tabulce (vlastní propočty MPSV z dat vybraných organizací).</w:t>
      </w:r>
    </w:p>
    <w:tbl>
      <w:tblPr>
        <w:tblW w:w="9024" w:type="dxa"/>
        <w:jc w:val="center"/>
        <w:tblCellMar>
          <w:left w:w="0" w:type="dxa"/>
          <w:right w:w="0" w:type="dxa"/>
        </w:tblCellMar>
        <w:tblLook w:val="04A0" w:firstRow="1" w:lastRow="0" w:firstColumn="1" w:lastColumn="0" w:noHBand="0" w:noVBand="1"/>
      </w:tblPr>
      <w:tblGrid>
        <w:gridCol w:w="5550"/>
        <w:gridCol w:w="1737"/>
        <w:gridCol w:w="1737"/>
      </w:tblGrid>
      <w:tr w:rsidR="00F07F6D" w:rsidRPr="007C361E" w14:paraId="7808EDDD" w14:textId="77777777" w:rsidTr="0007287E">
        <w:trPr>
          <w:trHeight w:val="402"/>
          <w:jc w:val="center"/>
        </w:trPr>
        <w:tc>
          <w:tcPr>
            <w:tcW w:w="5550" w:type="dxa"/>
            <w:tcBorders>
              <w:top w:val="double" w:sz="6" w:space="0" w:color="auto"/>
              <w:left w:val="double" w:sz="6" w:space="0" w:color="auto"/>
              <w:bottom w:val="double" w:sz="6" w:space="0" w:color="auto"/>
              <w:right w:val="single" w:sz="4" w:space="0" w:color="auto"/>
            </w:tcBorders>
            <w:noWrap/>
            <w:tcMar>
              <w:top w:w="0" w:type="dxa"/>
              <w:left w:w="15" w:type="dxa"/>
              <w:bottom w:w="0" w:type="dxa"/>
              <w:right w:w="15" w:type="dxa"/>
            </w:tcMar>
            <w:vAlign w:val="center"/>
            <w:hideMark/>
          </w:tcPr>
          <w:p w14:paraId="519718E6"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Ukazatel</w:t>
            </w:r>
          </w:p>
        </w:tc>
        <w:tc>
          <w:tcPr>
            <w:tcW w:w="1737" w:type="dxa"/>
            <w:tcBorders>
              <w:top w:val="double" w:sz="6"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hideMark/>
          </w:tcPr>
          <w:p w14:paraId="2CA30F17" w14:textId="77777777" w:rsidR="00F07F6D" w:rsidRPr="007C361E" w:rsidRDefault="00F07F6D" w:rsidP="0007287E">
            <w:pPr>
              <w:spacing w:line="360" w:lineRule="auto"/>
              <w:jc w:val="center"/>
              <w:rPr>
                <w:rFonts w:asciiTheme="minorHAnsi" w:hAnsiTheme="minorHAnsi"/>
                <w:bCs/>
                <w:szCs w:val="26"/>
              </w:rPr>
            </w:pPr>
            <w:r w:rsidRPr="007C361E">
              <w:rPr>
                <w:rFonts w:asciiTheme="minorHAnsi" w:hAnsiTheme="minorHAnsi"/>
                <w:bCs/>
                <w:szCs w:val="26"/>
              </w:rPr>
              <w:t>1. pololetí 20</w:t>
            </w:r>
            <w:r>
              <w:rPr>
                <w:rFonts w:asciiTheme="minorHAnsi" w:hAnsiTheme="minorHAnsi"/>
                <w:bCs/>
                <w:szCs w:val="26"/>
              </w:rPr>
              <w:t>21</w:t>
            </w:r>
          </w:p>
        </w:tc>
        <w:tc>
          <w:tcPr>
            <w:tcW w:w="1737" w:type="dxa"/>
            <w:tcBorders>
              <w:top w:val="double" w:sz="6" w:space="0" w:color="auto"/>
              <w:left w:val="nil"/>
              <w:bottom w:val="double" w:sz="6" w:space="0" w:color="auto"/>
              <w:right w:val="double" w:sz="6" w:space="0" w:color="auto"/>
            </w:tcBorders>
            <w:noWrap/>
            <w:tcMar>
              <w:top w:w="15" w:type="dxa"/>
              <w:left w:w="15" w:type="dxa"/>
              <w:bottom w:w="0" w:type="dxa"/>
              <w:right w:w="15" w:type="dxa"/>
            </w:tcMar>
            <w:vAlign w:val="center"/>
            <w:hideMark/>
          </w:tcPr>
          <w:p w14:paraId="0686AF8A" w14:textId="77777777" w:rsidR="00F07F6D" w:rsidRPr="007C361E" w:rsidRDefault="00F07F6D" w:rsidP="0007287E">
            <w:pPr>
              <w:spacing w:line="360" w:lineRule="auto"/>
              <w:jc w:val="center"/>
              <w:rPr>
                <w:rFonts w:asciiTheme="minorHAnsi" w:hAnsiTheme="minorHAnsi"/>
                <w:bCs/>
                <w:szCs w:val="26"/>
              </w:rPr>
            </w:pPr>
            <w:r w:rsidRPr="007C361E">
              <w:rPr>
                <w:rFonts w:asciiTheme="minorHAnsi" w:hAnsiTheme="minorHAnsi"/>
                <w:bCs/>
                <w:szCs w:val="26"/>
              </w:rPr>
              <w:t>1. pololetí 20</w:t>
            </w:r>
            <w:r>
              <w:rPr>
                <w:rFonts w:asciiTheme="minorHAnsi" w:hAnsiTheme="minorHAnsi"/>
                <w:bCs/>
                <w:szCs w:val="26"/>
              </w:rPr>
              <w:t>22</w:t>
            </w:r>
          </w:p>
        </w:tc>
      </w:tr>
      <w:tr w:rsidR="00F07F6D" w:rsidRPr="007C361E" w14:paraId="67030EFF" w14:textId="77777777" w:rsidTr="0007287E">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hideMark/>
          </w:tcPr>
          <w:p w14:paraId="099A21FD"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Rozdíl mezi průměrným výdělkem a mediánem (Kč)</w:t>
            </w:r>
          </w:p>
        </w:tc>
        <w:tc>
          <w:tcPr>
            <w:tcW w:w="0" w:type="auto"/>
            <w:tcBorders>
              <w:top w:val="nil"/>
              <w:left w:val="nil"/>
              <w:bottom w:val="nil"/>
              <w:right w:val="single" w:sz="4" w:space="0" w:color="auto"/>
            </w:tcBorders>
            <w:noWrap/>
            <w:tcMar>
              <w:top w:w="15" w:type="dxa"/>
              <w:left w:w="15" w:type="dxa"/>
              <w:bottom w:w="0" w:type="dxa"/>
              <w:right w:w="15" w:type="dxa"/>
            </w:tcMar>
            <w:vAlign w:val="center"/>
            <w:hideMark/>
          </w:tcPr>
          <w:p w14:paraId="79168D32" w14:textId="77777777" w:rsidR="00F07F6D" w:rsidRPr="007C361E" w:rsidRDefault="00F07F6D" w:rsidP="0007287E">
            <w:pPr>
              <w:spacing w:line="360" w:lineRule="auto"/>
              <w:ind w:right="113"/>
              <w:jc w:val="right"/>
              <w:rPr>
                <w:rFonts w:asciiTheme="minorHAnsi" w:hAnsiTheme="minorHAnsi"/>
                <w:bCs/>
                <w:szCs w:val="26"/>
              </w:rPr>
            </w:pPr>
            <w:r>
              <w:rPr>
                <w:rFonts w:asciiTheme="minorHAnsi" w:hAnsiTheme="minorHAnsi"/>
                <w:bCs/>
                <w:szCs w:val="26"/>
              </w:rPr>
              <w:t>5</w:t>
            </w:r>
            <w:r w:rsidRPr="007C361E">
              <w:rPr>
                <w:rFonts w:asciiTheme="minorHAnsi" w:hAnsiTheme="minorHAnsi"/>
                <w:bCs/>
                <w:szCs w:val="26"/>
              </w:rPr>
              <w:t xml:space="preserve"> </w:t>
            </w:r>
            <w:r>
              <w:rPr>
                <w:rFonts w:asciiTheme="minorHAnsi" w:hAnsiTheme="minorHAnsi"/>
                <w:bCs/>
                <w:szCs w:val="26"/>
              </w:rPr>
              <w:t xml:space="preserve">929 </w:t>
            </w:r>
          </w:p>
        </w:tc>
        <w:tc>
          <w:tcPr>
            <w:tcW w:w="0" w:type="auto"/>
            <w:tcBorders>
              <w:top w:val="nil"/>
              <w:left w:val="nil"/>
              <w:bottom w:val="nil"/>
              <w:right w:val="double" w:sz="6" w:space="0" w:color="auto"/>
            </w:tcBorders>
            <w:noWrap/>
            <w:tcMar>
              <w:top w:w="15" w:type="dxa"/>
              <w:left w:w="15" w:type="dxa"/>
              <w:bottom w:w="0" w:type="dxa"/>
              <w:right w:w="15" w:type="dxa"/>
            </w:tcMar>
            <w:vAlign w:val="center"/>
            <w:hideMark/>
          </w:tcPr>
          <w:p w14:paraId="7133B065" w14:textId="77777777" w:rsidR="00F07F6D" w:rsidRPr="007C361E" w:rsidRDefault="00F07F6D" w:rsidP="0007287E">
            <w:pPr>
              <w:spacing w:line="360" w:lineRule="auto"/>
              <w:ind w:right="113"/>
              <w:jc w:val="right"/>
              <w:rPr>
                <w:rFonts w:asciiTheme="minorHAnsi" w:hAnsiTheme="minorHAnsi"/>
                <w:bCs/>
                <w:szCs w:val="26"/>
              </w:rPr>
            </w:pPr>
            <w:r>
              <w:rPr>
                <w:rFonts w:asciiTheme="minorHAnsi" w:hAnsiTheme="minorHAnsi"/>
                <w:bCs/>
                <w:szCs w:val="26"/>
              </w:rPr>
              <w:t>6</w:t>
            </w:r>
            <w:r w:rsidRPr="007C361E">
              <w:rPr>
                <w:rFonts w:asciiTheme="minorHAnsi" w:hAnsiTheme="minorHAnsi"/>
                <w:bCs/>
                <w:szCs w:val="26"/>
              </w:rPr>
              <w:t xml:space="preserve"> </w:t>
            </w:r>
            <w:r>
              <w:rPr>
                <w:rFonts w:asciiTheme="minorHAnsi" w:hAnsiTheme="minorHAnsi"/>
                <w:bCs/>
                <w:szCs w:val="26"/>
              </w:rPr>
              <w:t>415</w:t>
            </w:r>
          </w:p>
        </w:tc>
      </w:tr>
      <w:tr w:rsidR="00F07F6D" w:rsidRPr="007C361E" w14:paraId="68372F69" w14:textId="77777777" w:rsidTr="0007287E">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hideMark/>
          </w:tcPr>
          <w:p w14:paraId="7B6333A9"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Podíl zaměstnanců s nižší než průměrnou mzdou (%)</w:t>
            </w:r>
          </w:p>
        </w:tc>
        <w:tc>
          <w:tcPr>
            <w:tcW w:w="0" w:type="auto"/>
            <w:tcBorders>
              <w:top w:val="nil"/>
              <w:left w:val="nil"/>
              <w:bottom w:val="nil"/>
              <w:right w:val="single" w:sz="4" w:space="0" w:color="auto"/>
            </w:tcBorders>
            <w:noWrap/>
            <w:tcMar>
              <w:top w:w="15" w:type="dxa"/>
              <w:left w:w="15" w:type="dxa"/>
              <w:bottom w:w="0" w:type="dxa"/>
              <w:right w:w="15" w:type="dxa"/>
            </w:tcMar>
            <w:vAlign w:val="center"/>
            <w:hideMark/>
          </w:tcPr>
          <w:p w14:paraId="27C1D13C"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6</w:t>
            </w:r>
            <w:r>
              <w:rPr>
                <w:rFonts w:asciiTheme="minorHAnsi" w:hAnsiTheme="minorHAnsi"/>
                <w:bCs/>
                <w:szCs w:val="26"/>
              </w:rPr>
              <w:t>7</w:t>
            </w:r>
            <w:r w:rsidRPr="007C361E">
              <w:rPr>
                <w:rFonts w:asciiTheme="minorHAnsi" w:hAnsiTheme="minorHAnsi"/>
                <w:bCs/>
                <w:szCs w:val="26"/>
              </w:rPr>
              <w:t>,</w:t>
            </w:r>
            <w:r>
              <w:rPr>
                <w:rFonts w:asciiTheme="minorHAnsi" w:hAnsiTheme="minorHAnsi"/>
                <w:bCs/>
                <w:szCs w:val="26"/>
              </w:rPr>
              <w:t>1</w:t>
            </w:r>
          </w:p>
        </w:tc>
        <w:tc>
          <w:tcPr>
            <w:tcW w:w="0" w:type="auto"/>
            <w:tcBorders>
              <w:top w:val="nil"/>
              <w:left w:val="nil"/>
              <w:bottom w:val="nil"/>
              <w:right w:val="double" w:sz="6" w:space="0" w:color="auto"/>
            </w:tcBorders>
            <w:noWrap/>
            <w:tcMar>
              <w:top w:w="15" w:type="dxa"/>
              <w:left w:w="15" w:type="dxa"/>
              <w:bottom w:w="0" w:type="dxa"/>
              <w:right w:w="15" w:type="dxa"/>
            </w:tcMar>
            <w:vAlign w:val="center"/>
            <w:hideMark/>
          </w:tcPr>
          <w:p w14:paraId="5184A192"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6</w:t>
            </w:r>
            <w:r>
              <w:rPr>
                <w:rFonts w:asciiTheme="minorHAnsi" w:hAnsiTheme="minorHAnsi"/>
                <w:bCs/>
                <w:szCs w:val="26"/>
              </w:rPr>
              <w:t>7</w:t>
            </w:r>
            <w:r w:rsidRPr="007C361E">
              <w:rPr>
                <w:rFonts w:asciiTheme="minorHAnsi" w:hAnsiTheme="minorHAnsi"/>
                <w:bCs/>
                <w:szCs w:val="26"/>
              </w:rPr>
              <w:t>,</w:t>
            </w:r>
            <w:r>
              <w:rPr>
                <w:rFonts w:asciiTheme="minorHAnsi" w:hAnsiTheme="minorHAnsi"/>
                <w:bCs/>
                <w:szCs w:val="26"/>
              </w:rPr>
              <w:t>5</w:t>
            </w:r>
          </w:p>
        </w:tc>
      </w:tr>
      <w:tr w:rsidR="00F07F6D" w:rsidRPr="007C361E" w14:paraId="048563B2" w14:textId="77777777" w:rsidTr="0007287E">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hideMark/>
          </w:tcPr>
          <w:p w14:paraId="2822B307"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Decilový poměr (9. </w:t>
            </w:r>
            <w:proofErr w:type="gramStart"/>
            <w:r w:rsidRPr="007C361E">
              <w:rPr>
                <w:rFonts w:asciiTheme="minorHAnsi" w:hAnsiTheme="minorHAnsi"/>
                <w:bCs/>
                <w:szCs w:val="26"/>
              </w:rPr>
              <w:t>decil :</w:t>
            </w:r>
            <w:proofErr w:type="gramEnd"/>
            <w:r w:rsidRPr="007C361E">
              <w:rPr>
                <w:rFonts w:asciiTheme="minorHAnsi" w:hAnsiTheme="minorHAnsi"/>
                <w:bCs/>
                <w:szCs w:val="26"/>
              </w:rPr>
              <w:t xml:space="preserve"> 1. decil)</w:t>
            </w:r>
          </w:p>
        </w:tc>
        <w:tc>
          <w:tcPr>
            <w:tcW w:w="0" w:type="auto"/>
            <w:tcBorders>
              <w:top w:val="nil"/>
              <w:left w:val="nil"/>
              <w:bottom w:val="nil"/>
              <w:right w:val="single" w:sz="4" w:space="0" w:color="auto"/>
            </w:tcBorders>
            <w:noWrap/>
            <w:tcMar>
              <w:top w:w="15" w:type="dxa"/>
              <w:left w:w="15" w:type="dxa"/>
              <w:bottom w:w="0" w:type="dxa"/>
              <w:right w:w="15" w:type="dxa"/>
            </w:tcMar>
            <w:vAlign w:val="center"/>
            <w:hideMark/>
          </w:tcPr>
          <w:p w14:paraId="563ACBE3"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3,</w:t>
            </w:r>
            <w:r>
              <w:rPr>
                <w:rFonts w:asciiTheme="minorHAnsi" w:hAnsiTheme="minorHAnsi"/>
                <w:bCs/>
                <w:szCs w:val="26"/>
              </w:rPr>
              <w:t>24</w:t>
            </w:r>
          </w:p>
        </w:tc>
        <w:tc>
          <w:tcPr>
            <w:tcW w:w="0" w:type="auto"/>
            <w:tcBorders>
              <w:top w:val="nil"/>
              <w:left w:val="nil"/>
              <w:bottom w:val="nil"/>
              <w:right w:val="double" w:sz="6" w:space="0" w:color="auto"/>
            </w:tcBorders>
            <w:noWrap/>
            <w:tcMar>
              <w:top w:w="15" w:type="dxa"/>
              <w:left w:w="15" w:type="dxa"/>
              <w:bottom w:w="0" w:type="dxa"/>
              <w:right w:w="15" w:type="dxa"/>
            </w:tcMar>
            <w:vAlign w:val="center"/>
            <w:hideMark/>
          </w:tcPr>
          <w:p w14:paraId="28ACB415"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3,</w:t>
            </w:r>
            <w:r>
              <w:rPr>
                <w:rFonts w:asciiTheme="minorHAnsi" w:hAnsiTheme="minorHAnsi"/>
                <w:bCs/>
                <w:szCs w:val="26"/>
              </w:rPr>
              <w:t>16</w:t>
            </w:r>
          </w:p>
        </w:tc>
      </w:tr>
      <w:tr w:rsidR="00F07F6D" w:rsidRPr="007C361E" w14:paraId="7B2251C5" w14:textId="77777777" w:rsidTr="0007287E">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hideMark/>
          </w:tcPr>
          <w:p w14:paraId="0C4E63E2"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Variační koeficient (%)</w:t>
            </w:r>
          </w:p>
        </w:tc>
        <w:tc>
          <w:tcPr>
            <w:tcW w:w="0" w:type="auto"/>
            <w:tcBorders>
              <w:top w:val="nil"/>
              <w:left w:val="nil"/>
              <w:bottom w:val="nil"/>
              <w:right w:val="single" w:sz="4" w:space="0" w:color="auto"/>
            </w:tcBorders>
            <w:noWrap/>
            <w:tcMar>
              <w:top w:w="15" w:type="dxa"/>
              <w:left w:w="15" w:type="dxa"/>
              <w:bottom w:w="0" w:type="dxa"/>
              <w:right w:w="15" w:type="dxa"/>
            </w:tcMar>
            <w:vAlign w:val="center"/>
            <w:hideMark/>
          </w:tcPr>
          <w:p w14:paraId="365A7BC4"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7</w:t>
            </w:r>
            <w:r>
              <w:rPr>
                <w:rFonts w:asciiTheme="minorHAnsi" w:hAnsiTheme="minorHAnsi"/>
                <w:bCs/>
                <w:szCs w:val="26"/>
              </w:rPr>
              <w:t>1</w:t>
            </w:r>
          </w:p>
        </w:tc>
        <w:tc>
          <w:tcPr>
            <w:tcW w:w="0" w:type="auto"/>
            <w:tcBorders>
              <w:top w:val="nil"/>
              <w:left w:val="nil"/>
              <w:bottom w:val="nil"/>
              <w:right w:val="double" w:sz="6" w:space="0" w:color="auto"/>
            </w:tcBorders>
            <w:noWrap/>
            <w:tcMar>
              <w:top w:w="15" w:type="dxa"/>
              <w:left w:w="15" w:type="dxa"/>
              <w:bottom w:w="0" w:type="dxa"/>
              <w:right w:w="15" w:type="dxa"/>
            </w:tcMar>
            <w:vAlign w:val="center"/>
            <w:hideMark/>
          </w:tcPr>
          <w:p w14:paraId="484ADD8D"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7</w:t>
            </w:r>
            <w:r>
              <w:rPr>
                <w:rFonts w:asciiTheme="minorHAnsi" w:hAnsiTheme="minorHAnsi"/>
                <w:bCs/>
                <w:szCs w:val="26"/>
              </w:rPr>
              <w:t>3</w:t>
            </w:r>
          </w:p>
        </w:tc>
      </w:tr>
      <w:tr w:rsidR="00F07F6D" w:rsidRPr="007C361E" w14:paraId="25F38E0D" w14:textId="77777777" w:rsidTr="0007287E">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hideMark/>
          </w:tcPr>
          <w:p w14:paraId="6EA7F3D1"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w:t>
            </w:r>
            <w:proofErr w:type="spellStart"/>
            <w:r w:rsidRPr="007C361E">
              <w:rPr>
                <w:rFonts w:asciiTheme="minorHAnsi" w:hAnsiTheme="minorHAnsi"/>
                <w:bCs/>
                <w:szCs w:val="26"/>
              </w:rPr>
              <w:t>Giniho</w:t>
            </w:r>
            <w:proofErr w:type="spellEnd"/>
            <w:r w:rsidRPr="007C361E">
              <w:rPr>
                <w:rFonts w:asciiTheme="minorHAnsi" w:hAnsiTheme="minorHAnsi"/>
                <w:bCs/>
                <w:szCs w:val="26"/>
              </w:rPr>
              <w:t xml:space="preserve"> koeficient</w:t>
            </w:r>
          </w:p>
        </w:tc>
        <w:tc>
          <w:tcPr>
            <w:tcW w:w="0" w:type="auto"/>
            <w:tcBorders>
              <w:top w:val="nil"/>
              <w:left w:val="nil"/>
              <w:bottom w:val="nil"/>
              <w:right w:val="single" w:sz="4" w:space="0" w:color="auto"/>
            </w:tcBorders>
            <w:noWrap/>
            <w:tcMar>
              <w:top w:w="15" w:type="dxa"/>
              <w:left w:w="15" w:type="dxa"/>
              <w:bottom w:w="0" w:type="dxa"/>
              <w:right w:w="15" w:type="dxa"/>
            </w:tcMar>
            <w:vAlign w:val="center"/>
            <w:hideMark/>
          </w:tcPr>
          <w:p w14:paraId="3C417F81"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0,2</w:t>
            </w:r>
            <w:r>
              <w:rPr>
                <w:rFonts w:asciiTheme="minorHAnsi" w:hAnsiTheme="minorHAnsi"/>
                <w:bCs/>
                <w:szCs w:val="26"/>
              </w:rPr>
              <w:t>8</w:t>
            </w:r>
          </w:p>
        </w:tc>
        <w:tc>
          <w:tcPr>
            <w:tcW w:w="0" w:type="auto"/>
            <w:tcBorders>
              <w:top w:val="nil"/>
              <w:left w:val="nil"/>
              <w:bottom w:val="nil"/>
              <w:right w:val="double" w:sz="6" w:space="0" w:color="auto"/>
            </w:tcBorders>
            <w:noWrap/>
            <w:tcMar>
              <w:top w:w="15" w:type="dxa"/>
              <w:left w:w="15" w:type="dxa"/>
              <w:bottom w:w="0" w:type="dxa"/>
              <w:right w:w="15" w:type="dxa"/>
            </w:tcMar>
            <w:vAlign w:val="center"/>
            <w:hideMark/>
          </w:tcPr>
          <w:p w14:paraId="37C544F7"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0,2</w:t>
            </w:r>
            <w:r>
              <w:rPr>
                <w:rFonts w:asciiTheme="minorHAnsi" w:hAnsiTheme="minorHAnsi"/>
                <w:bCs/>
                <w:szCs w:val="26"/>
              </w:rPr>
              <w:t>8</w:t>
            </w:r>
          </w:p>
        </w:tc>
      </w:tr>
      <w:tr w:rsidR="00F07F6D" w:rsidRPr="007C361E" w14:paraId="0F785A8E" w14:textId="77777777" w:rsidTr="0007287E">
        <w:trPr>
          <w:trHeight w:val="360"/>
          <w:jc w:val="center"/>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center"/>
            <w:hideMark/>
          </w:tcPr>
          <w:p w14:paraId="0B9D45CB" w14:textId="77777777" w:rsidR="00F07F6D" w:rsidRPr="007C361E" w:rsidRDefault="00F07F6D" w:rsidP="0007287E">
            <w:pPr>
              <w:spacing w:line="360" w:lineRule="auto"/>
              <w:jc w:val="both"/>
              <w:rPr>
                <w:rFonts w:asciiTheme="minorHAnsi" w:hAnsiTheme="minorHAnsi"/>
                <w:bCs/>
                <w:szCs w:val="26"/>
              </w:rPr>
            </w:pPr>
            <w:r w:rsidRPr="007C361E">
              <w:rPr>
                <w:rFonts w:asciiTheme="minorHAnsi" w:hAnsiTheme="minorHAnsi"/>
                <w:bCs/>
                <w:szCs w:val="26"/>
              </w:rPr>
              <w:t xml:space="preserve"> </w:t>
            </w:r>
            <w:proofErr w:type="spellStart"/>
            <w:r w:rsidRPr="007C361E">
              <w:rPr>
                <w:rFonts w:asciiTheme="minorHAnsi" w:hAnsiTheme="minorHAnsi"/>
                <w:bCs/>
                <w:szCs w:val="26"/>
              </w:rPr>
              <w:t>Paretův</w:t>
            </w:r>
            <w:proofErr w:type="spellEnd"/>
            <w:r w:rsidRPr="007C361E">
              <w:rPr>
                <w:rFonts w:asciiTheme="minorHAnsi" w:hAnsiTheme="minorHAnsi"/>
                <w:bCs/>
                <w:szCs w:val="26"/>
              </w:rPr>
              <w:t xml:space="preserve"> koeficient</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hideMark/>
          </w:tcPr>
          <w:p w14:paraId="2B8B31A6"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0,3</w:t>
            </w:r>
            <w:r>
              <w:rPr>
                <w:rFonts w:asciiTheme="minorHAnsi" w:hAnsiTheme="minorHAnsi"/>
                <w:bCs/>
                <w:szCs w:val="26"/>
              </w:rPr>
              <w:t>8</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center"/>
            <w:hideMark/>
          </w:tcPr>
          <w:p w14:paraId="15FC69ED" w14:textId="77777777" w:rsidR="00F07F6D" w:rsidRPr="007C361E" w:rsidRDefault="00F07F6D" w:rsidP="0007287E">
            <w:pPr>
              <w:spacing w:line="360" w:lineRule="auto"/>
              <w:ind w:right="113"/>
              <w:jc w:val="right"/>
              <w:rPr>
                <w:rFonts w:asciiTheme="minorHAnsi" w:hAnsiTheme="minorHAnsi"/>
                <w:bCs/>
                <w:szCs w:val="26"/>
              </w:rPr>
            </w:pPr>
            <w:r w:rsidRPr="007C361E">
              <w:rPr>
                <w:rFonts w:asciiTheme="minorHAnsi" w:hAnsiTheme="minorHAnsi"/>
                <w:bCs/>
                <w:szCs w:val="26"/>
              </w:rPr>
              <w:t>0,3</w:t>
            </w:r>
            <w:r>
              <w:rPr>
                <w:rFonts w:asciiTheme="minorHAnsi" w:hAnsiTheme="minorHAnsi"/>
                <w:bCs/>
                <w:szCs w:val="26"/>
              </w:rPr>
              <w:t>7</w:t>
            </w:r>
          </w:p>
        </w:tc>
      </w:tr>
    </w:tbl>
    <w:p w14:paraId="1736A892" w14:textId="77777777" w:rsidR="00F07F6D" w:rsidRDefault="00F07F6D" w:rsidP="00F07F6D">
      <w:pPr>
        <w:spacing w:line="360" w:lineRule="auto"/>
        <w:jc w:val="both"/>
        <w:rPr>
          <w:rFonts w:asciiTheme="minorHAnsi" w:hAnsiTheme="minorHAnsi"/>
          <w:bCs/>
          <w:sz w:val="26"/>
          <w:szCs w:val="26"/>
        </w:rPr>
      </w:pPr>
    </w:p>
    <w:p w14:paraId="26ED983F" w14:textId="77777777" w:rsidR="00F07F6D" w:rsidRPr="008E1C8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r>
      <w:r w:rsidRPr="008E1C8D">
        <w:rPr>
          <w:rFonts w:asciiTheme="minorHAnsi" w:hAnsiTheme="minorHAnsi"/>
          <w:b/>
          <w:bCs/>
          <w:sz w:val="26"/>
          <w:szCs w:val="26"/>
        </w:rPr>
        <w:t>Podíl zaměstnanců s</w:t>
      </w:r>
      <w:r>
        <w:rPr>
          <w:rFonts w:asciiTheme="minorHAnsi" w:hAnsiTheme="minorHAnsi"/>
          <w:b/>
          <w:bCs/>
          <w:sz w:val="26"/>
          <w:szCs w:val="26"/>
        </w:rPr>
        <w:t> </w:t>
      </w:r>
      <w:r w:rsidRPr="008E1C8D">
        <w:rPr>
          <w:rFonts w:asciiTheme="minorHAnsi" w:hAnsiTheme="minorHAnsi"/>
          <w:b/>
          <w:bCs/>
          <w:sz w:val="26"/>
          <w:szCs w:val="26"/>
        </w:rPr>
        <w:t>nižším než průměrným výdělkem z celkového počtu zaměstnanců</w:t>
      </w:r>
      <w:r w:rsidRPr="00271814">
        <w:rPr>
          <w:rFonts w:asciiTheme="minorHAnsi" w:hAnsiTheme="minorHAnsi"/>
          <w:sz w:val="26"/>
          <w:szCs w:val="26"/>
        </w:rPr>
        <w:t xml:space="preserve"> </w:t>
      </w:r>
      <w:r w:rsidRPr="008E1C8D">
        <w:rPr>
          <w:rFonts w:asciiTheme="minorHAnsi" w:hAnsiTheme="minorHAnsi"/>
          <w:bCs/>
          <w:sz w:val="26"/>
          <w:szCs w:val="26"/>
        </w:rPr>
        <w:t xml:space="preserve">(oproti stejnému období předchozího roku) se </w:t>
      </w:r>
      <w:r>
        <w:rPr>
          <w:rFonts w:asciiTheme="minorHAnsi" w:hAnsiTheme="minorHAnsi"/>
          <w:bCs/>
          <w:sz w:val="26"/>
          <w:szCs w:val="26"/>
        </w:rPr>
        <w:t>zvýš</w:t>
      </w:r>
      <w:r w:rsidRPr="008E1C8D">
        <w:rPr>
          <w:rFonts w:asciiTheme="minorHAnsi" w:hAnsiTheme="minorHAnsi"/>
          <w:bCs/>
          <w:sz w:val="26"/>
          <w:szCs w:val="26"/>
        </w:rPr>
        <w:t>il o 0,</w:t>
      </w:r>
      <w:r>
        <w:rPr>
          <w:rFonts w:asciiTheme="minorHAnsi" w:hAnsiTheme="minorHAnsi"/>
          <w:bCs/>
          <w:sz w:val="26"/>
          <w:szCs w:val="26"/>
        </w:rPr>
        <w:t>4</w:t>
      </w:r>
      <w:r w:rsidRPr="008E1C8D">
        <w:rPr>
          <w:rFonts w:asciiTheme="minorHAnsi" w:hAnsiTheme="minorHAnsi"/>
          <w:bCs/>
          <w:sz w:val="26"/>
          <w:szCs w:val="26"/>
        </w:rPr>
        <w:t> p. b. na hodnotu</w:t>
      </w:r>
      <w:r w:rsidRPr="008E1C8D">
        <w:rPr>
          <w:rFonts w:asciiTheme="minorHAnsi" w:hAnsiTheme="minorHAnsi"/>
          <w:b/>
          <w:bCs/>
          <w:sz w:val="26"/>
          <w:szCs w:val="26"/>
        </w:rPr>
        <w:t xml:space="preserve"> 6</w:t>
      </w:r>
      <w:r>
        <w:rPr>
          <w:rFonts w:asciiTheme="minorHAnsi" w:hAnsiTheme="minorHAnsi"/>
          <w:b/>
          <w:bCs/>
          <w:sz w:val="26"/>
          <w:szCs w:val="26"/>
        </w:rPr>
        <w:t>7</w:t>
      </w:r>
      <w:r w:rsidRPr="008E1C8D">
        <w:rPr>
          <w:rFonts w:asciiTheme="minorHAnsi" w:hAnsiTheme="minorHAnsi"/>
          <w:b/>
          <w:bCs/>
          <w:sz w:val="26"/>
          <w:szCs w:val="26"/>
        </w:rPr>
        <w:t>,</w:t>
      </w:r>
      <w:r>
        <w:rPr>
          <w:rFonts w:asciiTheme="minorHAnsi" w:hAnsiTheme="minorHAnsi"/>
          <w:b/>
          <w:bCs/>
          <w:sz w:val="26"/>
          <w:szCs w:val="26"/>
        </w:rPr>
        <w:t>5</w:t>
      </w:r>
      <w:r w:rsidRPr="008E1C8D">
        <w:rPr>
          <w:rFonts w:asciiTheme="minorHAnsi" w:hAnsiTheme="minorHAnsi"/>
          <w:b/>
          <w:bCs/>
          <w:sz w:val="26"/>
          <w:szCs w:val="26"/>
        </w:rPr>
        <w:t> %</w:t>
      </w:r>
      <w:r w:rsidRPr="00B73126">
        <w:rPr>
          <w:rFonts w:asciiTheme="minorHAnsi" w:hAnsiTheme="minorHAnsi"/>
          <w:b/>
          <w:bCs/>
          <w:sz w:val="26"/>
          <w:szCs w:val="26"/>
        </w:rPr>
        <w:t>.</w:t>
      </w:r>
      <w:r w:rsidRPr="00E1313B">
        <w:rPr>
          <w:rFonts w:asciiTheme="minorHAnsi" w:hAnsiTheme="minorHAnsi"/>
          <w:sz w:val="26"/>
          <w:szCs w:val="26"/>
        </w:rPr>
        <w:t xml:space="preserve"> </w:t>
      </w:r>
      <w:r w:rsidRPr="008E1C8D">
        <w:rPr>
          <w:rFonts w:asciiTheme="minorHAnsi" w:hAnsiTheme="minorHAnsi"/>
          <w:bCs/>
          <w:sz w:val="26"/>
          <w:szCs w:val="26"/>
        </w:rPr>
        <w:t>Dynamika výdělku byla</w:t>
      </w:r>
      <w:r>
        <w:rPr>
          <w:rFonts w:asciiTheme="minorHAnsi" w:hAnsiTheme="minorHAnsi"/>
          <w:bCs/>
          <w:sz w:val="26"/>
          <w:szCs w:val="26"/>
        </w:rPr>
        <w:t xml:space="preserve"> však</w:t>
      </w:r>
      <w:r w:rsidRPr="008E1C8D">
        <w:rPr>
          <w:rFonts w:asciiTheme="minorHAnsi" w:hAnsiTheme="minorHAnsi"/>
          <w:bCs/>
          <w:sz w:val="26"/>
          <w:szCs w:val="26"/>
        </w:rPr>
        <w:t xml:space="preserve"> v 1. pololetí 20</w:t>
      </w:r>
      <w:r>
        <w:rPr>
          <w:rFonts w:asciiTheme="minorHAnsi" w:hAnsiTheme="minorHAnsi"/>
          <w:bCs/>
          <w:sz w:val="26"/>
          <w:szCs w:val="26"/>
        </w:rPr>
        <w:t>22</w:t>
      </w:r>
      <w:r w:rsidRPr="008E1C8D">
        <w:rPr>
          <w:rFonts w:asciiTheme="minorHAnsi" w:hAnsiTheme="minorHAnsi"/>
          <w:bCs/>
          <w:sz w:val="26"/>
          <w:szCs w:val="26"/>
        </w:rPr>
        <w:t xml:space="preserve"> v 1. decilu meziročně o </w:t>
      </w:r>
      <w:r>
        <w:rPr>
          <w:rFonts w:asciiTheme="minorHAnsi" w:hAnsiTheme="minorHAnsi"/>
          <w:bCs/>
          <w:sz w:val="26"/>
          <w:szCs w:val="26"/>
        </w:rPr>
        <w:t>2</w:t>
      </w:r>
      <w:r w:rsidRPr="008E1C8D">
        <w:rPr>
          <w:rFonts w:asciiTheme="minorHAnsi" w:hAnsiTheme="minorHAnsi"/>
          <w:bCs/>
          <w:sz w:val="26"/>
          <w:szCs w:val="26"/>
        </w:rPr>
        <w:t>,</w:t>
      </w:r>
      <w:r>
        <w:rPr>
          <w:rFonts w:asciiTheme="minorHAnsi" w:hAnsiTheme="minorHAnsi"/>
          <w:bCs/>
          <w:sz w:val="26"/>
          <w:szCs w:val="26"/>
        </w:rPr>
        <w:t>9</w:t>
      </w:r>
      <w:r w:rsidRPr="008E1C8D">
        <w:rPr>
          <w:rFonts w:asciiTheme="minorHAnsi" w:hAnsiTheme="minorHAnsi"/>
          <w:bCs/>
          <w:sz w:val="26"/>
          <w:szCs w:val="26"/>
        </w:rPr>
        <w:t xml:space="preserve"> p. b. </w:t>
      </w:r>
      <w:r>
        <w:rPr>
          <w:rFonts w:asciiTheme="minorHAnsi" w:hAnsiTheme="minorHAnsi"/>
          <w:bCs/>
          <w:sz w:val="26"/>
          <w:szCs w:val="26"/>
        </w:rPr>
        <w:t>vyšší</w:t>
      </w:r>
      <w:r w:rsidRPr="008E1C8D">
        <w:rPr>
          <w:rFonts w:asciiTheme="minorHAnsi" w:hAnsiTheme="minorHAnsi"/>
          <w:bCs/>
          <w:sz w:val="26"/>
          <w:szCs w:val="26"/>
        </w:rPr>
        <w:t xml:space="preserve"> než nárůst výdělku v 9. decilu.</w:t>
      </w:r>
    </w:p>
    <w:p w14:paraId="03F66D00" w14:textId="77777777" w:rsidR="00F07F6D" w:rsidRPr="00A93886"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lastRenderedPageBreak/>
        <w:tab/>
      </w:r>
      <w:r w:rsidRPr="008E1C8D">
        <w:rPr>
          <w:rFonts w:asciiTheme="minorHAnsi" w:hAnsiTheme="minorHAnsi"/>
          <w:b/>
          <w:bCs/>
          <w:sz w:val="26"/>
          <w:szCs w:val="26"/>
        </w:rPr>
        <w:t>Medián</w:t>
      </w:r>
      <w:r w:rsidRPr="008E1C8D">
        <w:rPr>
          <w:rFonts w:asciiTheme="minorHAnsi" w:hAnsiTheme="minorHAnsi"/>
          <w:bCs/>
          <w:sz w:val="26"/>
          <w:szCs w:val="26"/>
        </w:rPr>
        <w:t xml:space="preserve"> </w:t>
      </w:r>
      <w:r w:rsidRPr="008E1C8D">
        <w:rPr>
          <w:rFonts w:asciiTheme="minorHAnsi" w:hAnsiTheme="minorHAnsi"/>
          <w:b/>
          <w:bCs/>
          <w:sz w:val="26"/>
          <w:szCs w:val="26"/>
        </w:rPr>
        <w:t>mzdy činil</w:t>
      </w:r>
      <w:r w:rsidRPr="00271814">
        <w:rPr>
          <w:rFonts w:asciiTheme="minorHAnsi" w:hAnsiTheme="minorHAnsi"/>
          <w:b/>
          <w:sz w:val="26"/>
          <w:szCs w:val="26"/>
        </w:rPr>
        <w:t xml:space="preserve"> v 1. pololetí</w:t>
      </w:r>
      <w:r w:rsidRPr="008E1C8D">
        <w:rPr>
          <w:rFonts w:asciiTheme="minorHAnsi" w:hAnsiTheme="minorHAnsi"/>
          <w:bCs/>
          <w:sz w:val="26"/>
          <w:szCs w:val="26"/>
        </w:rPr>
        <w:t xml:space="preserve"> letošního roku </w:t>
      </w:r>
      <w:r w:rsidRPr="008E1C8D">
        <w:rPr>
          <w:rFonts w:asciiTheme="minorHAnsi" w:hAnsiTheme="minorHAnsi"/>
          <w:b/>
          <w:bCs/>
          <w:sz w:val="26"/>
          <w:szCs w:val="26"/>
        </w:rPr>
        <w:t>3</w:t>
      </w:r>
      <w:r>
        <w:rPr>
          <w:rFonts w:asciiTheme="minorHAnsi" w:hAnsiTheme="minorHAnsi"/>
          <w:b/>
          <w:bCs/>
          <w:sz w:val="26"/>
          <w:szCs w:val="26"/>
        </w:rPr>
        <w:t>5</w:t>
      </w:r>
      <w:r w:rsidRPr="008E1C8D">
        <w:rPr>
          <w:rFonts w:asciiTheme="minorHAnsi" w:hAnsiTheme="minorHAnsi"/>
          <w:b/>
          <w:bCs/>
          <w:sz w:val="26"/>
          <w:szCs w:val="26"/>
        </w:rPr>
        <w:t> </w:t>
      </w:r>
      <w:r>
        <w:rPr>
          <w:rFonts w:asciiTheme="minorHAnsi" w:hAnsiTheme="minorHAnsi"/>
          <w:b/>
          <w:bCs/>
          <w:sz w:val="26"/>
          <w:szCs w:val="26"/>
        </w:rPr>
        <w:t>775</w:t>
      </w:r>
      <w:r w:rsidRPr="008E1C8D">
        <w:rPr>
          <w:rFonts w:asciiTheme="minorHAnsi" w:hAnsiTheme="minorHAnsi"/>
          <w:b/>
          <w:bCs/>
          <w:sz w:val="26"/>
          <w:szCs w:val="26"/>
        </w:rPr>
        <w:t> Kč</w:t>
      </w:r>
      <w:r w:rsidRPr="00271814">
        <w:rPr>
          <w:rFonts w:asciiTheme="minorHAnsi" w:hAnsiTheme="minorHAnsi"/>
          <w:sz w:val="26"/>
          <w:szCs w:val="26"/>
        </w:rPr>
        <w:t xml:space="preserve"> </w:t>
      </w:r>
      <w:r w:rsidRPr="008E1C8D">
        <w:rPr>
          <w:rFonts w:asciiTheme="minorHAnsi" w:hAnsiTheme="minorHAnsi"/>
          <w:bCs/>
          <w:sz w:val="26"/>
          <w:szCs w:val="26"/>
        </w:rPr>
        <w:t xml:space="preserve">(ve mzdové sféře </w:t>
      </w:r>
      <w:r>
        <w:rPr>
          <w:rFonts w:asciiTheme="minorHAnsi" w:hAnsiTheme="minorHAnsi"/>
          <w:bCs/>
          <w:sz w:val="26"/>
          <w:szCs w:val="26"/>
        </w:rPr>
        <w:t>34</w:t>
      </w:r>
      <w:r w:rsidRPr="008E1C8D">
        <w:rPr>
          <w:rFonts w:asciiTheme="minorHAnsi" w:hAnsiTheme="minorHAnsi"/>
          <w:bCs/>
          <w:sz w:val="26"/>
          <w:szCs w:val="26"/>
        </w:rPr>
        <w:t> </w:t>
      </w:r>
      <w:r>
        <w:rPr>
          <w:rFonts w:asciiTheme="minorHAnsi" w:hAnsiTheme="minorHAnsi"/>
          <w:bCs/>
          <w:sz w:val="26"/>
          <w:szCs w:val="26"/>
        </w:rPr>
        <w:t>652</w:t>
      </w:r>
      <w:r w:rsidRPr="008E1C8D">
        <w:rPr>
          <w:rFonts w:asciiTheme="minorHAnsi" w:hAnsiTheme="minorHAnsi"/>
          <w:bCs/>
          <w:sz w:val="26"/>
          <w:szCs w:val="26"/>
        </w:rPr>
        <w:t xml:space="preserve"> Kč, v platové sféře </w:t>
      </w:r>
      <w:r>
        <w:rPr>
          <w:rFonts w:asciiTheme="minorHAnsi" w:hAnsiTheme="minorHAnsi"/>
          <w:bCs/>
          <w:sz w:val="26"/>
          <w:szCs w:val="26"/>
        </w:rPr>
        <w:t>40</w:t>
      </w:r>
      <w:r w:rsidRPr="008E1C8D">
        <w:rPr>
          <w:rFonts w:asciiTheme="minorHAnsi" w:hAnsiTheme="minorHAnsi"/>
          <w:bCs/>
          <w:sz w:val="26"/>
          <w:szCs w:val="26"/>
        </w:rPr>
        <w:t> </w:t>
      </w:r>
      <w:r>
        <w:rPr>
          <w:rFonts w:asciiTheme="minorHAnsi" w:hAnsiTheme="minorHAnsi"/>
          <w:bCs/>
          <w:sz w:val="26"/>
          <w:szCs w:val="26"/>
        </w:rPr>
        <w:t>135</w:t>
      </w:r>
      <w:r w:rsidRPr="008E1C8D">
        <w:rPr>
          <w:rFonts w:asciiTheme="minorHAnsi" w:hAnsiTheme="minorHAnsi"/>
          <w:bCs/>
          <w:sz w:val="26"/>
          <w:szCs w:val="26"/>
        </w:rPr>
        <w:t xml:space="preserve"> Kč) </w:t>
      </w:r>
      <w:r w:rsidRPr="008E1C8D">
        <w:rPr>
          <w:rFonts w:asciiTheme="minorHAnsi" w:hAnsiTheme="minorHAnsi"/>
          <w:b/>
          <w:bCs/>
          <w:sz w:val="26"/>
          <w:szCs w:val="26"/>
        </w:rPr>
        <w:t>a byl</w:t>
      </w:r>
      <w:r w:rsidRPr="00271814">
        <w:rPr>
          <w:rFonts w:asciiTheme="minorHAnsi" w:hAnsiTheme="minorHAnsi"/>
          <w:b/>
          <w:sz w:val="26"/>
          <w:szCs w:val="26"/>
        </w:rPr>
        <w:t xml:space="preserve"> </w:t>
      </w:r>
      <w:r w:rsidRPr="008E1C8D">
        <w:rPr>
          <w:rFonts w:asciiTheme="minorHAnsi" w:hAnsiTheme="minorHAnsi"/>
          <w:b/>
          <w:bCs/>
          <w:sz w:val="26"/>
          <w:szCs w:val="26"/>
        </w:rPr>
        <w:t>oproti hodnotě průměrné měsíční mzdy nižší o </w:t>
      </w:r>
      <w:r>
        <w:rPr>
          <w:rFonts w:asciiTheme="minorHAnsi" w:hAnsiTheme="minorHAnsi"/>
          <w:b/>
          <w:bCs/>
          <w:sz w:val="26"/>
          <w:szCs w:val="26"/>
        </w:rPr>
        <w:t>6</w:t>
      </w:r>
      <w:r w:rsidRPr="008E1C8D">
        <w:rPr>
          <w:rFonts w:asciiTheme="minorHAnsi" w:hAnsiTheme="minorHAnsi"/>
          <w:b/>
          <w:bCs/>
          <w:sz w:val="26"/>
          <w:szCs w:val="26"/>
        </w:rPr>
        <w:t> </w:t>
      </w:r>
      <w:r>
        <w:rPr>
          <w:rFonts w:asciiTheme="minorHAnsi" w:hAnsiTheme="minorHAnsi"/>
          <w:b/>
          <w:bCs/>
          <w:sz w:val="26"/>
          <w:szCs w:val="26"/>
        </w:rPr>
        <w:t>415</w:t>
      </w:r>
      <w:r w:rsidRPr="008E1C8D">
        <w:rPr>
          <w:rFonts w:asciiTheme="minorHAnsi" w:hAnsiTheme="minorHAnsi"/>
          <w:b/>
          <w:bCs/>
          <w:sz w:val="26"/>
          <w:szCs w:val="26"/>
        </w:rPr>
        <w:t xml:space="preserve"> Kč. V platové sféře představoval tento rozdíl </w:t>
      </w:r>
      <w:r>
        <w:rPr>
          <w:rFonts w:asciiTheme="minorHAnsi" w:hAnsiTheme="minorHAnsi"/>
          <w:b/>
          <w:bCs/>
          <w:sz w:val="26"/>
          <w:szCs w:val="26"/>
        </w:rPr>
        <w:t>2</w:t>
      </w:r>
      <w:r w:rsidRPr="008E1C8D">
        <w:rPr>
          <w:rFonts w:asciiTheme="minorHAnsi" w:hAnsiTheme="minorHAnsi"/>
          <w:b/>
          <w:bCs/>
          <w:sz w:val="26"/>
          <w:szCs w:val="26"/>
        </w:rPr>
        <w:t> </w:t>
      </w:r>
      <w:r>
        <w:rPr>
          <w:rFonts w:asciiTheme="minorHAnsi" w:hAnsiTheme="minorHAnsi"/>
          <w:b/>
          <w:bCs/>
          <w:sz w:val="26"/>
          <w:szCs w:val="26"/>
        </w:rPr>
        <w:t>958</w:t>
      </w:r>
      <w:r w:rsidRPr="008E1C8D">
        <w:rPr>
          <w:rFonts w:asciiTheme="minorHAnsi" w:hAnsiTheme="minorHAnsi"/>
          <w:b/>
          <w:bCs/>
          <w:sz w:val="26"/>
          <w:szCs w:val="26"/>
        </w:rPr>
        <w:t> Kč; ve</w:t>
      </w:r>
      <w:r>
        <w:rPr>
          <w:rFonts w:asciiTheme="minorHAnsi" w:hAnsiTheme="minorHAnsi"/>
          <w:b/>
          <w:bCs/>
          <w:sz w:val="26"/>
          <w:szCs w:val="26"/>
        </w:rPr>
        <w:t xml:space="preserve"> </w:t>
      </w:r>
      <w:r w:rsidRPr="008E1C8D">
        <w:rPr>
          <w:rFonts w:asciiTheme="minorHAnsi" w:hAnsiTheme="minorHAnsi"/>
          <w:b/>
          <w:bCs/>
          <w:sz w:val="26"/>
          <w:szCs w:val="26"/>
        </w:rPr>
        <w:t xml:space="preserve">mzdové sféře činilo zaostávání mediánu za průměrnou mzdou </w:t>
      </w:r>
      <w:r>
        <w:rPr>
          <w:rFonts w:asciiTheme="minorHAnsi" w:hAnsiTheme="minorHAnsi"/>
          <w:b/>
          <w:bCs/>
          <w:sz w:val="26"/>
          <w:szCs w:val="26"/>
        </w:rPr>
        <w:t>7</w:t>
      </w:r>
      <w:r w:rsidRPr="008E1C8D">
        <w:rPr>
          <w:rFonts w:asciiTheme="minorHAnsi" w:hAnsiTheme="minorHAnsi"/>
          <w:b/>
          <w:bCs/>
          <w:sz w:val="26"/>
          <w:szCs w:val="26"/>
        </w:rPr>
        <w:t> </w:t>
      </w:r>
      <w:r>
        <w:rPr>
          <w:rFonts w:asciiTheme="minorHAnsi" w:hAnsiTheme="minorHAnsi"/>
          <w:b/>
          <w:bCs/>
          <w:sz w:val="26"/>
          <w:szCs w:val="26"/>
        </w:rPr>
        <w:t>338</w:t>
      </w:r>
      <w:r w:rsidRPr="008E1C8D">
        <w:rPr>
          <w:rFonts w:asciiTheme="minorHAnsi" w:hAnsiTheme="minorHAnsi"/>
          <w:b/>
          <w:bCs/>
          <w:sz w:val="26"/>
          <w:szCs w:val="26"/>
        </w:rPr>
        <w:t> Kč.</w:t>
      </w:r>
      <w:r w:rsidRPr="00271814">
        <w:rPr>
          <w:rFonts w:asciiTheme="minorHAnsi" w:hAnsiTheme="minorHAnsi"/>
          <w:sz w:val="26"/>
          <w:szCs w:val="26"/>
        </w:rPr>
        <w:t xml:space="preserve"> </w:t>
      </w:r>
      <w:r w:rsidRPr="008E1C8D">
        <w:rPr>
          <w:rFonts w:asciiTheme="minorHAnsi" w:hAnsiTheme="minorHAnsi"/>
          <w:bCs/>
          <w:sz w:val="26"/>
          <w:szCs w:val="26"/>
        </w:rPr>
        <w:t>Z toho vyplývá, že výdělky jednotlivých zaměstnanců ve mzdové sféře na rozdíl od sféry platové byly více diferencované. To bylo ovlivněno zejména vysokou absolutní úrovní vyplácených mezd (včetně prémií, mimořádných odměn a bonusů) vrcholovým manažerům a</w:t>
      </w:r>
      <w:r>
        <w:rPr>
          <w:rFonts w:asciiTheme="minorHAnsi" w:hAnsiTheme="minorHAnsi"/>
          <w:bCs/>
          <w:sz w:val="26"/>
          <w:szCs w:val="26"/>
        </w:rPr>
        <w:t xml:space="preserve"> </w:t>
      </w:r>
      <w:r w:rsidRPr="008E1C8D">
        <w:rPr>
          <w:rFonts w:asciiTheme="minorHAnsi" w:hAnsiTheme="minorHAnsi"/>
          <w:bCs/>
          <w:sz w:val="26"/>
          <w:szCs w:val="26"/>
        </w:rPr>
        <w:t xml:space="preserve">špičkovým </w:t>
      </w:r>
      <w:r w:rsidRPr="00A93886">
        <w:rPr>
          <w:rFonts w:asciiTheme="minorHAnsi" w:hAnsiTheme="minorHAnsi"/>
          <w:bCs/>
          <w:sz w:val="26"/>
          <w:szCs w:val="26"/>
        </w:rPr>
        <w:t>specialistům v tomto sektoru.</w:t>
      </w:r>
    </w:p>
    <w:p w14:paraId="1FC050C0" w14:textId="77777777" w:rsidR="00F07F6D" w:rsidRPr="00A93886" w:rsidRDefault="00F07F6D" w:rsidP="007D0A4A">
      <w:pPr>
        <w:spacing w:after="120" w:line="360" w:lineRule="auto"/>
        <w:jc w:val="both"/>
        <w:rPr>
          <w:rFonts w:asciiTheme="minorHAnsi" w:hAnsiTheme="minorHAnsi"/>
          <w:bCs/>
          <w:sz w:val="26"/>
          <w:szCs w:val="26"/>
        </w:rPr>
      </w:pPr>
      <w:r w:rsidRPr="00A93886">
        <w:rPr>
          <w:rFonts w:asciiTheme="minorHAnsi" w:hAnsiTheme="minorHAnsi"/>
          <w:bCs/>
          <w:sz w:val="26"/>
          <w:szCs w:val="26"/>
        </w:rPr>
        <w:tab/>
        <w:t xml:space="preserve">Na posílení mzdové diferenciace působila skutečnost, že průměrné (meziroční) </w:t>
      </w:r>
      <w:r w:rsidRPr="00A93886">
        <w:rPr>
          <w:rFonts w:asciiTheme="minorHAnsi" w:hAnsiTheme="minorHAnsi"/>
          <w:b/>
          <w:bCs/>
          <w:sz w:val="26"/>
          <w:szCs w:val="26"/>
        </w:rPr>
        <w:t>tempo růstu výdělků řídících pracovníků a manažerů</w:t>
      </w:r>
      <w:r w:rsidRPr="00A93886">
        <w:rPr>
          <w:rFonts w:asciiTheme="minorHAnsi" w:hAnsiTheme="minorHAnsi"/>
          <w:bCs/>
          <w:sz w:val="26"/>
          <w:szCs w:val="26"/>
        </w:rPr>
        <w:t xml:space="preserve"> (klasifikace CZ</w:t>
      </w:r>
      <w:r w:rsidRPr="00A93886">
        <w:rPr>
          <w:rFonts w:asciiTheme="minorHAnsi" w:hAnsiTheme="minorHAnsi"/>
          <w:bCs/>
          <w:sz w:val="26"/>
          <w:szCs w:val="26"/>
        </w:rPr>
        <w:noBreakHyphen/>
        <w:t xml:space="preserve">ISCO, hlavní třída 1) </w:t>
      </w:r>
      <w:r w:rsidRPr="00A93886">
        <w:rPr>
          <w:rFonts w:asciiTheme="minorHAnsi" w:hAnsiTheme="minorHAnsi"/>
          <w:b/>
          <w:bCs/>
          <w:sz w:val="26"/>
          <w:szCs w:val="26"/>
        </w:rPr>
        <w:t xml:space="preserve">bylo </w:t>
      </w:r>
      <w:r>
        <w:rPr>
          <w:rFonts w:asciiTheme="minorHAnsi" w:hAnsiTheme="minorHAnsi"/>
          <w:b/>
          <w:bCs/>
          <w:sz w:val="26"/>
          <w:szCs w:val="26"/>
        </w:rPr>
        <w:t xml:space="preserve">mírně </w:t>
      </w:r>
      <w:r w:rsidRPr="00A93886">
        <w:rPr>
          <w:rFonts w:asciiTheme="minorHAnsi" w:hAnsiTheme="minorHAnsi"/>
          <w:b/>
          <w:bCs/>
          <w:sz w:val="26"/>
          <w:szCs w:val="26"/>
        </w:rPr>
        <w:t>vyšší než průměrná intenzita nárůstu mezd jimi řízených zaměstnanců</w:t>
      </w:r>
      <w:r w:rsidRPr="00A93886">
        <w:rPr>
          <w:rFonts w:asciiTheme="minorHAnsi" w:hAnsiTheme="minorHAnsi"/>
          <w:bCs/>
          <w:sz w:val="26"/>
          <w:szCs w:val="26"/>
        </w:rPr>
        <w:t xml:space="preserve"> (o 0,1 p. b.).</w:t>
      </w:r>
    </w:p>
    <w:p w14:paraId="2FE68E9F" w14:textId="77777777" w:rsidR="00F07F6D" w:rsidRPr="00C330DB" w:rsidRDefault="00F07F6D" w:rsidP="007D0A4A">
      <w:pPr>
        <w:spacing w:after="120" w:line="360" w:lineRule="auto"/>
        <w:jc w:val="both"/>
        <w:rPr>
          <w:rFonts w:asciiTheme="minorHAnsi" w:hAnsiTheme="minorHAnsi"/>
          <w:bCs/>
          <w:sz w:val="26"/>
          <w:szCs w:val="26"/>
        </w:rPr>
      </w:pPr>
      <w:r w:rsidRPr="00A93886">
        <w:rPr>
          <w:rFonts w:asciiTheme="minorHAnsi" w:hAnsiTheme="minorHAnsi"/>
          <w:bCs/>
          <w:sz w:val="26"/>
          <w:szCs w:val="26"/>
        </w:rPr>
        <w:tab/>
      </w:r>
      <w:r w:rsidRPr="00A93886">
        <w:rPr>
          <w:rFonts w:asciiTheme="minorHAnsi" w:hAnsiTheme="minorHAnsi"/>
          <w:b/>
          <w:bCs/>
          <w:sz w:val="26"/>
          <w:szCs w:val="26"/>
        </w:rPr>
        <w:t>V rozložení úrovně mezd zaměstnanců došlo k</w:t>
      </w:r>
      <w:r w:rsidRPr="00A93886">
        <w:rPr>
          <w:rFonts w:asciiTheme="minorHAnsi" w:hAnsiTheme="minorHAnsi"/>
          <w:sz w:val="26"/>
          <w:szCs w:val="26"/>
        </w:rPr>
        <w:t xml:space="preserve"> </w:t>
      </w:r>
      <w:r w:rsidRPr="00A93886">
        <w:rPr>
          <w:rFonts w:asciiTheme="minorHAnsi" w:hAnsiTheme="minorHAnsi"/>
          <w:bCs/>
          <w:sz w:val="26"/>
          <w:szCs w:val="26"/>
        </w:rPr>
        <w:t>mírnému</w:t>
      </w:r>
      <w:r w:rsidRPr="00A93886">
        <w:rPr>
          <w:rFonts w:asciiTheme="minorHAnsi" w:hAnsiTheme="minorHAnsi"/>
          <w:sz w:val="26"/>
          <w:szCs w:val="26"/>
        </w:rPr>
        <w:t xml:space="preserve"> </w:t>
      </w:r>
      <w:r w:rsidRPr="00A93886">
        <w:rPr>
          <w:rFonts w:asciiTheme="minorHAnsi" w:hAnsiTheme="minorHAnsi"/>
          <w:b/>
          <w:bCs/>
          <w:sz w:val="26"/>
          <w:szCs w:val="26"/>
        </w:rPr>
        <w:t>posunu</w:t>
      </w:r>
      <w:r w:rsidRPr="00A93886">
        <w:rPr>
          <w:rFonts w:asciiTheme="minorHAnsi" w:hAnsiTheme="minorHAnsi"/>
          <w:b/>
          <w:sz w:val="26"/>
          <w:szCs w:val="26"/>
        </w:rPr>
        <w:t xml:space="preserve"> </w:t>
      </w:r>
      <w:r w:rsidRPr="00A93886">
        <w:rPr>
          <w:rFonts w:asciiTheme="minorHAnsi" w:hAnsiTheme="minorHAnsi"/>
          <w:b/>
          <w:bCs/>
          <w:sz w:val="26"/>
          <w:szCs w:val="26"/>
        </w:rPr>
        <w:t>směrem k vyšším hodnotám</w:t>
      </w:r>
      <w:r w:rsidRPr="00A93886">
        <w:rPr>
          <w:rFonts w:asciiTheme="minorHAnsi" w:hAnsiTheme="minorHAnsi"/>
          <w:bCs/>
          <w:sz w:val="26"/>
          <w:szCs w:val="26"/>
        </w:rPr>
        <w:t xml:space="preserve"> </w:t>
      </w:r>
      <w:r w:rsidRPr="00E97CC8">
        <w:rPr>
          <w:rFonts w:asciiTheme="minorHAnsi" w:hAnsiTheme="minorHAnsi"/>
          <w:bCs/>
          <w:sz w:val="26"/>
          <w:szCs w:val="26"/>
        </w:rPr>
        <w:t xml:space="preserve">(viz frekvenční graf v rámci vybraných výstupů z Informačního systému o průměrném výdělku v příloze). </w:t>
      </w:r>
      <w:r w:rsidRPr="00E97CC8">
        <w:rPr>
          <w:rFonts w:asciiTheme="minorHAnsi" w:hAnsiTheme="minorHAnsi"/>
          <w:b/>
          <w:bCs/>
          <w:sz w:val="26"/>
          <w:szCs w:val="26"/>
        </w:rPr>
        <w:t xml:space="preserve">V nejčetnějším pásmu </w:t>
      </w:r>
      <w:proofErr w:type="gramStart"/>
      <w:r w:rsidRPr="00E97CC8">
        <w:rPr>
          <w:rFonts w:asciiTheme="minorHAnsi" w:hAnsiTheme="minorHAnsi"/>
          <w:b/>
          <w:bCs/>
          <w:sz w:val="26"/>
          <w:szCs w:val="26"/>
        </w:rPr>
        <w:t>30 – 32</w:t>
      </w:r>
      <w:proofErr w:type="gramEnd"/>
      <w:r w:rsidRPr="00E97CC8">
        <w:rPr>
          <w:rFonts w:asciiTheme="minorHAnsi" w:hAnsiTheme="minorHAnsi"/>
          <w:b/>
          <w:bCs/>
          <w:sz w:val="26"/>
          <w:szCs w:val="26"/>
        </w:rPr>
        <w:t> tis. Kč pobíralo mzdu celkem 5,8 % zaměstnanců</w:t>
      </w:r>
      <w:r w:rsidRPr="00E97CC8">
        <w:rPr>
          <w:rFonts w:asciiTheme="minorHAnsi" w:hAnsiTheme="minorHAnsi"/>
          <w:bCs/>
          <w:sz w:val="26"/>
          <w:szCs w:val="26"/>
        </w:rPr>
        <w:t xml:space="preserve"> (ve stejném období loňs</w:t>
      </w:r>
      <w:r w:rsidRPr="009B54B8">
        <w:rPr>
          <w:rFonts w:asciiTheme="minorHAnsi" w:hAnsiTheme="minorHAnsi"/>
          <w:bCs/>
          <w:sz w:val="26"/>
          <w:szCs w:val="26"/>
        </w:rPr>
        <w:t xml:space="preserve">kého roku to bylo 6,0 %). </w:t>
      </w:r>
      <w:r w:rsidRPr="009B54B8">
        <w:rPr>
          <w:rFonts w:asciiTheme="minorHAnsi" w:hAnsiTheme="minorHAnsi"/>
          <w:b/>
          <w:bCs/>
          <w:sz w:val="26"/>
          <w:szCs w:val="26"/>
        </w:rPr>
        <w:t>Výdělek nepřekračující 21 000 Kč</w:t>
      </w:r>
      <w:r w:rsidRPr="009B54B8">
        <w:rPr>
          <w:rFonts w:asciiTheme="minorHAnsi" w:hAnsiTheme="minorHAnsi"/>
          <w:bCs/>
          <w:sz w:val="26"/>
          <w:szCs w:val="26"/>
        </w:rPr>
        <w:t xml:space="preserve"> (tj. úroveň téměř odpovídající 1. decilu) </w:t>
      </w:r>
      <w:r w:rsidRPr="009B54B8">
        <w:rPr>
          <w:rFonts w:asciiTheme="minorHAnsi" w:hAnsiTheme="minorHAnsi"/>
          <w:b/>
          <w:bCs/>
          <w:sz w:val="26"/>
          <w:szCs w:val="26"/>
        </w:rPr>
        <w:t>mělo</w:t>
      </w:r>
      <w:r w:rsidRPr="009B54B8">
        <w:rPr>
          <w:rFonts w:asciiTheme="minorHAnsi" w:hAnsiTheme="minorHAnsi"/>
          <w:b/>
          <w:sz w:val="26"/>
          <w:szCs w:val="26"/>
        </w:rPr>
        <w:t xml:space="preserve"> </w:t>
      </w:r>
      <w:r w:rsidRPr="009B54B8">
        <w:rPr>
          <w:rFonts w:asciiTheme="minorHAnsi" w:hAnsiTheme="minorHAnsi"/>
          <w:b/>
          <w:bCs/>
          <w:sz w:val="26"/>
          <w:szCs w:val="26"/>
        </w:rPr>
        <w:t>10,4 % zaměstnanců</w:t>
      </w:r>
      <w:r w:rsidRPr="009B54B8">
        <w:rPr>
          <w:rFonts w:asciiTheme="minorHAnsi" w:hAnsiTheme="minorHAnsi"/>
          <w:bCs/>
          <w:sz w:val="26"/>
          <w:szCs w:val="26"/>
        </w:rPr>
        <w:t xml:space="preserve"> (v 1. pololetí 2021 to bylo 14,7 %)</w:t>
      </w:r>
      <w:r w:rsidRPr="009B54B8">
        <w:rPr>
          <w:rFonts w:asciiTheme="minorHAnsi" w:hAnsiTheme="minorHAnsi"/>
          <w:b/>
          <w:bCs/>
          <w:sz w:val="26"/>
          <w:szCs w:val="26"/>
        </w:rPr>
        <w:t xml:space="preserve"> </w:t>
      </w:r>
      <w:r w:rsidRPr="009B54B8">
        <w:rPr>
          <w:rFonts w:asciiTheme="minorHAnsi" w:hAnsiTheme="minorHAnsi"/>
          <w:bCs/>
          <w:sz w:val="26"/>
          <w:szCs w:val="26"/>
        </w:rPr>
        <w:t xml:space="preserve">– ovšem např. v odvětvích „ubytování, stravování a pohostinství“ 42,7 %, „administrativní a podpůrné činnosti“ </w:t>
      </w:r>
      <w:r w:rsidRPr="00C330DB">
        <w:rPr>
          <w:rFonts w:asciiTheme="minorHAnsi" w:hAnsiTheme="minorHAnsi"/>
          <w:bCs/>
          <w:sz w:val="26"/>
          <w:szCs w:val="26"/>
        </w:rPr>
        <w:t xml:space="preserve">31,5 % a „činnosti v oblasti nemovitostí“ 20,7 % zaměstnanců. </w:t>
      </w:r>
      <w:r w:rsidRPr="00C330DB">
        <w:rPr>
          <w:rFonts w:asciiTheme="minorHAnsi" w:hAnsiTheme="minorHAnsi"/>
          <w:b/>
          <w:bCs/>
          <w:sz w:val="26"/>
          <w:szCs w:val="26"/>
        </w:rPr>
        <w:t>Mzda převyšující 40 000 Kč byla vyplacena 39,3 % zaměstnanců</w:t>
      </w:r>
      <w:r w:rsidRPr="00C330DB">
        <w:rPr>
          <w:rFonts w:asciiTheme="minorHAnsi" w:hAnsiTheme="minorHAnsi"/>
          <w:bCs/>
          <w:sz w:val="26"/>
          <w:szCs w:val="26"/>
        </w:rPr>
        <w:t xml:space="preserve"> (o 4,3 p. b. vyšší podíl než v 1. pololetí roku 2021) – v odvětvích „výroba a rozvod elektřiny, plynu, tepla“ ji však obdrželo již 75,7 %, „IT a informační činnosti“ 75,3 %, v „peněžnictví a pojišťovnictví“ 73,2 % a ve „zdravotní péči“ 54,8 % zaměstnanců.</w:t>
      </w:r>
    </w:p>
    <w:p w14:paraId="3AFA3E6E" w14:textId="0A90E9DA" w:rsidR="00F07F6D" w:rsidRPr="008E1C8D" w:rsidRDefault="00F07F6D" w:rsidP="007D0A4A">
      <w:pPr>
        <w:spacing w:after="120" w:line="360" w:lineRule="auto"/>
        <w:jc w:val="both"/>
        <w:rPr>
          <w:rFonts w:asciiTheme="minorHAnsi" w:hAnsiTheme="minorHAnsi"/>
          <w:bCs/>
          <w:sz w:val="26"/>
          <w:szCs w:val="26"/>
        </w:rPr>
      </w:pPr>
      <w:r w:rsidRPr="0080146E">
        <w:rPr>
          <w:rFonts w:asciiTheme="minorHAnsi" w:hAnsiTheme="minorHAnsi"/>
          <w:bCs/>
          <w:sz w:val="26"/>
          <w:szCs w:val="26"/>
        </w:rPr>
        <w:tab/>
      </w:r>
      <w:r w:rsidR="00BA0CBC" w:rsidRPr="0080146E">
        <w:rPr>
          <w:rFonts w:asciiTheme="minorHAnsi" w:hAnsiTheme="minorHAnsi"/>
          <w:bCs/>
          <w:sz w:val="26"/>
          <w:szCs w:val="26"/>
        </w:rPr>
        <w:t xml:space="preserve">V 1. pololetí letošního roku </w:t>
      </w:r>
      <w:r w:rsidR="004A4A98" w:rsidRPr="0080146E">
        <w:rPr>
          <w:rFonts w:asciiTheme="minorHAnsi" w:hAnsiTheme="minorHAnsi"/>
          <w:bCs/>
          <w:sz w:val="26"/>
          <w:szCs w:val="26"/>
        </w:rPr>
        <w:t xml:space="preserve">byli </w:t>
      </w:r>
      <w:r w:rsidRPr="0080146E">
        <w:rPr>
          <w:rFonts w:asciiTheme="minorHAnsi" w:hAnsiTheme="minorHAnsi"/>
          <w:bCs/>
          <w:sz w:val="26"/>
          <w:szCs w:val="26"/>
        </w:rPr>
        <w:t>nadprůměrně odměňovan</w:t>
      </w:r>
      <w:r w:rsidR="004A4A98" w:rsidRPr="0080146E">
        <w:rPr>
          <w:rFonts w:asciiTheme="minorHAnsi" w:hAnsiTheme="minorHAnsi"/>
          <w:bCs/>
          <w:sz w:val="26"/>
          <w:szCs w:val="26"/>
        </w:rPr>
        <w:t>í</w:t>
      </w:r>
      <w:r w:rsidRPr="0080146E">
        <w:rPr>
          <w:rFonts w:asciiTheme="minorHAnsi" w:hAnsiTheme="minorHAnsi"/>
          <w:bCs/>
          <w:sz w:val="26"/>
          <w:szCs w:val="26"/>
        </w:rPr>
        <w:t xml:space="preserve"> </w:t>
      </w:r>
      <w:r w:rsidR="004A4A98" w:rsidRPr="0080146E">
        <w:rPr>
          <w:rFonts w:asciiTheme="minorHAnsi" w:hAnsiTheme="minorHAnsi"/>
          <w:bCs/>
          <w:sz w:val="26"/>
          <w:szCs w:val="26"/>
        </w:rPr>
        <w:t>pracovníci v profesích</w:t>
      </w:r>
      <w:r w:rsidRPr="0080146E">
        <w:rPr>
          <w:rFonts w:asciiTheme="minorHAnsi" w:hAnsiTheme="minorHAnsi"/>
          <w:bCs/>
          <w:sz w:val="26"/>
          <w:szCs w:val="26"/>
        </w:rPr>
        <w:t xml:space="preserve"> „nejvyšší představitelé společností“ (s průměrnou mzdou 152 680 Kč), „lékařští</w:t>
      </w:r>
      <w:r w:rsidR="00FE26D1" w:rsidRPr="0080146E">
        <w:rPr>
          <w:rFonts w:asciiTheme="minorHAnsi" w:hAnsiTheme="minorHAnsi"/>
          <w:bCs/>
          <w:sz w:val="26"/>
          <w:szCs w:val="26"/>
        </w:rPr>
        <w:t> </w:t>
      </w:r>
      <w:r w:rsidRPr="0080146E">
        <w:rPr>
          <w:rFonts w:asciiTheme="minorHAnsi" w:hAnsiTheme="minorHAnsi"/>
          <w:bCs/>
          <w:sz w:val="26"/>
          <w:szCs w:val="26"/>
        </w:rPr>
        <w:t>specialisté“ (88 058 Kč),</w:t>
      </w:r>
      <w:r w:rsidR="00FE26D1" w:rsidRPr="0080146E">
        <w:rPr>
          <w:rFonts w:asciiTheme="minorHAnsi" w:hAnsiTheme="minorHAnsi"/>
          <w:bCs/>
          <w:sz w:val="26"/>
          <w:szCs w:val="26"/>
        </w:rPr>
        <w:t xml:space="preserve"> „strojní inženýři“ (67 333 Kč)</w:t>
      </w:r>
      <w:r w:rsidRPr="0080146E">
        <w:rPr>
          <w:rFonts w:asciiTheme="minorHAnsi" w:hAnsiTheme="minorHAnsi"/>
          <w:bCs/>
          <w:sz w:val="26"/>
          <w:szCs w:val="26"/>
        </w:rPr>
        <w:t xml:space="preserve"> „všeobecné sestry se specializací“ (58 144 Kč), ale i „stavební inženýři“ (57 228 Kč) nebo „učitelé na VŠ </w:t>
      </w:r>
      <w:r w:rsidRPr="0080146E">
        <w:rPr>
          <w:rFonts w:asciiTheme="minorHAnsi" w:hAnsiTheme="minorHAnsi"/>
          <w:bCs/>
          <w:sz w:val="26"/>
          <w:szCs w:val="26"/>
        </w:rPr>
        <w:lastRenderedPageBreak/>
        <w:t>a</w:t>
      </w:r>
      <w:r w:rsidR="00FE26D1" w:rsidRPr="0080146E">
        <w:rPr>
          <w:rFonts w:asciiTheme="minorHAnsi" w:hAnsiTheme="minorHAnsi"/>
          <w:bCs/>
          <w:sz w:val="26"/>
          <w:szCs w:val="26"/>
        </w:rPr>
        <w:t> </w:t>
      </w:r>
      <w:r w:rsidRPr="0080146E">
        <w:rPr>
          <w:rFonts w:asciiTheme="minorHAnsi" w:hAnsiTheme="minorHAnsi"/>
          <w:bCs/>
          <w:sz w:val="26"/>
          <w:szCs w:val="26"/>
        </w:rPr>
        <w:t xml:space="preserve">VOŠ“ (54 041 Kč). K nejhůře placeným patřili </w:t>
      </w:r>
      <w:r w:rsidR="004A4A98" w:rsidRPr="0080146E">
        <w:rPr>
          <w:rFonts w:asciiTheme="minorHAnsi" w:hAnsiTheme="minorHAnsi"/>
          <w:bCs/>
          <w:sz w:val="26"/>
          <w:szCs w:val="26"/>
        </w:rPr>
        <w:t xml:space="preserve">pracovníci </w:t>
      </w:r>
      <w:r w:rsidR="0080146E" w:rsidRPr="0080146E">
        <w:rPr>
          <w:rFonts w:asciiTheme="minorHAnsi" w:hAnsiTheme="minorHAnsi"/>
          <w:bCs/>
          <w:sz w:val="26"/>
          <w:szCs w:val="26"/>
        </w:rPr>
        <w:t xml:space="preserve">zejména </w:t>
      </w:r>
      <w:r w:rsidR="004A4A98" w:rsidRPr="0080146E">
        <w:rPr>
          <w:rFonts w:asciiTheme="minorHAnsi" w:hAnsiTheme="minorHAnsi"/>
          <w:bCs/>
          <w:sz w:val="26"/>
          <w:szCs w:val="26"/>
        </w:rPr>
        <w:t xml:space="preserve">v profesích </w:t>
      </w:r>
      <w:r w:rsidRPr="0080146E">
        <w:rPr>
          <w:rFonts w:asciiTheme="minorHAnsi" w:hAnsiTheme="minorHAnsi"/>
          <w:bCs/>
          <w:sz w:val="26"/>
          <w:szCs w:val="26"/>
        </w:rPr>
        <w:t xml:space="preserve">„uklízeči </w:t>
      </w:r>
      <w:r>
        <w:rPr>
          <w:rFonts w:asciiTheme="minorHAnsi" w:hAnsiTheme="minorHAnsi"/>
          <w:bCs/>
          <w:sz w:val="26"/>
          <w:szCs w:val="26"/>
        </w:rPr>
        <w:t>a pomocníci v hotelích, administrativních, průmyslových a jiných objektech</w:t>
      </w:r>
      <w:r w:rsidRPr="008E1C8D">
        <w:rPr>
          <w:rFonts w:asciiTheme="minorHAnsi" w:hAnsiTheme="minorHAnsi"/>
          <w:bCs/>
          <w:sz w:val="26"/>
          <w:szCs w:val="26"/>
        </w:rPr>
        <w:t>“ (</w:t>
      </w:r>
      <w:r>
        <w:rPr>
          <w:rFonts w:asciiTheme="minorHAnsi" w:hAnsiTheme="minorHAnsi"/>
          <w:bCs/>
          <w:sz w:val="26"/>
          <w:szCs w:val="26"/>
        </w:rPr>
        <w:t>21</w:t>
      </w:r>
      <w:r w:rsidRPr="008E1C8D">
        <w:rPr>
          <w:rFonts w:asciiTheme="minorHAnsi" w:hAnsiTheme="minorHAnsi"/>
          <w:bCs/>
          <w:sz w:val="26"/>
          <w:szCs w:val="26"/>
        </w:rPr>
        <w:t> </w:t>
      </w:r>
      <w:r>
        <w:rPr>
          <w:rFonts w:asciiTheme="minorHAnsi" w:hAnsiTheme="minorHAnsi"/>
          <w:bCs/>
          <w:sz w:val="26"/>
          <w:szCs w:val="26"/>
        </w:rPr>
        <w:t>22</w:t>
      </w:r>
      <w:r w:rsidRPr="008E1C8D">
        <w:rPr>
          <w:rFonts w:asciiTheme="minorHAnsi" w:hAnsiTheme="minorHAnsi"/>
          <w:bCs/>
          <w:sz w:val="26"/>
          <w:szCs w:val="26"/>
        </w:rPr>
        <w:t>4 Kč)</w:t>
      </w:r>
      <w:r>
        <w:rPr>
          <w:rFonts w:asciiTheme="minorHAnsi" w:hAnsiTheme="minorHAnsi"/>
          <w:bCs/>
          <w:sz w:val="26"/>
          <w:szCs w:val="26"/>
        </w:rPr>
        <w:t>,</w:t>
      </w:r>
      <w:r w:rsidRPr="00983AED">
        <w:rPr>
          <w:rFonts w:asciiTheme="minorHAnsi" w:hAnsiTheme="minorHAnsi"/>
          <w:bCs/>
          <w:sz w:val="26"/>
          <w:szCs w:val="26"/>
        </w:rPr>
        <w:t xml:space="preserve"> </w:t>
      </w:r>
      <w:r w:rsidRPr="008E1C8D">
        <w:rPr>
          <w:rFonts w:asciiTheme="minorHAnsi" w:hAnsiTheme="minorHAnsi"/>
          <w:bCs/>
          <w:sz w:val="26"/>
          <w:szCs w:val="26"/>
        </w:rPr>
        <w:t>„švadleny, šičky, vyšívači a</w:t>
      </w:r>
      <w:r>
        <w:rPr>
          <w:rFonts w:asciiTheme="minorHAnsi" w:hAnsiTheme="minorHAnsi"/>
          <w:bCs/>
          <w:sz w:val="26"/>
          <w:szCs w:val="26"/>
        </w:rPr>
        <w:t xml:space="preserve"> </w:t>
      </w:r>
      <w:r w:rsidRPr="008E1C8D">
        <w:rPr>
          <w:rFonts w:asciiTheme="minorHAnsi" w:hAnsiTheme="minorHAnsi"/>
          <w:bCs/>
          <w:sz w:val="26"/>
          <w:szCs w:val="26"/>
        </w:rPr>
        <w:t>pracovníci v příbuzných oborech“ (</w:t>
      </w:r>
      <w:r>
        <w:rPr>
          <w:rFonts w:asciiTheme="minorHAnsi" w:hAnsiTheme="minorHAnsi"/>
          <w:bCs/>
          <w:sz w:val="26"/>
          <w:szCs w:val="26"/>
        </w:rPr>
        <w:t>21</w:t>
      </w:r>
      <w:r w:rsidRPr="008E1C8D">
        <w:rPr>
          <w:rFonts w:asciiTheme="minorHAnsi" w:hAnsiTheme="minorHAnsi"/>
          <w:bCs/>
          <w:sz w:val="26"/>
          <w:szCs w:val="26"/>
        </w:rPr>
        <w:t> </w:t>
      </w:r>
      <w:r>
        <w:rPr>
          <w:rFonts w:asciiTheme="minorHAnsi" w:hAnsiTheme="minorHAnsi"/>
          <w:bCs/>
          <w:sz w:val="26"/>
          <w:szCs w:val="26"/>
        </w:rPr>
        <w:t>926</w:t>
      </w:r>
      <w:r w:rsidRPr="008E1C8D">
        <w:rPr>
          <w:rFonts w:asciiTheme="minorHAnsi" w:hAnsiTheme="minorHAnsi"/>
          <w:bCs/>
          <w:sz w:val="26"/>
          <w:szCs w:val="26"/>
        </w:rPr>
        <w:t> Kč)</w:t>
      </w:r>
      <w:r>
        <w:rPr>
          <w:rFonts w:asciiTheme="minorHAnsi" w:hAnsiTheme="minorHAnsi"/>
          <w:bCs/>
          <w:sz w:val="26"/>
          <w:szCs w:val="26"/>
        </w:rPr>
        <w:t xml:space="preserve">, </w:t>
      </w:r>
      <w:r w:rsidRPr="008E1C8D">
        <w:rPr>
          <w:rFonts w:asciiTheme="minorHAnsi" w:hAnsiTheme="minorHAnsi"/>
          <w:bCs/>
          <w:sz w:val="26"/>
          <w:szCs w:val="26"/>
        </w:rPr>
        <w:t>„pracovníci ostrahy a</w:t>
      </w:r>
      <w:r w:rsidR="008B7BBE">
        <w:rPr>
          <w:rFonts w:asciiTheme="minorHAnsi" w:hAnsiTheme="minorHAnsi"/>
          <w:bCs/>
          <w:sz w:val="26"/>
          <w:szCs w:val="26"/>
        </w:rPr>
        <w:t> </w:t>
      </w:r>
      <w:r w:rsidRPr="008E1C8D">
        <w:rPr>
          <w:rFonts w:asciiTheme="minorHAnsi" w:hAnsiTheme="minorHAnsi"/>
          <w:bCs/>
          <w:sz w:val="26"/>
          <w:szCs w:val="26"/>
        </w:rPr>
        <w:t>bezpečnostních agentur“ (</w:t>
      </w:r>
      <w:r>
        <w:rPr>
          <w:rFonts w:asciiTheme="minorHAnsi" w:hAnsiTheme="minorHAnsi"/>
          <w:bCs/>
          <w:sz w:val="26"/>
          <w:szCs w:val="26"/>
        </w:rPr>
        <w:t>23</w:t>
      </w:r>
      <w:r w:rsidRPr="008E1C8D">
        <w:rPr>
          <w:rFonts w:asciiTheme="minorHAnsi" w:hAnsiTheme="minorHAnsi"/>
          <w:bCs/>
          <w:sz w:val="26"/>
          <w:szCs w:val="26"/>
        </w:rPr>
        <w:t> </w:t>
      </w:r>
      <w:r>
        <w:rPr>
          <w:rFonts w:asciiTheme="minorHAnsi" w:hAnsiTheme="minorHAnsi"/>
          <w:bCs/>
          <w:sz w:val="26"/>
          <w:szCs w:val="26"/>
        </w:rPr>
        <w:t>265</w:t>
      </w:r>
      <w:r w:rsidRPr="008E1C8D">
        <w:rPr>
          <w:rFonts w:asciiTheme="minorHAnsi" w:hAnsiTheme="minorHAnsi"/>
          <w:bCs/>
          <w:sz w:val="26"/>
          <w:szCs w:val="26"/>
        </w:rPr>
        <w:t> Kč)</w:t>
      </w:r>
      <w:r>
        <w:rPr>
          <w:rFonts w:asciiTheme="minorHAnsi" w:hAnsiTheme="minorHAnsi"/>
          <w:bCs/>
          <w:sz w:val="26"/>
          <w:szCs w:val="26"/>
        </w:rPr>
        <w:t>, „truhláři (kromě stavebních) a pracovníci v příbuzných oborech</w:t>
      </w:r>
      <w:r w:rsidRPr="008E1C8D">
        <w:rPr>
          <w:rFonts w:asciiTheme="minorHAnsi" w:hAnsiTheme="minorHAnsi"/>
          <w:bCs/>
          <w:sz w:val="26"/>
          <w:szCs w:val="26"/>
        </w:rPr>
        <w:t>“ (</w:t>
      </w:r>
      <w:r>
        <w:rPr>
          <w:rFonts w:asciiTheme="minorHAnsi" w:hAnsiTheme="minorHAnsi"/>
          <w:bCs/>
          <w:sz w:val="26"/>
          <w:szCs w:val="26"/>
        </w:rPr>
        <w:t>24</w:t>
      </w:r>
      <w:r w:rsidRPr="008E1C8D">
        <w:rPr>
          <w:rFonts w:asciiTheme="minorHAnsi" w:hAnsiTheme="minorHAnsi"/>
          <w:bCs/>
          <w:sz w:val="26"/>
          <w:szCs w:val="26"/>
        </w:rPr>
        <w:t> </w:t>
      </w:r>
      <w:r>
        <w:rPr>
          <w:rFonts w:asciiTheme="minorHAnsi" w:hAnsiTheme="minorHAnsi"/>
          <w:bCs/>
          <w:sz w:val="26"/>
          <w:szCs w:val="26"/>
        </w:rPr>
        <w:t>362</w:t>
      </w:r>
      <w:r w:rsidRPr="008E1C8D">
        <w:rPr>
          <w:rFonts w:asciiTheme="minorHAnsi" w:hAnsiTheme="minorHAnsi"/>
          <w:bCs/>
          <w:sz w:val="26"/>
          <w:szCs w:val="26"/>
        </w:rPr>
        <w:t> Kč)</w:t>
      </w:r>
      <w:r>
        <w:rPr>
          <w:rFonts w:asciiTheme="minorHAnsi" w:hAnsiTheme="minorHAnsi"/>
          <w:bCs/>
          <w:sz w:val="26"/>
          <w:szCs w:val="26"/>
        </w:rPr>
        <w:t xml:space="preserve"> nebo „tradiční zpracovatelé textilu, kůží a</w:t>
      </w:r>
      <w:r w:rsidR="008B7BBE">
        <w:rPr>
          <w:rFonts w:asciiTheme="minorHAnsi" w:hAnsiTheme="minorHAnsi"/>
          <w:bCs/>
          <w:sz w:val="26"/>
          <w:szCs w:val="26"/>
        </w:rPr>
        <w:t> </w:t>
      </w:r>
      <w:r>
        <w:rPr>
          <w:rFonts w:asciiTheme="minorHAnsi" w:hAnsiTheme="minorHAnsi"/>
          <w:bCs/>
          <w:sz w:val="26"/>
          <w:szCs w:val="26"/>
        </w:rPr>
        <w:t>příbuzných materiálů</w:t>
      </w:r>
      <w:r w:rsidRPr="008E1C8D">
        <w:rPr>
          <w:rFonts w:asciiTheme="minorHAnsi" w:hAnsiTheme="minorHAnsi"/>
          <w:bCs/>
          <w:sz w:val="26"/>
          <w:szCs w:val="26"/>
        </w:rPr>
        <w:t>“ (</w:t>
      </w:r>
      <w:r>
        <w:rPr>
          <w:rFonts w:asciiTheme="minorHAnsi" w:hAnsiTheme="minorHAnsi"/>
          <w:bCs/>
          <w:sz w:val="26"/>
          <w:szCs w:val="26"/>
        </w:rPr>
        <w:t>25</w:t>
      </w:r>
      <w:r w:rsidRPr="008E1C8D">
        <w:rPr>
          <w:rFonts w:asciiTheme="minorHAnsi" w:hAnsiTheme="minorHAnsi"/>
          <w:bCs/>
          <w:sz w:val="26"/>
          <w:szCs w:val="26"/>
        </w:rPr>
        <w:t> </w:t>
      </w:r>
      <w:r>
        <w:rPr>
          <w:rFonts w:asciiTheme="minorHAnsi" w:hAnsiTheme="minorHAnsi"/>
          <w:bCs/>
          <w:sz w:val="26"/>
          <w:szCs w:val="26"/>
        </w:rPr>
        <w:t>826</w:t>
      </w:r>
      <w:r w:rsidRPr="008E1C8D">
        <w:rPr>
          <w:rFonts w:asciiTheme="minorHAnsi" w:hAnsiTheme="minorHAnsi"/>
          <w:bCs/>
          <w:sz w:val="26"/>
          <w:szCs w:val="26"/>
        </w:rPr>
        <w:t> Kč).</w:t>
      </w:r>
    </w:p>
    <w:p w14:paraId="2D39E58B" w14:textId="62980AA6" w:rsidR="00F07F6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r>
      <w:r w:rsidRPr="008E1C8D">
        <w:rPr>
          <w:rFonts w:asciiTheme="minorHAnsi" w:hAnsiTheme="minorHAnsi"/>
          <w:b/>
          <w:bCs/>
          <w:sz w:val="26"/>
          <w:szCs w:val="26"/>
        </w:rPr>
        <w:t>Čím vyššího vzdělání zaměstnanec dosáhl, tím vyšší měl zpravidla průměrnou mzdu.</w:t>
      </w:r>
      <w:r w:rsidRPr="008E1C8D">
        <w:rPr>
          <w:rFonts w:asciiTheme="minorHAnsi" w:hAnsiTheme="minorHAnsi"/>
          <w:bCs/>
          <w:sz w:val="26"/>
          <w:szCs w:val="26"/>
        </w:rPr>
        <w:t xml:space="preserve"> Např. zatímco zaměstnanec s maturitou pobíral mzdu mírně nižší</w:t>
      </w:r>
      <w:r>
        <w:rPr>
          <w:rFonts w:asciiTheme="minorHAnsi" w:hAnsiTheme="minorHAnsi"/>
          <w:bCs/>
          <w:sz w:val="26"/>
          <w:szCs w:val="26"/>
        </w:rPr>
        <w:t xml:space="preserve"> </w:t>
      </w:r>
      <w:r w:rsidRPr="008E1C8D">
        <w:rPr>
          <w:rFonts w:asciiTheme="minorHAnsi" w:hAnsiTheme="minorHAnsi"/>
          <w:bCs/>
          <w:sz w:val="26"/>
          <w:szCs w:val="26"/>
        </w:rPr>
        <w:t>(</w:t>
      </w:r>
      <w:r>
        <w:rPr>
          <w:rFonts w:asciiTheme="minorHAnsi" w:hAnsiTheme="minorHAnsi"/>
          <w:bCs/>
          <w:sz w:val="26"/>
          <w:szCs w:val="26"/>
        </w:rPr>
        <w:t>40</w:t>
      </w:r>
      <w:r w:rsidRPr="008E1C8D">
        <w:rPr>
          <w:rFonts w:asciiTheme="minorHAnsi" w:hAnsiTheme="minorHAnsi"/>
          <w:bCs/>
          <w:sz w:val="26"/>
          <w:szCs w:val="26"/>
        </w:rPr>
        <w:t> </w:t>
      </w:r>
      <w:r>
        <w:rPr>
          <w:rFonts w:asciiTheme="minorHAnsi" w:hAnsiTheme="minorHAnsi"/>
          <w:bCs/>
          <w:sz w:val="26"/>
          <w:szCs w:val="26"/>
        </w:rPr>
        <w:t>995</w:t>
      </w:r>
      <w:r w:rsidRPr="008E1C8D">
        <w:rPr>
          <w:rFonts w:asciiTheme="minorHAnsi" w:hAnsiTheme="minorHAnsi"/>
          <w:bCs/>
          <w:sz w:val="26"/>
          <w:szCs w:val="26"/>
        </w:rPr>
        <w:t> Kč), než činila průměrná mzda, vysokoškolsky vzdělaný zaměstnanec měl ve sledovaném období průměrnou mzdu téměř 1,</w:t>
      </w:r>
      <w:r w:rsidR="00FE26D1">
        <w:rPr>
          <w:rFonts w:asciiTheme="minorHAnsi" w:hAnsiTheme="minorHAnsi"/>
          <w:bCs/>
          <w:sz w:val="26"/>
          <w:szCs w:val="26"/>
        </w:rPr>
        <w:t>4</w:t>
      </w:r>
      <w:r w:rsidRPr="008E1C8D">
        <w:rPr>
          <w:rFonts w:asciiTheme="minorHAnsi" w:hAnsiTheme="minorHAnsi"/>
          <w:bCs/>
          <w:sz w:val="26"/>
          <w:szCs w:val="26"/>
        </w:rPr>
        <w:t xml:space="preserve">krát vyšší (její úroveň dosáhla </w:t>
      </w:r>
      <w:r>
        <w:rPr>
          <w:rFonts w:asciiTheme="minorHAnsi" w:hAnsiTheme="minorHAnsi"/>
          <w:bCs/>
          <w:sz w:val="26"/>
          <w:szCs w:val="26"/>
        </w:rPr>
        <w:t>61</w:t>
      </w:r>
      <w:r w:rsidRPr="008E1C8D">
        <w:rPr>
          <w:rFonts w:asciiTheme="minorHAnsi" w:hAnsiTheme="minorHAnsi"/>
          <w:bCs/>
          <w:sz w:val="26"/>
          <w:szCs w:val="26"/>
        </w:rPr>
        <w:t> </w:t>
      </w:r>
      <w:r>
        <w:rPr>
          <w:rFonts w:asciiTheme="minorHAnsi" w:hAnsiTheme="minorHAnsi"/>
          <w:bCs/>
          <w:sz w:val="26"/>
          <w:szCs w:val="26"/>
        </w:rPr>
        <w:t>140</w:t>
      </w:r>
      <w:r w:rsidRPr="008E1C8D">
        <w:rPr>
          <w:rFonts w:asciiTheme="minorHAnsi" w:hAnsiTheme="minorHAnsi"/>
          <w:bCs/>
          <w:sz w:val="26"/>
          <w:szCs w:val="26"/>
        </w:rPr>
        <w:t> Kč). Z hlediska věku patřili k nejlépe placeným zaměstnanci ve věku 30 </w:t>
      </w:r>
      <w:r w:rsidRPr="008E1C8D">
        <w:rPr>
          <w:rFonts w:asciiTheme="minorHAnsi" w:hAnsiTheme="minorHAnsi"/>
          <w:bCs/>
          <w:sz w:val="26"/>
          <w:szCs w:val="26"/>
        </w:rPr>
        <w:noBreakHyphen/>
        <w:t> 49 let, a to ve všech hlavních vzdělanostních kategoriích</w:t>
      </w:r>
      <w:r>
        <w:rPr>
          <w:rFonts w:asciiTheme="minorHAnsi" w:hAnsiTheme="minorHAnsi"/>
          <w:bCs/>
          <w:sz w:val="26"/>
          <w:szCs w:val="26"/>
        </w:rPr>
        <w:t>, s výjimkou vysokoškoláků, kde nejvyšší průměrnou mzdu měli zaměstnanci ve věkové kategorii 50 a více let</w:t>
      </w:r>
      <w:r w:rsidRPr="008E1C8D">
        <w:rPr>
          <w:rFonts w:asciiTheme="minorHAnsi" w:hAnsiTheme="minorHAnsi"/>
          <w:bCs/>
          <w:sz w:val="26"/>
          <w:szCs w:val="26"/>
        </w:rPr>
        <w:t xml:space="preserve">. </w:t>
      </w:r>
      <w:r>
        <w:rPr>
          <w:rFonts w:asciiTheme="minorHAnsi" w:hAnsiTheme="minorHAnsi"/>
          <w:bCs/>
          <w:sz w:val="26"/>
          <w:szCs w:val="26"/>
        </w:rPr>
        <w:t>U</w:t>
      </w:r>
      <w:r w:rsidRPr="008E1C8D">
        <w:rPr>
          <w:rFonts w:asciiTheme="minorHAnsi" w:hAnsiTheme="minorHAnsi"/>
          <w:bCs/>
          <w:sz w:val="26"/>
          <w:szCs w:val="26"/>
        </w:rPr>
        <w:t xml:space="preserve"> zaměstnanců s vysokoškolským vzděláním byly </w:t>
      </w:r>
      <w:r>
        <w:rPr>
          <w:rFonts w:asciiTheme="minorHAnsi" w:hAnsiTheme="minorHAnsi"/>
          <w:bCs/>
          <w:sz w:val="26"/>
          <w:szCs w:val="26"/>
        </w:rPr>
        <w:t xml:space="preserve">rovněž </w:t>
      </w:r>
      <w:r w:rsidRPr="008E1C8D">
        <w:rPr>
          <w:rFonts w:asciiTheme="minorHAnsi" w:hAnsiTheme="minorHAnsi"/>
          <w:bCs/>
          <w:sz w:val="26"/>
          <w:szCs w:val="26"/>
        </w:rPr>
        <w:t xml:space="preserve">zaznamenány </w:t>
      </w:r>
      <w:r>
        <w:rPr>
          <w:rFonts w:asciiTheme="minorHAnsi" w:hAnsiTheme="minorHAnsi"/>
          <w:bCs/>
          <w:sz w:val="26"/>
          <w:szCs w:val="26"/>
        </w:rPr>
        <w:t>n</w:t>
      </w:r>
      <w:r w:rsidRPr="008E1C8D">
        <w:rPr>
          <w:rFonts w:asciiTheme="minorHAnsi" w:hAnsiTheme="minorHAnsi"/>
          <w:bCs/>
          <w:sz w:val="26"/>
          <w:szCs w:val="26"/>
        </w:rPr>
        <w:t>ejvětší rozdíly</w:t>
      </w:r>
      <w:r>
        <w:rPr>
          <w:rFonts w:asciiTheme="minorHAnsi" w:hAnsiTheme="minorHAnsi"/>
          <w:bCs/>
          <w:sz w:val="26"/>
          <w:szCs w:val="26"/>
        </w:rPr>
        <w:t xml:space="preserve"> ve výdělcích</w:t>
      </w:r>
      <w:r w:rsidRPr="008E1C8D">
        <w:rPr>
          <w:rFonts w:asciiTheme="minorHAnsi" w:hAnsiTheme="minorHAnsi"/>
          <w:bCs/>
          <w:sz w:val="26"/>
          <w:szCs w:val="26"/>
        </w:rPr>
        <w:t>. Průměrná mzda těchto zaměstnanců ve věku do 29</w:t>
      </w:r>
      <w:r>
        <w:rPr>
          <w:rFonts w:asciiTheme="minorHAnsi" w:hAnsiTheme="minorHAnsi"/>
          <w:bCs/>
          <w:sz w:val="26"/>
          <w:szCs w:val="26"/>
        </w:rPr>
        <w:t> </w:t>
      </w:r>
      <w:r w:rsidRPr="008E1C8D">
        <w:rPr>
          <w:rFonts w:asciiTheme="minorHAnsi" w:hAnsiTheme="minorHAnsi"/>
          <w:bCs/>
          <w:sz w:val="26"/>
          <w:szCs w:val="26"/>
        </w:rPr>
        <w:t xml:space="preserve">let činila v 1. pololetí </w:t>
      </w:r>
      <w:r>
        <w:rPr>
          <w:rFonts w:asciiTheme="minorHAnsi" w:hAnsiTheme="minorHAnsi"/>
          <w:bCs/>
          <w:sz w:val="26"/>
          <w:szCs w:val="26"/>
        </w:rPr>
        <w:t>43 947 </w:t>
      </w:r>
      <w:r w:rsidRPr="008E1C8D">
        <w:rPr>
          <w:rFonts w:asciiTheme="minorHAnsi" w:hAnsiTheme="minorHAnsi"/>
          <w:bCs/>
          <w:sz w:val="26"/>
          <w:szCs w:val="26"/>
        </w:rPr>
        <w:t>Kč (1,</w:t>
      </w:r>
      <w:r>
        <w:rPr>
          <w:rFonts w:asciiTheme="minorHAnsi" w:hAnsiTheme="minorHAnsi"/>
          <w:bCs/>
          <w:sz w:val="26"/>
          <w:szCs w:val="26"/>
        </w:rPr>
        <w:t>2</w:t>
      </w:r>
      <w:r w:rsidRPr="008E1C8D">
        <w:rPr>
          <w:rFonts w:asciiTheme="minorHAnsi" w:hAnsiTheme="minorHAnsi"/>
          <w:bCs/>
          <w:sz w:val="26"/>
          <w:szCs w:val="26"/>
        </w:rPr>
        <w:t>násobek průměru dané věkové kategorie), ve věku od 30</w:t>
      </w:r>
      <w:r>
        <w:rPr>
          <w:rFonts w:asciiTheme="minorHAnsi" w:hAnsiTheme="minorHAnsi"/>
          <w:bCs/>
          <w:sz w:val="26"/>
          <w:szCs w:val="26"/>
        </w:rPr>
        <w:t> </w:t>
      </w:r>
      <w:r w:rsidRPr="008E1C8D">
        <w:rPr>
          <w:rFonts w:asciiTheme="minorHAnsi" w:hAnsiTheme="minorHAnsi"/>
          <w:bCs/>
          <w:sz w:val="26"/>
          <w:szCs w:val="26"/>
        </w:rPr>
        <w:t>do</w:t>
      </w:r>
      <w:r>
        <w:rPr>
          <w:rFonts w:asciiTheme="minorHAnsi" w:hAnsiTheme="minorHAnsi"/>
          <w:bCs/>
          <w:sz w:val="26"/>
          <w:szCs w:val="26"/>
        </w:rPr>
        <w:t> </w:t>
      </w:r>
      <w:r w:rsidRPr="008E1C8D">
        <w:rPr>
          <w:rFonts w:asciiTheme="minorHAnsi" w:hAnsiTheme="minorHAnsi"/>
          <w:bCs/>
          <w:sz w:val="26"/>
          <w:szCs w:val="26"/>
        </w:rPr>
        <w:t>49</w:t>
      </w:r>
      <w:r>
        <w:rPr>
          <w:rFonts w:asciiTheme="minorHAnsi" w:hAnsiTheme="minorHAnsi"/>
          <w:bCs/>
          <w:sz w:val="26"/>
          <w:szCs w:val="26"/>
        </w:rPr>
        <w:t> </w:t>
      </w:r>
      <w:r w:rsidRPr="008E1C8D">
        <w:rPr>
          <w:rFonts w:asciiTheme="minorHAnsi" w:hAnsiTheme="minorHAnsi"/>
          <w:bCs/>
          <w:sz w:val="26"/>
          <w:szCs w:val="26"/>
        </w:rPr>
        <w:t xml:space="preserve">let dosáhla </w:t>
      </w:r>
      <w:r>
        <w:rPr>
          <w:rFonts w:asciiTheme="minorHAnsi" w:hAnsiTheme="minorHAnsi"/>
          <w:bCs/>
          <w:sz w:val="26"/>
          <w:szCs w:val="26"/>
        </w:rPr>
        <w:t>63</w:t>
      </w:r>
      <w:r w:rsidRPr="008E1C8D">
        <w:rPr>
          <w:rFonts w:asciiTheme="minorHAnsi" w:hAnsiTheme="minorHAnsi"/>
          <w:bCs/>
          <w:sz w:val="26"/>
          <w:szCs w:val="26"/>
        </w:rPr>
        <w:t> </w:t>
      </w:r>
      <w:r>
        <w:rPr>
          <w:rFonts w:asciiTheme="minorHAnsi" w:hAnsiTheme="minorHAnsi"/>
          <w:bCs/>
          <w:sz w:val="26"/>
          <w:szCs w:val="26"/>
        </w:rPr>
        <w:t>080</w:t>
      </w:r>
      <w:r w:rsidRPr="008E1C8D">
        <w:rPr>
          <w:rFonts w:asciiTheme="minorHAnsi" w:hAnsiTheme="minorHAnsi"/>
          <w:bCs/>
          <w:sz w:val="26"/>
          <w:szCs w:val="26"/>
        </w:rPr>
        <w:t> Kč (1,</w:t>
      </w:r>
      <w:r>
        <w:rPr>
          <w:rFonts w:asciiTheme="minorHAnsi" w:hAnsiTheme="minorHAnsi"/>
          <w:bCs/>
          <w:sz w:val="26"/>
          <w:szCs w:val="26"/>
        </w:rPr>
        <w:t>4</w:t>
      </w:r>
      <w:r w:rsidRPr="008E1C8D">
        <w:rPr>
          <w:rFonts w:asciiTheme="minorHAnsi" w:hAnsiTheme="minorHAnsi"/>
          <w:bCs/>
          <w:sz w:val="26"/>
          <w:szCs w:val="26"/>
        </w:rPr>
        <w:t>násobek) a</w:t>
      </w:r>
      <w:r>
        <w:rPr>
          <w:rFonts w:asciiTheme="minorHAnsi" w:hAnsiTheme="minorHAnsi"/>
          <w:bCs/>
          <w:sz w:val="26"/>
          <w:szCs w:val="26"/>
        </w:rPr>
        <w:t xml:space="preserve"> </w:t>
      </w:r>
      <w:r w:rsidRPr="008E1C8D">
        <w:rPr>
          <w:rFonts w:asciiTheme="minorHAnsi" w:hAnsiTheme="minorHAnsi"/>
          <w:bCs/>
          <w:sz w:val="26"/>
          <w:szCs w:val="26"/>
        </w:rPr>
        <w:t>ve věku nad 50</w:t>
      </w:r>
      <w:r>
        <w:rPr>
          <w:rFonts w:asciiTheme="minorHAnsi" w:hAnsiTheme="minorHAnsi"/>
          <w:bCs/>
          <w:sz w:val="26"/>
          <w:szCs w:val="26"/>
        </w:rPr>
        <w:t> </w:t>
      </w:r>
      <w:r w:rsidRPr="008E1C8D">
        <w:rPr>
          <w:rFonts w:asciiTheme="minorHAnsi" w:hAnsiTheme="minorHAnsi"/>
          <w:bCs/>
          <w:sz w:val="26"/>
          <w:szCs w:val="26"/>
        </w:rPr>
        <w:t xml:space="preserve">let dosáhla úrovně </w:t>
      </w:r>
      <w:r>
        <w:rPr>
          <w:rFonts w:asciiTheme="minorHAnsi" w:hAnsiTheme="minorHAnsi"/>
          <w:bCs/>
          <w:sz w:val="26"/>
          <w:szCs w:val="26"/>
        </w:rPr>
        <w:t>63</w:t>
      </w:r>
      <w:r w:rsidRPr="008E1C8D">
        <w:rPr>
          <w:rFonts w:asciiTheme="minorHAnsi" w:hAnsiTheme="minorHAnsi"/>
          <w:bCs/>
          <w:sz w:val="26"/>
          <w:szCs w:val="26"/>
        </w:rPr>
        <w:t> </w:t>
      </w:r>
      <w:r>
        <w:rPr>
          <w:rFonts w:asciiTheme="minorHAnsi" w:hAnsiTheme="minorHAnsi"/>
          <w:bCs/>
          <w:sz w:val="26"/>
          <w:szCs w:val="26"/>
        </w:rPr>
        <w:t>592</w:t>
      </w:r>
      <w:r w:rsidRPr="008E1C8D">
        <w:rPr>
          <w:rFonts w:asciiTheme="minorHAnsi" w:hAnsiTheme="minorHAnsi"/>
          <w:bCs/>
          <w:sz w:val="26"/>
          <w:szCs w:val="26"/>
        </w:rPr>
        <w:t> Kč (1,</w:t>
      </w:r>
      <w:r>
        <w:rPr>
          <w:rFonts w:asciiTheme="minorHAnsi" w:hAnsiTheme="minorHAnsi"/>
          <w:bCs/>
          <w:sz w:val="26"/>
          <w:szCs w:val="26"/>
        </w:rPr>
        <w:t>5</w:t>
      </w:r>
      <w:r w:rsidRPr="008E1C8D">
        <w:rPr>
          <w:rFonts w:asciiTheme="minorHAnsi" w:hAnsiTheme="minorHAnsi"/>
          <w:bCs/>
          <w:sz w:val="26"/>
          <w:szCs w:val="26"/>
        </w:rPr>
        <w:t>násobek).</w:t>
      </w:r>
    </w:p>
    <w:p w14:paraId="2127C856" w14:textId="3440D9C8" w:rsidR="00F07F6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t>Statistika výdělků z ISPV poskytuje i</w:t>
      </w:r>
      <w:r>
        <w:rPr>
          <w:rFonts w:asciiTheme="minorHAnsi" w:hAnsiTheme="minorHAnsi"/>
          <w:bCs/>
          <w:sz w:val="26"/>
          <w:szCs w:val="26"/>
        </w:rPr>
        <w:t xml:space="preserve"> </w:t>
      </w:r>
      <w:r w:rsidRPr="008E1C8D">
        <w:rPr>
          <w:rFonts w:asciiTheme="minorHAnsi" w:hAnsiTheme="minorHAnsi"/>
          <w:bCs/>
          <w:sz w:val="26"/>
          <w:szCs w:val="26"/>
        </w:rPr>
        <w:t xml:space="preserve">zajímavý </w:t>
      </w:r>
      <w:r w:rsidRPr="008E1C8D">
        <w:rPr>
          <w:rFonts w:asciiTheme="minorHAnsi" w:hAnsiTheme="minorHAnsi"/>
          <w:b/>
          <w:bCs/>
          <w:sz w:val="26"/>
          <w:szCs w:val="26"/>
        </w:rPr>
        <w:t>přehled o</w:t>
      </w:r>
      <w:r>
        <w:rPr>
          <w:rFonts w:asciiTheme="minorHAnsi" w:hAnsiTheme="minorHAnsi"/>
          <w:b/>
          <w:bCs/>
          <w:sz w:val="26"/>
          <w:szCs w:val="26"/>
        </w:rPr>
        <w:t xml:space="preserve"> </w:t>
      </w:r>
      <w:r w:rsidRPr="008E1C8D">
        <w:rPr>
          <w:rFonts w:asciiTheme="minorHAnsi" w:hAnsiTheme="minorHAnsi"/>
          <w:b/>
          <w:bCs/>
          <w:sz w:val="26"/>
          <w:szCs w:val="26"/>
        </w:rPr>
        <w:t xml:space="preserve">mzdách zaměstnanců </w:t>
      </w:r>
      <w:r w:rsidRPr="00C77056">
        <w:rPr>
          <w:rFonts w:asciiTheme="minorHAnsi" w:hAnsiTheme="minorHAnsi"/>
          <w:b/>
          <w:bCs/>
          <w:sz w:val="26"/>
          <w:szCs w:val="26"/>
        </w:rPr>
        <w:t>v České republice podle jejich státního občanství.</w:t>
      </w:r>
      <w:r w:rsidRPr="00C77056">
        <w:rPr>
          <w:rFonts w:asciiTheme="minorHAnsi" w:hAnsiTheme="minorHAnsi"/>
          <w:bCs/>
          <w:sz w:val="26"/>
          <w:szCs w:val="26"/>
        </w:rPr>
        <w:t xml:space="preserve"> Absolutně </w:t>
      </w:r>
      <w:r w:rsidRPr="00C77056">
        <w:rPr>
          <w:rFonts w:asciiTheme="minorHAnsi" w:hAnsiTheme="minorHAnsi"/>
          <w:b/>
          <w:bCs/>
          <w:sz w:val="26"/>
          <w:szCs w:val="26"/>
        </w:rPr>
        <w:t>nejvyšší průměrné mzdy 94 936 Kč</w:t>
      </w:r>
      <w:r w:rsidRPr="00C77056">
        <w:rPr>
          <w:rFonts w:asciiTheme="minorHAnsi" w:hAnsiTheme="minorHAnsi"/>
          <w:b/>
          <w:sz w:val="26"/>
          <w:szCs w:val="26"/>
        </w:rPr>
        <w:t xml:space="preserve"> v 1. pololetí</w:t>
      </w:r>
      <w:r w:rsidRPr="00C77056">
        <w:rPr>
          <w:rFonts w:asciiTheme="minorHAnsi" w:hAnsiTheme="minorHAnsi"/>
          <w:bCs/>
          <w:sz w:val="26"/>
          <w:szCs w:val="26"/>
        </w:rPr>
        <w:t xml:space="preserve"> letošního roku v ČR </w:t>
      </w:r>
      <w:r w:rsidRPr="00C77056">
        <w:rPr>
          <w:rFonts w:asciiTheme="minorHAnsi" w:hAnsiTheme="minorHAnsi"/>
          <w:b/>
          <w:bCs/>
          <w:sz w:val="26"/>
          <w:szCs w:val="26"/>
        </w:rPr>
        <w:t>dosáhli zaměstnanci s německým státním občanstvím,</w:t>
      </w:r>
      <w:r w:rsidRPr="00C77056">
        <w:rPr>
          <w:rFonts w:asciiTheme="minorHAnsi" w:hAnsiTheme="minorHAnsi"/>
          <w:bCs/>
          <w:sz w:val="26"/>
          <w:szCs w:val="26"/>
        </w:rPr>
        <w:t xml:space="preserve"> a to jak v nemanuálních profesích (97 733 Kč), tak i manuálních (40 366 Kč). </w:t>
      </w:r>
      <w:r w:rsidRPr="00C77056">
        <w:rPr>
          <w:rFonts w:asciiTheme="minorHAnsi" w:hAnsiTheme="minorHAnsi"/>
          <w:b/>
          <w:bCs/>
          <w:sz w:val="26"/>
          <w:szCs w:val="26"/>
        </w:rPr>
        <w:t>Druhou nejlépe placenou skupinou zaměstnanců s průměrnou mzdou 58 145 Kč,</w:t>
      </w:r>
      <w:r w:rsidRPr="00C77056">
        <w:rPr>
          <w:rFonts w:asciiTheme="minorHAnsi" w:hAnsiTheme="minorHAnsi"/>
          <w:bCs/>
          <w:sz w:val="26"/>
          <w:szCs w:val="26"/>
        </w:rPr>
        <w:t xml:space="preserve"> avšak s cca 1,</w:t>
      </w:r>
      <w:r w:rsidR="00FE26D1">
        <w:rPr>
          <w:rFonts w:asciiTheme="minorHAnsi" w:hAnsiTheme="minorHAnsi"/>
          <w:bCs/>
          <w:sz w:val="26"/>
          <w:szCs w:val="26"/>
        </w:rPr>
        <w:t>7</w:t>
      </w:r>
      <w:r w:rsidRPr="00C77056">
        <w:rPr>
          <w:rFonts w:asciiTheme="minorHAnsi" w:hAnsiTheme="minorHAnsi"/>
          <w:bCs/>
          <w:sz w:val="26"/>
          <w:szCs w:val="26"/>
        </w:rPr>
        <w:t>krát nižší průměrnou mzdou než nejlépe placení Němci, se stali pracovníci z </w:t>
      </w:r>
      <w:r w:rsidRPr="00C77056">
        <w:rPr>
          <w:rFonts w:asciiTheme="minorHAnsi" w:hAnsiTheme="minorHAnsi"/>
          <w:b/>
          <w:bCs/>
          <w:sz w:val="26"/>
          <w:szCs w:val="26"/>
        </w:rPr>
        <w:t>Ruské federace.</w:t>
      </w:r>
      <w:r w:rsidRPr="00C77056">
        <w:rPr>
          <w:rFonts w:asciiTheme="minorHAnsi" w:hAnsiTheme="minorHAnsi"/>
          <w:bCs/>
          <w:sz w:val="26"/>
          <w:szCs w:val="26"/>
        </w:rPr>
        <w:t xml:space="preserve"> V průměru více než tuzemští zaměstnanci si vydělali ještě občané ze Slovenska (51 276 Kč) a Polska (42 274 Kč). </w:t>
      </w:r>
      <w:r w:rsidRPr="00C77056">
        <w:rPr>
          <w:rFonts w:asciiTheme="minorHAnsi" w:hAnsiTheme="minorHAnsi"/>
          <w:b/>
          <w:bCs/>
          <w:sz w:val="26"/>
          <w:szCs w:val="26"/>
        </w:rPr>
        <w:t>Naopak nejnižší průměrnou mzdu 25 989 Kč obdrželi zaměstnanci z Vietnamu,</w:t>
      </w:r>
      <w:r w:rsidRPr="00C77056">
        <w:rPr>
          <w:rFonts w:asciiTheme="minorHAnsi" w:hAnsiTheme="minorHAnsi"/>
          <w:sz w:val="26"/>
          <w:szCs w:val="26"/>
        </w:rPr>
        <w:t xml:space="preserve"> </w:t>
      </w:r>
      <w:r w:rsidRPr="00C77056">
        <w:rPr>
          <w:rFonts w:asciiTheme="minorHAnsi" w:hAnsiTheme="minorHAnsi"/>
          <w:bCs/>
          <w:sz w:val="26"/>
          <w:szCs w:val="26"/>
        </w:rPr>
        <w:t>dále pak z </w:t>
      </w:r>
      <w:r w:rsidRPr="00C77056">
        <w:rPr>
          <w:rFonts w:asciiTheme="minorHAnsi" w:hAnsiTheme="minorHAnsi"/>
          <w:b/>
          <w:bCs/>
          <w:sz w:val="26"/>
          <w:szCs w:val="26"/>
        </w:rPr>
        <w:t>Ukrajiny</w:t>
      </w:r>
      <w:r w:rsidRPr="00C77056">
        <w:rPr>
          <w:rFonts w:asciiTheme="minorHAnsi" w:hAnsiTheme="minorHAnsi"/>
          <w:sz w:val="26"/>
          <w:szCs w:val="26"/>
        </w:rPr>
        <w:t xml:space="preserve"> </w:t>
      </w:r>
      <w:r w:rsidRPr="00C77056">
        <w:rPr>
          <w:rFonts w:asciiTheme="minorHAnsi" w:hAnsiTheme="minorHAnsi"/>
          <w:bCs/>
          <w:sz w:val="26"/>
          <w:szCs w:val="26"/>
        </w:rPr>
        <w:t xml:space="preserve">(31 233 Kč) </w:t>
      </w:r>
      <w:r w:rsidRPr="00C77056">
        <w:rPr>
          <w:rFonts w:asciiTheme="minorHAnsi" w:hAnsiTheme="minorHAnsi"/>
          <w:sz w:val="26"/>
          <w:szCs w:val="26"/>
        </w:rPr>
        <w:t xml:space="preserve">a </w:t>
      </w:r>
      <w:r w:rsidRPr="00C77056">
        <w:rPr>
          <w:rFonts w:asciiTheme="minorHAnsi" w:hAnsiTheme="minorHAnsi"/>
          <w:b/>
          <w:bCs/>
          <w:sz w:val="26"/>
          <w:szCs w:val="26"/>
        </w:rPr>
        <w:t>Mongolska</w:t>
      </w:r>
      <w:r w:rsidRPr="00C77056">
        <w:rPr>
          <w:rFonts w:asciiTheme="minorHAnsi" w:hAnsiTheme="minorHAnsi"/>
          <w:bCs/>
          <w:sz w:val="26"/>
          <w:szCs w:val="26"/>
        </w:rPr>
        <w:t xml:space="preserve"> (31 317 Kč). Vezmeme-li v úvahu pouze pracovníky vykonávající manuální práce, patřili k nejhůře odměňovaným rovněž občané Vietnamu (průměrná mzda 25 897 Kč), Ukrajiny (29 100 Kč) a Ruské federace (29 424 Kč). </w:t>
      </w:r>
      <w:r w:rsidRPr="00C77056">
        <w:rPr>
          <w:rFonts w:asciiTheme="minorHAnsi" w:hAnsiTheme="minorHAnsi"/>
          <w:bCs/>
          <w:sz w:val="26"/>
          <w:szCs w:val="26"/>
        </w:rPr>
        <w:lastRenderedPageBreak/>
        <w:t xml:space="preserve">V nemanuálních profesích byli vedle výše zmíněných německých zaměstnanců nejlépe placeni občané Rumunska (76 389 Kč) a Bulharska (67 090 Kč), což bylo dáno </w:t>
      </w:r>
      <w:r w:rsidRPr="00B73126">
        <w:rPr>
          <w:rFonts w:asciiTheme="minorHAnsi" w:hAnsiTheme="minorHAnsi"/>
          <w:bCs/>
          <w:sz w:val="26"/>
          <w:szCs w:val="26"/>
        </w:rPr>
        <w:t>pravděpodobně tím, že tito zaměstnanci vykonávají nadstandardně placené řídící, vedoucí a manažerské funkce.</w:t>
      </w:r>
    </w:p>
    <w:p w14:paraId="0E3D3F9F" w14:textId="77777777" w:rsidR="00F07F6D" w:rsidRPr="00B73126" w:rsidRDefault="00F07F6D" w:rsidP="007D0A4A">
      <w:pPr>
        <w:spacing w:after="120" w:line="360" w:lineRule="auto"/>
        <w:jc w:val="both"/>
        <w:rPr>
          <w:rFonts w:asciiTheme="minorHAnsi" w:hAnsiTheme="minorHAnsi"/>
          <w:bCs/>
          <w:sz w:val="26"/>
          <w:szCs w:val="26"/>
        </w:rPr>
      </w:pPr>
      <w:r>
        <w:rPr>
          <w:rFonts w:asciiTheme="minorHAnsi" w:hAnsiTheme="minorHAnsi"/>
          <w:bCs/>
          <w:sz w:val="26"/>
          <w:szCs w:val="26"/>
        </w:rPr>
        <w:tab/>
      </w:r>
      <w:r w:rsidRPr="00B73126">
        <w:rPr>
          <w:rFonts w:asciiTheme="minorHAnsi" w:hAnsiTheme="minorHAnsi"/>
          <w:bCs/>
          <w:sz w:val="26"/>
          <w:szCs w:val="26"/>
        </w:rPr>
        <w:t xml:space="preserve">Co </w:t>
      </w:r>
      <w:r w:rsidRPr="009F37CD">
        <w:rPr>
          <w:rFonts w:asciiTheme="minorHAnsi" w:hAnsiTheme="minorHAnsi"/>
          <w:b/>
          <w:sz w:val="26"/>
          <w:szCs w:val="26"/>
        </w:rPr>
        <w:t>do počtu zaměstnanců</w:t>
      </w:r>
      <w:r w:rsidRPr="00B73126">
        <w:rPr>
          <w:rFonts w:asciiTheme="minorHAnsi" w:hAnsiTheme="minorHAnsi"/>
          <w:bCs/>
          <w:sz w:val="26"/>
          <w:szCs w:val="26"/>
        </w:rPr>
        <w:t xml:space="preserve"> v rozdělení pode státní příslušnosti </w:t>
      </w:r>
      <w:r w:rsidRPr="009F37CD">
        <w:rPr>
          <w:rFonts w:asciiTheme="minorHAnsi" w:hAnsiTheme="minorHAnsi"/>
          <w:b/>
          <w:sz w:val="26"/>
          <w:szCs w:val="26"/>
        </w:rPr>
        <w:t>se v 1. pololetí letošního roku stali nejpočetnější skupinou na trhu práce</w:t>
      </w:r>
      <w:r w:rsidRPr="00B73126">
        <w:rPr>
          <w:rFonts w:asciiTheme="minorHAnsi" w:hAnsiTheme="minorHAnsi"/>
          <w:bCs/>
          <w:sz w:val="26"/>
          <w:szCs w:val="26"/>
        </w:rPr>
        <w:t xml:space="preserve"> v České republice </w:t>
      </w:r>
      <w:r w:rsidRPr="009F37CD">
        <w:rPr>
          <w:rFonts w:asciiTheme="minorHAnsi" w:hAnsiTheme="minorHAnsi"/>
          <w:b/>
          <w:sz w:val="26"/>
          <w:szCs w:val="26"/>
        </w:rPr>
        <w:t>zaměstnanci z Ukrajiny.</w:t>
      </w:r>
      <w:r w:rsidRPr="00B73126">
        <w:rPr>
          <w:rFonts w:asciiTheme="minorHAnsi" w:hAnsiTheme="minorHAnsi"/>
          <w:bCs/>
          <w:sz w:val="26"/>
          <w:szCs w:val="26"/>
        </w:rPr>
        <w:t xml:space="preserve"> Meziročně se jejich počet zvýšil (i v důsledku válečného konfliktu na Ukrajině) o cca 39 % a Ukrajinci tak předstihli v počtu zaměstnaných cizích státních příslušníků zaměstnance se slovenským státním občanstvím, kteří historicky dlouhodobě tvořili nejčetnější skupinu zahraničních zaměstnanců v České republice. Z výše uvedených statistik o průměrné mzdě podle státního občanství vyplývá, že ukrajinští zaměstnanci pracují spíše na nízkokvalifikovaných pozicích a </w:t>
      </w:r>
      <w:proofErr w:type="gramStart"/>
      <w:r w:rsidRPr="00B73126">
        <w:rPr>
          <w:rFonts w:asciiTheme="minorHAnsi" w:hAnsiTheme="minorHAnsi"/>
          <w:bCs/>
          <w:sz w:val="26"/>
          <w:szCs w:val="26"/>
        </w:rPr>
        <w:t>patří</w:t>
      </w:r>
      <w:proofErr w:type="gramEnd"/>
      <w:r w:rsidRPr="00B73126">
        <w:rPr>
          <w:rFonts w:asciiTheme="minorHAnsi" w:hAnsiTheme="minorHAnsi"/>
          <w:bCs/>
          <w:sz w:val="26"/>
          <w:szCs w:val="26"/>
        </w:rPr>
        <w:t xml:space="preserve"> mezi cizince s nejnižšími výdělky. Nic na tomto dosavadním stavu nezměnil ani poměrně výrazný meziroční nárůst nově příchozích ukrajinských zaměstnanců.</w:t>
      </w:r>
    </w:p>
    <w:p w14:paraId="5EBE68F6" w14:textId="77777777" w:rsidR="00F07F6D" w:rsidRPr="008E1C8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r>
      <w:r w:rsidRPr="008E1C8D">
        <w:rPr>
          <w:rFonts w:asciiTheme="minorHAnsi" w:hAnsiTheme="minorHAnsi"/>
          <w:b/>
          <w:bCs/>
          <w:sz w:val="26"/>
          <w:szCs w:val="26"/>
        </w:rPr>
        <w:t>Průměrná mzda zaměstnanců s invalidním důchodem</w:t>
      </w:r>
      <w:r w:rsidRPr="008E1C8D">
        <w:rPr>
          <w:rFonts w:asciiTheme="minorHAnsi" w:hAnsiTheme="minorHAnsi"/>
          <w:bCs/>
          <w:sz w:val="26"/>
          <w:szCs w:val="26"/>
        </w:rPr>
        <w:t xml:space="preserve"> pro invaliditu prvního a</w:t>
      </w:r>
      <w:r>
        <w:rPr>
          <w:rFonts w:asciiTheme="minorHAnsi" w:hAnsiTheme="minorHAnsi"/>
          <w:bCs/>
          <w:sz w:val="26"/>
          <w:szCs w:val="26"/>
        </w:rPr>
        <w:t> </w:t>
      </w:r>
      <w:r w:rsidRPr="008E1C8D">
        <w:rPr>
          <w:rFonts w:asciiTheme="minorHAnsi" w:hAnsiTheme="minorHAnsi"/>
          <w:bCs/>
          <w:sz w:val="26"/>
          <w:szCs w:val="26"/>
        </w:rPr>
        <w:t>druhého stupně dosáhla úrovně 2</w:t>
      </w:r>
      <w:r>
        <w:rPr>
          <w:rFonts w:asciiTheme="minorHAnsi" w:hAnsiTheme="minorHAnsi"/>
          <w:bCs/>
          <w:sz w:val="26"/>
          <w:szCs w:val="26"/>
        </w:rPr>
        <w:t>8</w:t>
      </w:r>
      <w:r w:rsidRPr="008E1C8D">
        <w:rPr>
          <w:rFonts w:asciiTheme="minorHAnsi" w:hAnsiTheme="minorHAnsi"/>
          <w:bCs/>
          <w:sz w:val="26"/>
          <w:szCs w:val="26"/>
        </w:rPr>
        <w:t> </w:t>
      </w:r>
      <w:r>
        <w:rPr>
          <w:rFonts w:asciiTheme="minorHAnsi" w:hAnsiTheme="minorHAnsi"/>
          <w:bCs/>
          <w:sz w:val="26"/>
          <w:szCs w:val="26"/>
        </w:rPr>
        <w:t>855</w:t>
      </w:r>
      <w:r w:rsidRPr="008E1C8D">
        <w:rPr>
          <w:rFonts w:asciiTheme="minorHAnsi" w:hAnsiTheme="minorHAnsi"/>
          <w:bCs/>
          <w:sz w:val="26"/>
          <w:szCs w:val="26"/>
        </w:rPr>
        <w:t> Kč, u</w:t>
      </w:r>
      <w:r>
        <w:rPr>
          <w:rFonts w:asciiTheme="minorHAnsi" w:hAnsiTheme="minorHAnsi"/>
          <w:bCs/>
          <w:sz w:val="26"/>
          <w:szCs w:val="26"/>
        </w:rPr>
        <w:t xml:space="preserve"> </w:t>
      </w:r>
      <w:r w:rsidRPr="008E1C8D">
        <w:rPr>
          <w:rFonts w:asciiTheme="minorHAnsi" w:hAnsiTheme="minorHAnsi"/>
          <w:bCs/>
          <w:sz w:val="26"/>
          <w:szCs w:val="26"/>
        </w:rPr>
        <w:t>zaměstnanců s invalidním důchodem pro invaliditu třetího stupně byla o 1 </w:t>
      </w:r>
      <w:r>
        <w:rPr>
          <w:rFonts w:asciiTheme="minorHAnsi" w:hAnsiTheme="minorHAnsi"/>
          <w:bCs/>
          <w:sz w:val="26"/>
          <w:szCs w:val="26"/>
        </w:rPr>
        <w:t>91</w:t>
      </w:r>
      <w:r w:rsidRPr="008E1C8D">
        <w:rPr>
          <w:rFonts w:asciiTheme="minorHAnsi" w:hAnsiTheme="minorHAnsi"/>
          <w:bCs/>
          <w:sz w:val="26"/>
          <w:szCs w:val="26"/>
        </w:rPr>
        <w:t>0 Kč nižší a činila 2</w:t>
      </w:r>
      <w:r>
        <w:rPr>
          <w:rFonts w:asciiTheme="minorHAnsi" w:hAnsiTheme="minorHAnsi"/>
          <w:bCs/>
          <w:sz w:val="26"/>
          <w:szCs w:val="26"/>
        </w:rPr>
        <w:t>6</w:t>
      </w:r>
      <w:r w:rsidRPr="008E1C8D">
        <w:rPr>
          <w:rFonts w:asciiTheme="minorHAnsi" w:hAnsiTheme="minorHAnsi"/>
          <w:bCs/>
          <w:sz w:val="26"/>
          <w:szCs w:val="26"/>
        </w:rPr>
        <w:t> </w:t>
      </w:r>
      <w:r>
        <w:rPr>
          <w:rFonts w:asciiTheme="minorHAnsi" w:hAnsiTheme="minorHAnsi"/>
          <w:bCs/>
          <w:sz w:val="26"/>
          <w:szCs w:val="26"/>
        </w:rPr>
        <w:t>945</w:t>
      </w:r>
      <w:r w:rsidRPr="008E1C8D">
        <w:rPr>
          <w:rFonts w:asciiTheme="minorHAnsi" w:hAnsiTheme="minorHAnsi"/>
          <w:bCs/>
          <w:sz w:val="26"/>
          <w:szCs w:val="26"/>
        </w:rPr>
        <w:t> Kč (tj. cca 6</w:t>
      </w:r>
      <w:r>
        <w:rPr>
          <w:rFonts w:asciiTheme="minorHAnsi" w:hAnsiTheme="minorHAnsi"/>
          <w:bCs/>
          <w:sz w:val="26"/>
          <w:szCs w:val="26"/>
        </w:rPr>
        <w:t>4</w:t>
      </w:r>
      <w:r w:rsidRPr="008E1C8D">
        <w:rPr>
          <w:rFonts w:asciiTheme="minorHAnsi" w:hAnsiTheme="minorHAnsi"/>
          <w:bCs/>
          <w:sz w:val="26"/>
          <w:szCs w:val="26"/>
        </w:rPr>
        <w:t> % průměrné mzdy všech zaměstnanců).</w:t>
      </w:r>
    </w:p>
    <w:p w14:paraId="49CD9A08" w14:textId="77777777" w:rsidR="00F07F6D" w:rsidRPr="008E1C8D" w:rsidRDefault="00F07F6D" w:rsidP="007D0A4A">
      <w:pPr>
        <w:spacing w:after="120" w:line="360" w:lineRule="auto"/>
        <w:jc w:val="both"/>
        <w:rPr>
          <w:rFonts w:asciiTheme="minorHAnsi" w:hAnsiTheme="minorHAnsi"/>
          <w:bCs/>
          <w:sz w:val="26"/>
          <w:szCs w:val="26"/>
        </w:rPr>
      </w:pPr>
      <w:r w:rsidRPr="008E1C8D">
        <w:rPr>
          <w:rFonts w:asciiTheme="minorHAnsi" w:hAnsiTheme="minorHAnsi"/>
          <w:bCs/>
          <w:sz w:val="26"/>
          <w:szCs w:val="26"/>
        </w:rPr>
        <w:tab/>
        <w:t>Využívaná je i</w:t>
      </w:r>
      <w:r>
        <w:rPr>
          <w:rFonts w:asciiTheme="minorHAnsi" w:hAnsiTheme="minorHAnsi"/>
          <w:bCs/>
          <w:sz w:val="26"/>
          <w:szCs w:val="26"/>
        </w:rPr>
        <w:t xml:space="preserve"> </w:t>
      </w:r>
      <w:r w:rsidRPr="008E1C8D">
        <w:rPr>
          <w:rFonts w:asciiTheme="minorHAnsi" w:hAnsiTheme="minorHAnsi"/>
          <w:bCs/>
          <w:sz w:val="26"/>
          <w:szCs w:val="26"/>
        </w:rPr>
        <w:t>práce na tzv. kratší pracovní úvazky. Ve sledovaném období průměrná mzda zaměstnance, který pracoval na zkrácený pracovní úvazek, meziročně vzrostla o </w:t>
      </w:r>
      <w:r>
        <w:rPr>
          <w:rFonts w:asciiTheme="minorHAnsi" w:hAnsiTheme="minorHAnsi"/>
          <w:bCs/>
          <w:sz w:val="26"/>
          <w:szCs w:val="26"/>
        </w:rPr>
        <w:t>2</w:t>
      </w:r>
      <w:r w:rsidRPr="008E1C8D">
        <w:rPr>
          <w:rFonts w:asciiTheme="minorHAnsi" w:hAnsiTheme="minorHAnsi"/>
          <w:bCs/>
          <w:sz w:val="26"/>
          <w:szCs w:val="26"/>
        </w:rPr>
        <w:t>,</w:t>
      </w:r>
      <w:r>
        <w:rPr>
          <w:rFonts w:asciiTheme="minorHAnsi" w:hAnsiTheme="minorHAnsi"/>
          <w:bCs/>
          <w:sz w:val="26"/>
          <w:szCs w:val="26"/>
        </w:rPr>
        <w:t>4</w:t>
      </w:r>
      <w:r w:rsidRPr="008E1C8D">
        <w:rPr>
          <w:rFonts w:asciiTheme="minorHAnsi" w:hAnsiTheme="minorHAnsi"/>
          <w:bCs/>
          <w:sz w:val="26"/>
          <w:szCs w:val="26"/>
        </w:rPr>
        <w:t> % na 3</w:t>
      </w:r>
      <w:r>
        <w:rPr>
          <w:rFonts w:asciiTheme="minorHAnsi" w:hAnsiTheme="minorHAnsi"/>
          <w:bCs/>
          <w:sz w:val="26"/>
          <w:szCs w:val="26"/>
        </w:rPr>
        <w:t>5</w:t>
      </w:r>
      <w:r w:rsidRPr="008E1C8D">
        <w:rPr>
          <w:rFonts w:asciiTheme="minorHAnsi" w:hAnsiTheme="minorHAnsi"/>
          <w:bCs/>
          <w:sz w:val="26"/>
          <w:szCs w:val="26"/>
        </w:rPr>
        <w:t> </w:t>
      </w:r>
      <w:r>
        <w:rPr>
          <w:rFonts w:asciiTheme="minorHAnsi" w:hAnsiTheme="minorHAnsi"/>
          <w:bCs/>
          <w:sz w:val="26"/>
          <w:szCs w:val="26"/>
        </w:rPr>
        <w:t>8</w:t>
      </w:r>
      <w:r w:rsidRPr="008E1C8D">
        <w:rPr>
          <w:rFonts w:asciiTheme="minorHAnsi" w:hAnsiTheme="minorHAnsi"/>
          <w:bCs/>
          <w:sz w:val="26"/>
          <w:szCs w:val="26"/>
        </w:rPr>
        <w:t>3</w:t>
      </w:r>
      <w:r>
        <w:rPr>
          <w:rFonts w:asciiTheme="minorHAnsi" w:hAnsiTheme="minorHAnsi"/>
          <w:bCs/>
          <w:sz w:val="26"/>
          <w:szCs w:val="26"/>
        </w:rPr>
        <w:t>6</w:t>
      </w:r>
      <w:r w:rsidRPr="008E1C8D">
        <w:rPr>
          <w:rFonts w:asciiTheme="minorHAnsi" w:hAnsiTheme="minorHAnsi"/>
          <w:bCs/>
          <w:sz w:val="26"/>
          <w:szCs w:val="26"/>
        </w:rPr>
        <w:t> Kč (přepočteno na plný pracovní úvazek).</w:t>
      </w:r>
    </w:p>
    <w:p w14:paraId="6F9AF7A0" w14:textId="77777777" w:rsidR="00F07F6D" w:rsidRDefault="00F07F6D" w:rsidP="00F07F6D">
      <w:pPr>
        <w:spacing w:after="120" w:line="360" w:lineRule="auto"/>
        <w:jc w:val="both"/>
        <w:rPr>
          <w:rFonts w:ascii="Calibri" w:hAnsi="Calibri" w:cs="Calibri"/>
          <w:sz w:val="26"/>
          <w:szCs w:val="26"/>
        </w:rPr>
      </w:pPr>
      <w:r w:rsidRPr="008E1C8D">
        <w:rPr>
          <w:rFonts w:asciiTheme="minorHAnsi" w:hAnsiTheme="minorHAnsi"/>
          <w:bCs/>
          <w:sz w:val="26"/>
          <w:szCs w:val="26"/>
        </w:rPr>
        <w:tab/>
      </w:r>
      <w:r w:rsidRPr="008E1C8D">
        <w:rPr>
          <w:rFonts w:asciiTheme="minorHAnsi" w:hAnsiTheme="minorHAnsi"/>
          <w:b/>
          <w:bCs/>
          <w:sz w:val="26"/>
          <w:szCs w:val="26"/>
        </w:rPr>
        <w:t>Podrobné statistiky o výdělcích</w:t>
      </w:r>
      <w:r w:rsidRPr="008E1C8D">
        <w:rPr>
          <w:rFonts w:asciiTheme="minorHAnsi" w:hAnsiTheme="minorHAnsi"/>
          <w:bCs/>
          <w:sz w:val="26"/>
          <w:szCs w:val="26"/>
        </w:rPr>
        <w:t xml:space="preserve"> (včetně mzdové distribuce) jednotlivých skupin </w:t>
      </w:r>
      <w:r w:rsidRPr="008E1C8D">
        <w:rPr>
          <w:rFonts w:asciiTheme="minorHAnsi" w:hAnsiTheme="minorHAnsi"/>
          <w:b/>
          <w:bCs/>
          <w:sz w:val="26"/>
          <w:szCs w:val="26"/>
        </w:rPr>
        <w:t>zaměstnanců z Informačního systému o</w:t>
      </w:r>
      <w:r>
        <w:rPr>
          <w:rFonts w:asciiTheme="minorHAnsi" w:hAnsiTheme="minorHAnsi"/>
          <w:b/>
          <w:bCs/>
          <w:sz w:val="26"/>
          <w:szCs w:val="26"/>
        </w:rPr>
        <w:t xml:space="preserve"> </w:t>
      </w:r>
      <w:r w:rsidRPr="008E1C8D">
        <w:rPr>
          <w:rFonts w:asciiTheme="minorHAnsi" w:hAnsiTheme="minorHAnsi"/>
          <w:b/>
          <w:bCs/>
          <w:sz w:val="26"/>
          <w:szCs w:val="26"/>
        </w:rPr>
        <w:t>průměrném výdělku jsou součástí tabulkové přílohy</w:t>
      </w:r>
      <w:r w:rsidRPr="008E1C8D">
        <w:rPr>
          <w:rFonts w:asciiTheme="minorHAnsi" w:hAnsiTheme="minorHAnsi"/>
          <w:bCs/>
          <w:sz w:val="26"/>
          <w:szCs w:val="26"/>
        </w:rPr>
        <w:t xml:space="preserve"> jako samostatná složka </w:t>
      </w:r>
      <w:r w:rsidRPr="008E1C8D">
        <w:rPr>
          <w:rFonts w:asciiTheme="minorHAnsi" w:hAnsiTheme="minorHAnsi"/>
          <w:b/>
          <w:bCs/>
          <w:sz w:val="26"/>
          <w:szCs w:val="26"/>
        </w:rPr>
        <w:t>na konci materiálu.</w:t>
      </w:r>
    </w:p>
    <w:p w14:paraId="1F88C9C3" w14:textId="77777777" w:rsidR="00120885" w:rsidRPr="005E50DE" w:rsidRDefault="00120885" w:rsidP="00120885">
      <w:r w:rsidRPr="005E50DE">
        <w:br w:type="page"/>
      </w:r>
    </w:p>
    <w:p w14:paraId="37577327" w14:textId="25CEF285" w:rsidR="0017713A" w:rsidRPr="00710980" w:rsidRDefault="0017713A" w:rsidP="00DA50E3">
      <w:pPr>
        <w:spacing w:after="240" w:line="360" w:lineRule="auto"/>
        <w:jc w:val="both"/>
        <w:rPr>
          <w:rFonts w:ascii="Calibri" w:eastAsia="Calibri" w:hAnsi="Calibri" w:cs="Calibri"/>
          <w:b/>
          <w:i/>
          <w:smallCaps/>
          <w:color w:val="1F497D"/>
          <w:sz w:val="36"/>
          <w:szCs w:val="36"/>
          <w:lang w:eastAsia="en-US"/>
        </w:rPr>
      </w:pPr>
      <w:bookmarkStart w:id="0" w:name="_Hlk116382552"/>
      <w:r w:rsidRPr="00710980">
        <w:rPr>
          <w:rFonts w:ascii="Calibri" w:eastAsia="Calibri" w:hAnsi="Calibri" w:cs="Calibri"/>
          <w:b/>
          <w:i/>
          <w:smallCaps/>
          <w:color w:val="1F497D"/>
          <w:sz w:val="36"/>
          <w:szCs w:val="36"/>
          <w:lang w:eastAsia="en-US"/>
        </w:rPr>
        <w:lastRenderedPageBreak/>
        <w:t>1.3</w:t>
      </w:r>
      <w:r w:rsidR="00F07F6D">
        <w:rPr>
          <w:rFonts w:ascii="Calibri" w:eastAsia="Calibri" w:hAnsi="Calibri" w:cs="Calibri"/>
          <w:b/>
          <w:i/>
          <w:smallCaps/>
          <w:color w:val="1F497D"/>
          <w:sz w:val="36"/>
          <w:szCs w:val="36"/>
          <w:lang w:eastAsia="en-US"/>
        </w:rPr>
        <w:t>.</w:t>
      </w:r>
      <w:r w:rsidRPr="00710980">
        <w:rPr>
          <w:rFonts w:ascii="Calibri" w:eastAsia="Calibri" w:hAnsi="Calibri" w:cs="Calibri"/>
          <w:b/>
          <w:i/>
          <w:smallCaps/>
          <w:color w:val="1F497D"/>
          <w:sz w:val="36"/>
          <w:szCs w:val="36"/>
          <w:lang w:eastAsia="en-US"/>
        </w:rPr>
        <w:t xml:space="preserve"> Sociální příjmy</w:t>
      </w:r>
    </w:p>
    <w:p w14:paraId="1C288A1E" w14:textId="4C2757C3" w:rsidR="00ED4155" w:rsidRPr="00406730" w:rsidRDefault="0072711F" w:rsidP="00DA50E3">
      <w:pPr>
        <w:spacing w:after="120" w:line="360" w:lineRule="auto"/>
        <w:jc w:val="both"/>
        <w:rPr>
          <w:rFonts w:asciiTheme="minorHAnsi" w:hAnsiTheme="minorHAnsi" w:cstheme="minorHAnsi"/>
          <w:sz w:val="26"/>
          <w:szCs w:val="26"/>
        </w:rPr>
      </w:pPr>
      <w:r w:rsidRPr="0072711F">
        <w:rPr>
          <w:rFonts w:ascii="Calibri" w:eastAsia="Calibri" w:hAnsi="Calibri" w:cs="Calibri"/>
          <w:sz w:val="26"/>
          <w:szCs w:val="26"/>
          <w:lang w:eastAsia="en-US"/>
        </w:rPr>
        <w:tab/>
      </w:r>
      <w:bookmarkStart w:id="1" w:name="_Hlk83632341"/>
      <w:r w:rsidR="00ED4155" w:rsidRPr="00D6652E">
        <w:rPr>
          <w:rFonts w:asciiTheme="minorHAnsi" w:hAnsiTheme="minorHAnsi" w:cstheme="minorHAnsi"/>
          <w:b/>
          <w:bCs/>
          <w:sz w:val="26"/>
          <w:szCs w:val="26"/>
        </w:rPr>
        <w:t>Celkový objem</w:t>
      </w:r>
      <w:r w:rsidR="00ED4155" w:rsidRPr="00D6652E">
        <w:rPr>
          <w:rFonts w:asciiTheme="minorHAnsi" w:hAnsiTheme="minorHAnsi" w:cstheme="minorHAnsi"/>
          <w:sz w:val="26"/>
          <w:szCs w:val="26"/>
        </w:rPr>
        <w:t xml:space="preserve"> sociálních příjmů (druhé nejvyšší složky peněžních příjmů domácností) </w:t>
      </w:r>
      <w:r w:rsidR="00ED4155" w:rsidRPr="00D6652E">
        <w:rPr>
          <w:rFonts w:asciiTheme="minorHAnsi" w:hAnsiTheme="minorHAnsi" w:cstheme="minorHAnsi"/>
          <w:b/>
          <w:bCs/>
          <w:sz w:val="26"/>
          <w:szCs w:val="26"/>
        </w:rPr>
        <w:t>dosáhl</w:t>
      </w:r>
      <w:r w:rsidR="00ED4155" w:rsidRPr="00D6652E">
        <w:rPr>
          <w:rFonts w:asciiTheme="minorHAnsi" w:hAnsiTheme="minorHAnsi" w:cstheme="minorHAnsi"/>
          <w:sz w:val="26"/>
          <w:szCs w:val="26"/>
        </w:rPr>
        <w:t xml:space="preserve"> v 1. pololetí 2022 částky </w:t>
      </w:r>
      <w:r w:rsidR="00ED4155" w:rsidRPr="00D6652E">
        <w:rPr>
          <w:rFonts w:asciiTheme="minorHAnsi" w:hAnsiTheme="minorHAnsi" w:cstheme="minorHAnsi"/>
          <w:b/>
          <w:sz w:val="26"/>
          <w:szCs w:val="26"/>
        </w:rPr>
        <w:t>354,0 </w:t>
      </w:r>
      <w:r w:rsidR="00ED4155" w:rsidRPr="00D6652E">
        <w:rPr>
          <w:rFonts w:asciiTheme="minorHAnsi" w:hAnsiTheme="minorHAnsi" w:cstheme="minorHAnsi"/>
          <w:b/>
          <w:bCs/>
          <w:sz w:val="26"/>
          <w:szCs w:val="26"/>
        </w:rPr>
        <w:t>mld. Kč a byl o </w:t>
      </w:r>
      <w:r w:rsidR="00ED4155" w:rsidRPr="00D6652E">
        <w:rPr>
          <w:rFonts w:asciiTheme="minorHAnsi" w:hAnsiTheme="minorHAnsi" w:cstheme="minorHAnsi"/>
          <w:b/>
          <w:sz w:val="26"/>
          <w:szCs w:val="26"/>
        </w:rPr>
        <w:t>20,1 </w:t>
      </w:r>
      <w:r w:rsidR="00ED4155" w:rsidRPr="00D6652E">
        <w:rPr>
          <w:rFonts w:asciiTheme="minorHAnsi" w:hAnsiTheme="minorHAnsi" w:cstheme="minorHAnsi"/>
          <w:b/>
          <w:bCs/>
          <w:sz w:val="26"/>
          <w:szCs w:val="26"/>
        </w:rPr>
        <w:t>mld. Kč</w:t>
      </w:r>
      <w:r w:rsidR="00ED4155" w:rsidRPr="00D6652E">
        <w:rPr>
          <w:rFonts w:asciiTheme="minorHAnsi" w:hAnsiTheme="minorHAnsi" w:cstheme="minorHAnsi"/>
          <w:sz w:val="26"/>
          <w:szCs w:val="26"/>
        </w:rPr>
        <w:t xml:space="preserve"> (tj. o 6,0 %) nominálně </w:t>
      </w:r>
      <w:r w:rsidR="00ED4155" w:rsidRPr="00324A24">
        <w:rPr>
          <w:rFonts w:asciiTheme="minorHAnsi" w:hAnsiTheme="minorHAnsi" w:cstheme="minorHAnsi"/>
          <w:b/>
          <w:bCs/>
          <w:sz w:val="26"/>
          <w:szCs w:val="26"/>
        </w:rPr>
        <w:t>vyšší</w:t>
      </w:r>
      <w:r w:rsidR="00ED4155" w:rsidRPr="00324A24">
        <w:rPr>
          <w:rFonts w:asciiTheme="minorHAnsi" w:hAnsiTheme="minorHAnsi" w:cstheme="minorHAnsi"/>
          <w:sz w:val="26"/>
          <w:szCs w:val="26"/>
        </w:rPr>
        <w:t xml:space="preserve"> než ve stejném období roku 2021. </w:t>
      </w:r>
      <w:r w:rsidR="00ED4155" w:rsidRPr="00324A24">
        <w:rPr>
          <w:rFonts w:asciiTheme="minorHAnsi" w:hAnsiTheme="minorHAnsi" w:cstheme="minorHAnsi"/>
          <w:b/>
          <w:bCs/>
          <w:sz w:val="26"/>
          <w:szCs w:val="26"/>
        </w:rPr>
        <w:t>Nárůst</w:t>
      </w:r>
      <w:r w:rsidR="00ED4155" w:rsidRPr="00324A24">
        <w:rPr>
          <w:rFonts w:asciiTheme="minorHAnsi" w:hAnsiTheme="minorHAnsi" w:cstheme="minorHAnsi"/>
          <w:sz w:val="26"/>
          <w:szCs w:val="26"/>
        </w:rPr>
        <w:t xml:space="preserve"> byl zaznamenán u </w:t>
      </w:r>
      <w:r w:rsidR="00ED4155" w:rsidRPr="00324A24">
        <w:rPr>
          <w:rFonts w:asciiTheme="minorHAnsi" w:hAnsiTheme="minorHAnsi" w:cstheme="minorHAnsi"/>
          <w:b/>
          <w:bCs/>
          <w:sz w:val="26"/>
          <w:szCs w:val="26"/>
        </w:rPr>
        <w:t>dávek pomoci v hmotné nouzi</w:t>
      </w:r>
      <w:r w:rsidR="00324A24" w:rsidRPr="00324A24">
        <w:rPr>
          <w:rFonts w:asciiTheme="minorHAnsi" w:hAnsiTheme="minorHAnsi" w:cstheme="minorHAnsi"/>
          <w:b/>
          <w:bCs/>
          <w:sz w:val="26"/>
          <w:szCs w:val="26"/>
        </w:rPr>
        <w:t xml:space="preserve"> </w:t>
      </w:r>
      <w:r w:rsidR="00ED4155" w:rsidRPr="00324A24">
        <w:rPr>
          <w:rFonts w:asciiTheme="minorHAnsi" w:hAnsiTheme="minorHAnsi" w:cstheme="minorHAnsi"/>
          <w:b/>
          <w:bCs/>
          <w:sz w:val="26"/>
          <w:szCs w:val="26"/>
        </w:rPr>
        <w:t>a humanitární pomoci občanům Ukrajiny</w:t>
      </w:r>
      <w:r w:rsidR="00ED4155" w:rsidRPr="00324A24">
        <w:rPr>
          <w:rFonts w:asciiTheme="minorHAnsi" w:hAnsiTheme="minorHAnsi" w:cstheme="minorHAnsi"/>
          <w:sz w:val="26"/>
          <w:szCs w:val="26"/>
        </w:rPr>
        <w:t>,</w:t>
      </w:r>
      <w:r w:rsidR="00ED4155" w:rsidRPr="00324A24">
        <w:rPr>
          <w:rFonts w:asciiTheme="minorHAnsi" w:hAnsiTheme="minorHAnsi" w:cstheme="minorHAnsi"/>
          <w:b/>
          <w:bCs/>
          <w:sz w:val="26"/>
          <w:szCs w:val="26"/>
        </w:rPr>
        <w:t xml:space="preserve"> </w:t>
      </w:r>
      <w:r w:rsidR="00ED4155" w:rsidRPr="00406730">
        <w:rPr>
          <w:rFonts w:asciiTheme="minorHAnsi" w:hAnsiTheme="minorHAnsi" w:cstheme="minorHAnsi"/>
          <w:b/>
          <w:bCs/>
          <w:sz w:val="26"/>
          <w:szCs w:val="26"/>
        </w:rPr>
        <w:t xml:space="preserve">příspěvku na péči, dávek důchodového pojištění </w:t>
      </w:r>
      <w:r w:rsidR="00ED4155" w:rsidRPr="00406730">
        <w:rPr>
          <w:rFonts w:asciiTheme="minorHAnsi" w:hAnsiTheme="minorHAnsi" w:cstheme="minorHAnsi"/>
          <w:sz w:val="26"/>
          <w:szCs w:val="26"/>
        </w:rPr>
        <w:t>a</w:t>
      </w:r>
      <w:r w:rsidR="00ED4155" w:rsidRPr="00406730">
        <w:rPr>
          <w:rFonts w:asciiTheme="minorHAnsi" w:hAnsiTheme="minorHAnsi" w:cstheme="minorHAnsi"/>
          <w:b/>
          <w:bCs/>
          <w:sz w:val="26"/>
          <w:szCs w:val="26"/>
        </w:rPr>
        <w:t xml:space="preserve"> dávek pro osoby se zdravotním postižením</w:t>
      </w:r>
      <w:r w:rsidR="00ED4155" w:rsidRPr="00406730">
        <w:rPr>
          <w:rFonts w:asciiTheme="minorHAnsi" w:hAnsiTheme="minorHAnsi" w:cstheme="minorHAnsi"/>
          <w:sz w:val="26"/>
          <w:szCs w:val="26"/>
        </w:rPr>
        <w:t xml:space="preserve">. </w:t>
      </w:r>
      <w:r w:rsidR="00ED4155" w:rsidRPr="00406730">
        <w:rPr>
          <w:rFonts w:asciiTheme="minorHAnsi" w:hAnsiTheme="minorHAnsi" w:cstheme="minorHAnsi"/>
          <w:b/>
          <w:bCs/>
          <w:sz w:val="26"/>
          <w:szCs w:val="26"/>
        </w:rPr>
        <w:t>Příjmy občanů z ostatních druhů sociálních dávek se snížily</w:t>
      </w:r>
      <w:bookmarkEnd w:id="1"/>
      <w:r w:rsidR="00ED4155" w:rsidRPr="00406730">
        <w:rPr>
          <w:rFonts w:asciiTheme="minorHAnsi" w:hAnsiTheme="minorHAnsi" w:cstheme="minorHAnsi"/>
          <w:sz w:val="26"/>
          <w:szCs w:val="26"/>
        </w:rPr>
        <w:t xml:space="preserve"> – viz tabulku č. 8 v příloze.</w:t>
      </w:r>
    </w:p>
    <w:bookmarkEnd w:id="0"/>
    <w:p w14:paraId="00AD13D3" w14:textId="77777777" w:rsidR="00ED4155" w:rsidRPr="00371A5A" w:rsidRDefault="00ED4155" w:rsidP="00DA50E3">
      <w:pPr>
        <w:spacing w:after="120" w:line="360" w:lineRule="auto"/>
        <w:jc w:val="both"/>
        <w:rPr>
          <w:rFonts w:asciiTheme="minorHAnsi" w:hAnsiTheme="minorHAnsi" w:cstheme="minorHAnsi"/>
          <w:sz w:val="26"/>
          <w:szCs w:val="26"/>
        </w:rPr>
      </w:pPr>
      <w:r w:rsidRPr="00371A5A">
        <w:rPr>
          <w:rFonts w:asciiTheme="minorHAnsi" w:hAnsiTheme="minorHAnsi" w:cstheme="minorHAnsi"/>
          <w:sz w:val="26"/>
          <w:szCs w:val="26"/>
        </w:rPr>
        <w:tab/>
      </w:r>
      <w:r w:rsidRPr="00371A5A">
        <w:rPr>
          <w:rFonts w:asciiTheme="minorHAnsi" w:hAnsiTheme="minorHAnsi" w:cstheme="minorHAnsi"/>
          <w:b/>
          <w:bCs/>
          <w:sz w:val="26"/>
          <w:szCs w:val="26"/>
          <w:u w:val="single"/>
        </w:rPr>
        <w:t>Dávky důchodového pojištění</w:t>
      </w:r>
      <w:r w:rsidRPr="00371A5A">
        <w:rPr>
          <w:rFonts w:asciiTheme="minorHAnsi" w:hAnsiTheme="minorHAnsi" w:cstheme="minorHAnsi"/>
          <w:sz w:val="26"/>
          <w:szCs w:val="26"/>
        </w:rPr>
        <w:t xml:space="preserve">, na které bylo v 1. pololetí 2022 poskytnuto (bez dávek vyplácených do ciziny) </w:t>
      </w:r>
      <w:r w:rsidRPr="00371A5A">
        <w:rPr>
          <w:rFonts w:asciiTheme="minorHAnsi" w:hAnsiTheme="minorHAnsi" w:cstheme="minorHAnsi"/>
          <w:b/>
          <w:bCs/>
          <w:sz w:val="26"/>
          <w:szCs w:val="26"/>
        </w:rPr>
        <w:t>272,6 mld. Kč</w:t>
      </w:r>
      <w:r w:rsidRPr="00371A5A">
        <w:rPr>
          <w:rFonts w:asciiTheme="minorHAnsi" w:hAnsiTheme="minorHAnsi" w:cstheme="minorHAnsi"/>
          <w:sz w:val="26"/>
          <w:szCs w:val="26"/>
        </w:rPr>
        <w:t xml:space="preserve">, tj. o </w:t>
      </w:r>
      <w:r w:rsidRPr="00371A5A">
        <w:rPr>
          <w:rFonts w:asciiTheme="minorHAnsi" w:hAnsiTheme="minorHAnsi" w:cstheme="minorHAnsi"/>
          <w:b/>
          <w:bCs/>
          <w:sz w:val="26"/>
          <w:szCs w:val="26"/>
        </w:rPr>
        <w:t>17,8 mld. Kč</w:t>
      </w:r>
      <w:r w:rsidRPr="00371A5A">
        <w:rPr>
          <w:rFonts w:asciiTheme="minorHAnsi" w:hAnsiTheme="minorHAnsi" w:cstheme="minorHAnsi"/>
          <w:sz w:val="26"/>
          <w:szCs w:val="26"/>
        </w:rPr>
        <w:t xml:space="preserve"> (o 7,0 %) </w:t>
      </w:r>
      <w:r w:rsidRPr="00371A5A">
        <w:rPr>
          <w:rFonts w:asciiTheme="minorHAnsi" w:hAnsiTheme="minorHAnsi" w:cstheme="minorHAnsi"/>
          <w:b/>
          <w:bCs/>
          <w:sz w:val="26"/>
          <w:szCs w:val="26"/>
        </w:rPr>
        <w:t>více</w:t>
      </w:r>
      <w:r w:rsidRPr="00371A5A">
        <w:rPr>
          <w:rFonts w:asciiTheme="minorHAnsi" w:hAnsiTheme="minorHAnsi" w:cstheme="minorHAnsi"/>
          <w:sz w:val="26"/>
          <w:szCs w:val="26"/>
        </w:rPr>
        <w:t xml:space="preserve"> než ve srovnatelném období roku 2021, se podílely na celkové úrovni sociálních příjmů domácností 77,0 %. Výdaje související s </w:t>
      </w:r>
      <w:r w:rsidRPr="00371A5A">
        <w:rPr>
          <w:rFonts w:asciiTheme="minorHAnsi" w:hAnsiTheme="minorHAnsi" w:cstheme="minorHAnsi"/>
          <w:b/>
          <w:bCs/>
          <w:sz w:val="26"/>
          <w:szCs w:val="26"/>
        </w:rPr>
        <w:t>valorizacemi důchodů</w:t>
      </w:r>
      <w:r w:rsidRPr="00371A5A">
        <w:rPr>
          <w:rFonts w:asciiTheme="minorHAnsi" w:hAnsiTheme="minorHAnsi" w:cstheme="minorHAnsi"/>
          <w:sz w:val="26"/>
          <w:szCs w:val="26"/>
        </w:rPr>
        <w:t xml:space="preserve">, které proběhly v lednu a v červnu 2022 (mimořádná valorizace), činily od počátku roku </w:t>
      </w:r>
      <w:r w:rsidRPr="00371A5A">
        <w:rPr>
          <w:rFonts w:asciiTheme="minorHAnsi" w:hAnsiTheme="minorHAnsi" w:cstheme="minorHAnsi"/>
          <w:b/>
          <w:bCs/>
          <w:sz w:val="26"/>
          <w:szCs w:val="26"/>
        </w:rPr>
        <w:t>16,2 mld. Kč</w:t>
      </w:r>
      <w:r w:rsidRPr="00371A5A">
        <w:rPr>
          <w:rFonts w:asciiTheme="minorHAnsi" w:hAnsiTheme="minorHAnsi" w:cstheme="minorHAnsi"/>
          <w:sz w:val="26"/>
          <w:szCs w:val="26"/>
        </w:rPr>
        <w:t>.</w:t>
      </w:r>
    </w:p>
    <w:p w14:paraId="0ADE2533" w14:textId="77777777" w:rsidR="00ED4155" w:rsidRPr="00324A24" w:rsidRDefault="00ED4155" w:rsidP="00DA50E3">
      <w:pPr>
        <w:spacing w:after="120" w:line="360" w:lineRule="auto"/>
        <w:jc w:val="both"/>
        <w:rPr>
          <w:rFonts w:asciiTheme="minorHAnsi" w:hAnsiTheme="minorHAnsi" w:cstheme="minorHAnsi"/>
          <w:sz w:val="26"/>
          <w:szCs w:val="26"/>
        </w:rPr>
      </w:pPr>
      <w:r w:rsidRPr="00371A5A">
        <w:rPr>
          <w:rFonts w:asciiTheme="minorHAnsi" w:hAnsiTheme="minorHAnsi" w:cstheme="minorHAnsi"/>
          <w:sz w:val="26"/>
          <w:szCs w:val="26"/>
        </w:rPr>
        <w:tab/>
        <w:t xml:space="preserve">Nárůst zaznamenaly </w:t>
      </w:r>
      <w:r w:rsidRPr="00371A5A">
        <w:rPr>
          <w:rFonts w:asciiTheme="minorHAnsi" w:hAnsiTheme="minorHAnsi" w:cstheme="minorHAnsi"/>
          <w:b/>
          <w:bCs/>
          <w:sz w:val="26"/>
          <w:szCs w:val="26"/>
        </w:rPr>
        <w:t>výdaje na starobní důchody</w:t>
      </w:r>
      <w:r w:rsidRPr="00371A5A">
        <w:rPr>
          <w:rFonts w:asciiTheme="minorHAnsi" w:hAnsiTheme="minorHAnsi" w:cstheme="minorHAnsi"/>
          <w:sz w:val="26"/>
          <w:szCs w:val="26"/>
        </w:rPr>
        <w:t xml:space="preserve">, které se </w:t>
      </w:r>
      <w:r w:rsidRPr="00371A5A">
        <w:rPr>
          <w:rFonts w:asciiTheme="minorHAnsi" w:hAnsiTheme="minorHAnsi" w:cstheme="minorHAnsi"/>
          <w:b/>
          <w:bCs/>
          <w:sz w:val="26"/>
          <w:szCs w:val="26"/>
        </w:rPr>
        <w:t>zvýšily</w:t>
      </w:r>
      <w:r w:rsidRPr="00371A5A">
        <w:rPr>
          <w:rFonts w:asciiTheme="minorHAnsi" w:hAnsiTheme="minorHAnsi" w:cstheme="minorHAnsi"/>
          <w:sz w:val="26"/>
          <w:szCs w:val="26"/>
        </w:rPr>
        <w:t xml:space="preserve"> o 14,8 mld. Kč </w:t>
      </w:r>
      <w:r w:rsidRPr="00183F81">
        <w:rPr>
          <w:rFonts w:asciiTheme="minorHAnsi" w:hAnsiTheme="minorHAnsi" w:cstheme="minorHAnsi"/>
          <w:sz w:val="26"/>
          <w:szCs w:val="26"/>
        </w:rPr>
        <w:t xml:space="preserve">(o 6,9 %) na </w:t>
      </w:r>
      <w:r w:rsidRPr="00183F81">
        <w:rPr>
          <w:rFonts w:asciiTheme="minorHAnsi" w:hAnsiTheme="minorHAnsi" w:cstheme="minorHAnsi"/>
          <w:b/>
          <w:bCs/>
          <w:sz w:val="26"/>
          <w:szCs w:val="26"/>
        </w:rPr>
        <w:t>227,6 mld. Kč</w:t>
      </w:r>
      <w:r w:rsidRPr="00183F81">
        <w:rPr>
          <w:rFonts w:asciiTheme="minorHAnsi" w:hAnsiTheme="minorHAnsi" w:cstheme="minorHAnsi"/>
          <w:sz w:val="26"/>
          <w:szCs w:val="26"/>
        </w:rPr>
        <w:t xml:space="preserve">. </w:t>
      </w:r>
      <w:r w:rsidRPr="00C8553C">
        <w:rPr>
          <w:rFonts w:asciiTheme="minorHAnsi" w:hAnsiTheme="minorHAnsi" w:cstheme="minorHAnsi"/>
          <w:sz w:val="26"/>
          <w:szCs w:val="26"/>
        </w:rPr>
        <w:t>Jejich podíl na celkovém objemu výdajů na dávky důchodového pojištění dosáhl 83,5 </w:t>
      </w:r>
      <w:r w:rsidRPr="00C83838">
        <w:rPr>
          <w:rFonts w:asciiTheme="minorHAnsi" w:hAnsiTheme="minorHAnsi" w:cstheme="minorHAnsi"/>
          <w:sz w:val="26"/>
          <w:szCs w:val="26"/>
        </w:rPr>
        <w:t xml:space="preserve">%. Výdaje na </w:t>
      </w:r>
      <w:r w:rsidRPr="00C83838">
        <w:rPr>
          <w:rFonts w:asciiTheme="minorHAnsi" w:hAnsiTheme="minorHAnsi" w:cstheme="minorHAnsi"/>
          <w:b/>
          <w:bCs/>
          <w:sz w:val="26"/>
          <w:szCs w:val="26"/>
        </w:rPr>
        <w:t>invalidní důchody</w:t>
      </w:r>
      <w:r w:rsidRPr="00C83838">
        <w:rPr>
          <w:rFonts w:asciiTheme="minorHAnsi" w:hAnsiTheme="minorHAnsi" w:cstheme="minorHAnsi"/>
          <w:sz w:val="26"/>
          <w:szCs w:val="26"/>
        </w:rPr>
        <w:t xml:space="preserve"> byly o 2,1 mld. Kč </w:t>
      </w:r>
      <w:r w:rsidRPr="00C83838">
        <w:rPr>
          <w:rFonts w:asciiTheme="minorHAnsi" w:hAnsiTheme="minorHAnsi" w:cstheme="minorHAnsi"/>
          <w:b/>
          <w:bCs/>
          <w:sz w:val="26"/>
          <w:szCs w:val="26"/>
        </w:rPr>
        <w:t>vyšší</w:t>
      </w:r>
      <w:r w:rsidRPr="00C83838">
        <w:rPr>
          <w:rFonts w:asciiTheme="minorHAnsi" w:hAnsiTheme="minorHAnsi" w:cstheme="minorHAnsi"/>
          <w:sz w:val="26"/>
          <w:szCs w:val="26"/>
        </w:rPr>
        <w:t xml:space="preserve"> než v 1. pololetí 2021, tj. </w:t>
      </w:r>
      <w:r w:rsidRPr="00C83838">
        <w:rPr>
          <w:rFonts w:asciiTheme="minorHAnsi" w:hAnsiTheme="minorHAnsi" w:cstheme="minorHAnsi"/>
          <w:b/>
          <w:bCs/>
          <w:sz w:val="26"/>
          <w:szCs w:val="26"/>
        </w:rPr>
        <w:t>28,1 mld. Kč</w:t>
      </w:r>
      <w:r w:rsidRPr="00C83838">
        <w:rPr>
          <w:rFonts w:asciiTheme="minorHAnsi" w:hAnsiTheme="minorHAnsi" w:cstheme="minorHAnsi"/>
          <w:sz w:val="26"/>
          <w:szCs w:val="26"/>
        </w:rPr>
        <w:t>. Výdaje na pozůstalostní důchody činily 1</w:t>
      </w:r>
      <w:r>
        <w:rPr>
          <w:rFonts w:asciiTheme="minorHAnsi" w:hAnsiTheme="minorHAnsi" w:cstheme="minorHAnsi"/>
          <w:sz w:val="26"/>
          <w:szCs w:val="26"/>
        </w:rPr>
        <w:t>6</w:t>
      </w:r>
      <w:r w:rsidRPr="00C83838">
        <w:rPr>
          <w:rFonts w:asciiTheme="minorHAnsi" w:hAnsiTheme="minorHAnsi" w:cstheme="minorHAnsi"/>
          <w:sz w:val="26"/>
          <w:szCs w:val="26"/>
        </w:rPr>
        <w:t>,</w:t>
      </w:r>
      <w:r w:rsidRPr="00324A24">
        <w:rPr>
          <w:rFonts w:asciiTheme="minorHAnsi" w:hAnsiTheme="minorHAnsi" w:cstheme="minorHAnsi"/>
          <w:sz w:val="26"/>
          <w:szCs w:val="26"/>
        </w:rPr>
        <w:t>8 mld. Kč.</w:t>
      </w:r>
    </w:p>
    <w:p w14:paraId="0745DB11" w14:textId="0E7D9EA4" w:rsidR="00ED4155" w:rsidRPr="00324A24" w:rsidRDefault="00ED4155" w:rsidP="00DA50E3">
      <w:pPr>
        <w:spacing w:after="240" w:line="360" w:lineRule="auto"/>
        <w:jc w:val="both"/>
        <w:rPr>
          <w:rFonts w:asciiTheme="minorHAnsi" w:hAnsiTheme="minorHAnsi" w:cstheme="minorHAnsi"/>
          <w:sz w:val="26"/>
          <w:szCs w:val="26"/>
        </w:rPr>
      </w:pPr>
      <w:r w:rsidRPr="00324A24">
        <w:rPr>
          <w:rFonts w:asciiTheme="minorHAnsi" w:hAnsiTheme="minorHAnsi" w:cstheme="minorHAnsi"/>
          <w:sz w:val="26"/>
          <w:szCs w:val="26"/>
        </w:rPr>
        <w:tab/>
      </w:r>
      <w:r w:rsidRPr="00324A24">
        <w:rPr>
          <w:rFonts w:asciiTheme="minorHAnsi" w:hAnsiTheme="minorHAnsi" w:cstheme="minorHAnsi"/>
          <w:b/>
          <w:bCs/>
          <w:sz w:val="26"/>
          <w:szCs w:val="26"/>
        </w:rPr>
        <w:t>Průměrná výše</w:t>
      </w:r>
      <w:r w:rsidRPr="00324A24">
        <w:rPr>
          <w:rFonts w:asciiTheme="minorHAnsi" w:hAnsiTheme="minorHAnsi" w:cstheme="minorHAnsi"/>
          <w:sz w:val="26"/>
          <w:szCs w:val="26"/>
        </w:rPr>
        <w:t xml:space="preserve"> (samostatně vypláceného) </w:t>
      </w:r>
      <w:r w:rsidRPr="00324A24">
        <w:rPr>
          <w:rFonts w:asciiTheme="minorHAnsi" w:hAnsiTheme="minorHAnsi" w:cstheme="minorHAnsi"/>
          <w:b/>
          <w:bCs/>
          <w:sz w:val="26"/>
          <w:szCs w:val="26"/>
        </w:rPr>
        <w:t xml:space="preserve">starobního důchodu se </w:t>
      </w:r>
      <w:r w:rsidRPr="00324A24">
        <w:rPr>
          <w:rFonts w:asciiTheme="minorHAnsi" w:hAnsiTheme="minorHAnsi" w:cstheme="minorHAnsi"/>
          <w:sz w:val="26"/>
          <w:szCs w:val="26"/>
        </w:rPr>
        <w:t>v 1. pololetí</w:t>
      </w:r>
      <w:r w:rsidR="00324A24">
        <w:rPr>
          <w:rFonts w:asciiTheme="minorHAnsi" w:hAnsiTheme="minorHAnsi" w:cstheme="minorHAnsi"/>
          <w:sz w:val="26"/>
          <w:szCs w:val="26"/>
        </w:rPr>
        <w:t xml:space="preserve"> </w:t>
      </w:r>
      <w:r w:rsidRPr="00324A24">
        <w:rPr>
          <w:rFonts w:asciiTheme="minorHAnsi" w:hAnsiTheme="minorHAnsi" w:cstheme="minorHAnsi"/>
          <w:sz w:val="26"/>
          <w:szCs w:val="26"/>
        </w:rPr>
        <w:t xml:space="preserve">2022 meziročně </w:t>
      </w:r>
      <w:r w:rsidRPr="00324A24">
        <w:rPr>
          <w:rFonts w:asciiTheme="minorHAnsi" w:hAnsiTheme="minorHAnsi" w:cstheme="minorHAnsi"/>
          <w:b/>
          <w:bCs/>
          <w:sz w:val="26"/>
          <w:szCs w:val="26"/>
        </w:rPr>
        <w:t>zvýšila</w:t>
      </w:r>
      <w:r w:rsidRPr="00324A24">
        <w:rPr>
          <w:rFonts w:asciiTheme="minorHAnsi" w:hAnsiTheme="minorHAnsi" w:cstheme="minorHAnsi"/>
          <w:sz w:val="26"/>
          <w:szCs w:val="26"/>
        </w:rPr>
        <w:t xml:space="preserve"> o</w:t>
      </w:r>
      <w:r w:rsidR="00324A24">
        <w:rPr>
          <w:rFonts w:asciiTheme="minorHAnsi" w:hAnsiTheme="minorHAnsi" w:cstheme="minorHAnsi"/>
          <w:sz w:val="26"/>
          <w:szCs w:val="26"/>
        </w:rPr>
        <w:t> </w:t>
      </w:r>
      <w:r w:rsidRPr="00324A24">
        <w:rPr>
          <w:rFonts w:asciiTheme="minorHAnsi" w:hAnsiTheme="minorHAnsi" w:cstheme="minorHAnsi"/>
          <w:sz w:val="26"/>
          <w:szCs w:val="26"/>
        </w:rPr>
        <w:t>1 073 Kč (</w:t>
      </w:r>
      <w:r w:rsidRPr="00324A24">
        <w:rPr>
          <w:rFonts w:asciiTheme="minorHAnsi" w:hAnsiTheme="minorHAnsi" w:cstheme="minorHAnsi"/>
          <w:b/>
          <w:bCs/>
          <w:sz w:val="26"/>
          <w:szCs w:val="26"/>
        </w:rPr>
        <w:t>o 7,0 %</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na 16 455 Kč</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v reálném vyjádření</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se však</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snížila</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o</w:t>
      </w:r>
      <w:r w:rsidRPr="00324A24">
        <w:rPr>
          <w:rFonts w:asciiTheme="minorHAnsi" w:hAnsiTheme="minorHAnsi" w:cstheme="minorHAnsi"/>
          <w:sz w:val="26"/>
          <w:szCs w:val="26"/>
        </w:rPr>
        <w:t xml:space="preserve"> </w:t>
      </w:r>
      <w:r w:rsidRPr="00324A24">
        <w:rPr>
          <w:rFonts w:asciiTheme="minorHAnsi" w:hAnsiTheme="minorHAnsi" w:cstheme="minorHAnsi"/>
          <w:b/>
          <w:sz w:val="26"/>
          <w:szCs w:val="26"/>
        </w:rPr>
        <w:t xml:space="preserve">5,3 </w:t>
      </w:r>
      <w:r w:rsidRPr="00324A24">
        <w:rPr>
          <w:rFonts w:asciiTheme="minorHAnsi" w:hAnsiTheme="minorHAnsi" w:cstheme="minorHAnsi"/>
          <w:b/>
          <w:bCs/>
          <w:sz w:val="26"/>
          <w:szCs w:val="26"/>
        </w:rPr>
        <w:t>%</w:t>
      </w:r>
      <w:r w:rsidRPr="00324A24">
        <w:rPr>
          <w:rFonts w:asciiTheme="minorHAnsi" w:hAnsiTheme="minorHAnsi" w:cstheme="minorHAnsi"/>
          <w:sz w:val="26"/>
          <w:szCs w:val="26"/>
        </w:rPr>
        <w:t xml:space="preserve"> (při použití indexu životních nákladů domácností důchodců 113,0 %).</w:t>
      </w:r>
    </w:p>
    <w:p w14:paraId="5FC70775" w14:textId="77777777" w:rsidR="00ED4155" w:rsidRPr="00324A24" w:rsidRDefault="00ED4155" w:rsidP="00ED4155">
      <w:pPr>
        <w:spacing w:line="360" w:lineRule="auto"/>
        <w:jc w:val="both"/>
        <w:rPr>
          <w:rFonts w:asciiTheme="minorHAnsi" w:hAnsiTheme="minorHAnsi" w:cstheme="minorHAnsi"/>
          <w:b/>
          <w:sz w:val="26"/>
          <w:szCs w:val="26"/>
        </w:rPr>
      </w:pPr>
      <w:r w:rsidRPr="00324A24">
        <w:rPr>
          <w:rFonts w:asciiTheme="minorHAnsi" w:hAnsiTheme="minorHAnsi" w:cstheme="minorHAnsi"/>
          <w:sz w:val="26"/>
          <w:szCs w:val="26"/>
        </w:rPr>
        <w:tab/>
      </w:r>
      <w:r w:rsidRPr="00324A24">
        <w:rPr>
          <w:rFonts w:asciiTheme="minorHAnsi" w:hAnsiTheme="minorHAnsi" w:cstheme="minorHAnsi"/>
          <w:b/>
          <w:sz w:val="26"/>
          <w:szCs w:val="26"/>
        </w:rPr>
        <w:t>V červnu 2022:</w:t>
      </w:r>
    </w:p>
    <w:p w14:paraId="7175EFB3" w14:textId="77777777" w:rsidR="00ED4155" w:rsidRPr="00924BEB" w:rsidRDefault="00ED4155" w:rsidP="00DA50E3">
      <w:pPr>
        <w:pStyle w:val="Odstavecseseznamem"/>
        <w:numPr>
          <w:ilvl w:val="0"/>
          <w:numId w:val="29"/>
        </w:numPr>
        <w:spacing w:after="120" w:line="276" w:lineRule="auto"/>
        <w:jc w:val="both"/>
        <w:rPr>
          <w:rFonts w:asciiTheme="minorHAnsi" w:hAnsiTheme="minorHAnsi" w:cstheme="minorHAnsi"/>
          <w:sz w:val="26"/>
          <w:szCs w:val="26"/>
        </w:rPr>
      </w:pPr>
      <w:r w:rsidRPr="00324A24">
        <w:rPr>
          <w:rFonts w:asciiTheme="minorHAnsi" w:hAnsiTheme="minorHAnsi" w:cstheme="minorHAnsi"/>
          <w:sz w:val="26"/>
          <w:szCs w:val="26"/>
        </w:rPr>
        <w:t xml:space="preserve">pobíralo důchod </w:t>
      </w:r>
      <w:r w:rsidRPr="00324A24">
        <w:rPr>
          <w:rFonts w:asciiTheme="minorHAnsi" w:hAnsiTheme="minorHAnsi" w:cstheme="minorHAnsi"/>
          <w:b/>
          <w:sz w:val="26"/>
          <w:szCs w:val="26"/>
        </w:rPr>
        <w:t>2 842,5 tis. osob</w:t>
      </w:r>
      <w:r w:rsidRPr="00324A24">
        <w:rPr>
          <w:rFonts w:asciiTheme="minorHAnsi" w:hAnsiTheme="minorHAnsi" w:cstheme="minorHAnsi"/>
          <w:sz w:val="26"/>
          <w:szCs w:val="26"/>
        </w:rPr>
        <w:t xml:space="preserve">, přičemž </w:t>
      </w:r>
      <w:r w:rsidRPr="00324A24">
        <w:rPr>
          <w:rFonts w:asciiTheme="minorHAnsi" w:hAnsiTheme="minorHAnsi" w:cstheme="minorHAnsi"/>
          <w:b/>
          <w:sz w:val="26"/>
          <w:szCs w:val="26"/>
        </w:rPr>
        <w:t>jejich počet</w:t>
      </w:r>
      <w:r w:rsidRPr="00324A24">
        <w:rPr>
          <w:rFonts w:asciiTheme="minorHAnsi" w:hAnsiTheme="minorHAnsi" w:cstheme="minorHAnsi"/>
          <w:sz w:val="26"/>
          <w:szCs w:val="26"/>
        </w:rPr>
        <w:t xml:space="preserve"> se oproti červnu 2021 </w:t>
      </w:r>
      <w:r w:rsidRPr="00324A24">
        <w:rPr>
          <w:rFonts w:asciiTheme="minorHAnsi" w:hAnsiTheme="minorHAnsi" w:cstheme="minorHAnsi"/>
          <w:b/>
          <w:bCs/>
          <w:sz w:val="26"/>
          <w:szCs w:val="26"/>
        </w:rPr>
        <w:t>snížil o 15,5 tis</w:t>
      </w:r>
      <w:r w:rsidRPr="00324A24">
        <w:rPr>
          <w:rFonts w:asciiTheme="minorHAnsi" w:hAnsiTheme="minorHAnsi" w:cstheme="minorHAnsi"/>
          <w:sz w:val="26"/>
          <w:szCs w:val="26"/>
        </w:rPr>
        <w:t xml:space="preserve">. </w:t>
      </w:r>
      <w:r w:rsidRPr="00324A24">
        <w:rPr>
          <w:rFonts w:asciiTheme="minorHAnsi" w:hAnsiTheme="minorHAnsi" w:cstheme="minorHAnsi"/>
          <w:b/>
          <w:sz w:val="26"/>
          <w:szCs w:val="26"/>
        </w:rPr>
        <w:t>Počet důchodců se starobním důchodem</w:t>
      </w:r>
      <w:r w:rsidRPr="00324A24">
        <w:rPr>
          <w:rFonts w:asciiTheme="minorHAnsi" w:hAnsiTheme="minorHAnsi" w:cstheme="minorHAnsi"/>
          <w:sz w:val="26"/>
          <w:szCs w:val="26"/>
        </w:rPr>
        <w:t xml:space="preserve"> (včetně poměrného starobního) klesl o 14,7 tis. (tj. </w:t>
      </w:r>
      <w:r w:rsidRPr="00324A24">
        <w:rPr>
          <w:rFonts w:asciiTheme="minorHAnsi" w:hAnsiTheme="minorHAnsi" w:cstheme="minorHAnsi"/>
          <w:b/>
          <w:sz w:val="26"/>
          <w:szCs w:val="26"/>
        </w:rPr>
        <w:t>o 0,6 %</w:t>
      </w:r>
      <w:r w:rsidRPr="00324A24">
        <w:rPr>
          <w:rFonts w:asciiTheme="minorHAnsi" w:hAnsiTheme="minorHAnsi" w:cstheme="minorHAnsi"/>
          <w:sz w:val="26"/>
          <w:szCs w:val="26"/>
        </w:rPr>
        <w:t xml:space="preserve">) </w:t>
      </w:r>
      <w:r w:rsidRPr="00324A24">
        <w:rPr>
          <w:rFonts w:asciiTheme="minorHAnsi" w:hAnsiTheme="minorHAnsi" w:cstheme="minorHAnsi"/>
          <w:b/>
          <w:sz w:val="26"/>
          <w:szCs w:val="26"/>
        </w:rPr>
        <w:t>na 2 363,4 tis. osob</w:t>
      </w:r>
      <w:r w:rsidRPr="00324A24">
        <w:rPr>
          <w:rFonts w:asciiTheme="minorHAnsi" w:hAnsiTheme="minorHAnsi" w:cstheme="minorHAnsi"/>
          <w:sz w:val="26"/>
          <w:szCs w:val="26"/>
        </w:rPr>
        <w:t xml:space="preserve">, v rámci této skupiny důchodců </w:t>
      </w:r>
      <w:r w:rsidRPr="00924BEB">
        <w:rPr>
          <w:rFonts w:asciiTheme="minorHAnsi" w:hAnsiTheme="minorHAnsi" w:cstheme="minorHAnsi"/>
          <w:sz w:val="26"/>
          <w:szCs w:val="26"/>
        </w:rPr>
        <w:t xml:space="preserve">narostl počet důchodců </w:t>
      </w:r>
      <w:r w:rsidRPr="00924BEB">
        <w:rPr>
          <w:rFonts w:asciiTheme="minorHAnsi" w:hAnsiTheme="minorHAnsi" w:cstheme="minorHAnsi"/>
          <w:b/>
          <w:sz w:val="26"/>
          <w:szCs w:val="26"/>
        </w:rPr>
        <w:t>s trvale kráceným předčasným důchodem</w:t>
      </w:r>
      <w:r w:rsidRPr="00924BEB">
        <w:rPr>
          <w:rFonts w:asciiTheme="minorHAnsi" w:hAnsiTheme="minorHAnsi" w:cstheme="minorHAnsi"/>
          <w:sz w:val="26"/>
          <w:szCs w:val="26"/>
        </w:rPr>
        <w:t xml:space="preserve"> na </w:t>
      </w:r>
      <w:r w:rsidRPr="00924BEB">
        <w:rPr>
          <w:rFonts w:asciiTheme="minorHAnsi" w:hAnsiTheme="minorHAnsi" w:cstheme="minorHAnsi"/>
          <w:b/>
          <w:sz w:val="26"/>
          <w:szCs w:val="26"/>
        </w:rPr>
        <w:t>671,6 tis.</w:t>
      </w:r>
      <w:r w:rsidRPr="00924BEB">
        <w:rPr>
          <w:rFonts w:asciiTheme="minorHAnsi" w:hAnsiTheme="minorHAnsi" w:cstheme="minorHAnsi"/>
          <w:sz w:val="26"/>
          <w:szCs w:val="26"/>
        </w:rPr>
        <w:t xml:space="preserve"> (o 13,7 tis., tj. </w:t>
      </w:r>
      <w:r w:rsidRPr="00924BEB">
        <w:rPr>
          <w:rFonts w:asciiTheme="minorHAnsi" w:hAnsiTheme="minorHAnsi" w:cstheme="minorHAnsi"/>
          <w:b/>
          <w:sz w:val="26"/>
          <w:szCs w:val="26"/>
        </w:rPr>
        <w:t>o 2,1 %</w:t>
      </w:r>
      <w:r w:rsidRPr="00924BEB">
        <w:rPr>
          <w:rFonts w:asciiTheme="minorHAnsi" w:hAnsiTheme="minorHAnsi" w:cstheme="minorHAnsi"/>
          <w:sz w:val="26"/>
          <w:szCs w:val="26"/>
        </w:rPr>
        <w:t xml:space="preserve">). Invalidní důchod pobíralo celkem 412,4 tis. osob – o 1,9 tis. (o 0,4 %) méně než ve stejném období předchozího roku, počet příjemců vdovských a vdoveckých důchodů </w:t>
      </w:r>
      <w:r>
        <w:rPr>
          <w:rFonts w:asciiTheme="minorHAnsi" w:hAnsiTheme="minorHAnsi" w:cstheme="minorHAnsi"/>
          <w:sz w:val="26"/>
          <w:szCs w:val="26"/>
        </w:rPr>
        <w:t xml:space="preserve">nepatrně </w:t>
      </w:r>
      <w:r w:rsidRPr="00924BEB">
        <w:rPr>
          <w:rFonts w:asciiTheme="minorHAnsi" w:hAnsiTheme="minorHAnsi" w:cstheme="minorHAnsi"/>
          <w:sz w:val="26"/>
          <w:szCs w:val="26"/>
        </w:rPr>
        <w:t>klesl o 210 (o 0,8 %) na 25,2 tis., počet příjemců sirotčích důchodů vzrostl o 1,2 tis. (o 3,0 %) na 41,5 tis.,</w:t>
      </w:r>
    </w:p>
    <w:p w14:paraId="5479A69A" w14:textId="321F9601" w:rsidR="00ED4155" w:rsidRPr="00924BEB" w:rsidRDefault="00ED4155" w:rsidP="00DA50E3">
      <w:pPr>
        <w:pStyle w:val="Odstavecseseznamem"/>
        <w:numPr>
          <w:ilvl w:val="0"/>
          <w:numId w:val="29"/>
        </w:numPr>
        <w:spacing w:after="120" w:line="276" w:lineRule="auto"/>
        <w:jc w:val="both"/>
        <w:rPr>
          <w:rFonts w:asciiTheme="minorHAnsi" w:hAnsiTheme="minorHAnsi" w:cstheme="minorHAnsi"/>
          <w:sz w:val="26"/>
          <w:szCs w:val="26"/>
        </w:rPr>
      </w:pPr>
      <w:r w:rsidRPr="00924BEB">
        <w:rPr>
          <w:rFonts w:asciiTheme="minorHAnsi" w:hAnsiTheme="minorHAnsi" w:cstheme="minorHAnsi"/>
          <w:b/>
          <w:sz w:val="26"/>
          <w:szCs w:val="26"/>
        </w:rPr>
        <w:lastRenderedPageBreak/>
        <w:t>průměrný</w:t>
      </w:r>
      <w:r w:rsidRPr="00924BEB">
        <w:rPr>
          <w:rFonts w:asciiTheme="minorHAnsi" w:hAnsiTheme="minorHAnsi" w:cstheme="minorHAnsi"/>
          <w:sz w:val="26"/>
          <w:szCs w:val="26"/>
        </w:rPr>
        <w:t xml:space="preserve"> nominální </w:t>
      </w:r>
      <w:r w:rsidRPr="00924BEB">
        <w:rPr>
          <w:rFonts w:asciiTheme="minorHAnsi" w:hAnsiTheme="minorHAnsi" w:cstheme="minorHAnsi"/>
          <w:b/>
          <w:sz w:val="26"/>
          <w:szCs w:val="26"/>
        </w:rPr>
        <w:t>starobní důchod</w:t>
      </w:r>
      <w:r w:rsidRPr="00924BEB">
        <w:rPr>
          <w:rFonts w:asciiTheme="minorHAnsi" w:hAnsiTheme="minorHAnsi" w:cstheme="minorHAnsi"/>
          <w:sz w:val="26"/>
          <w:szCs w:val="26"/>
        </w:rPr>
        <w:t xml:space="preserve"> (vyplácený samostatně) dosáhl </w:t>
      </w:r>
      <w:r w:rsidRPr="00924BEB">
        <w:rPr>
          <w:rFonts w:asciiTheme="minorHAnsi" w:hAnsiTheme="minorHAnsi" w:cstheme="minorHAnsi"/>
          <w:b/>
          <w:sz w:val="26"/>
          <w:szCs w:val="26"/>
        </w:rPr>
        <w:t>17</w:t>
      </w:r>
      <w:r w:rsidR="00324A24">
        <w:rPr>
          <w:rFonts w:asciiTheme="minorHAnsi" w:hAnsiTheme="minorHAnsi" w:cstheme="minorHAnsi"/>
          <w:b/>
          <w:sz w:val="26"/>
          <w:szCs w:val="26"/>
        </w:rPr>
        <w:t> </w:t>
      </w:r>
      <w:r w:rsidRPr="00924BEB">
        <w:rPr>
          <w:rFonts w:asciiTheme="minorHAnsi" w:hAnsiTheme="minorHAnsi" w:cstheme="minorHAnsi"/>
          <w:b/>
          <w:sz w:val="26"/>
          <w:szCs w:val="26"/>
        </w:rPr>
        <w:t>330 Kč</w:t>
      </w:r>
      <w:r w:rsidRPr="00924BEB">
        <w:rPr>
          <w:rFonts w:asciiTheme="minorHAnsi" w:hAnsiTheme="minorHAnsi" w:cstheme="minorHAnsi"/>
          <w:sz w:val="26"/>
          <w:szCs w:val="26"/>
        </w:rPr>
        <w:t xml:space="preserve"> a převýšil o</w:t>
      </w:r>
      <w:r w:rsidR="00324A24">
        <w:rPr>
          <w:rFonts w:asciiTheme="minorHAnsi" w:hAnsiTheme="minorHAnsi" w:cstheme="minorHAnsi"/>
          <w:sz w:val="26"/>
          <w:szCs w:val="26"/>
        </w:rPr>
        <w:t> </w:t>
      </w:r>
      <w:r w:rsidRPr="00924BEB">
        <w:rPr>
          <w:rFonts w:asciiTheme="minorHAnsi" w:hAnsiTheme="minorHAnsi" w:cstheme="minorHAnsi"/>
          <w:sz w:val="26"/>
          <w:szCs w:val="26"/>
        </w:rPr>
        <w:t>1</w:t>
      </w:r>
      <w:r w:rsidR="00324A24">
        <w:rPr>
          <w:rFonts w:asciiTheme="minorHAnsi" w:hAnsiTheme="minorHAnsi" w:cstheme="minorHAnsi"/>
          <w:sz w:val="26"/>
          <w:szCs w:val="26"/>
        </w:rPr>
        <w:t> </w:t>
      </w:r>
      <w:r w:rsidRPr="00924BEB">
        <w:rPr>
          <w:rFonts w:asciiTheme="minorHAnsi" w:hAnsiTheme="minorHAnsi" w:cstheme="minorHAnsi"/>
          <w:sz w:val="26"/>
          <w:szCs w:val="26"/>
        </w:rPr>
        <w:t>919 Kč (tj. </w:t>
      </w:r>
      <w:r w:rsidRPr="00924BEB">
        <w:rPr>
          <w:rFonts w:asciiTheme="minorHAnsi" w:hAnsiTheme="minorHAnsi" w:cstheme="minorHAnsi"/>
          <w:b/>
          <w:sz w:val="26"/>
          <w:szCs w:val="26"/>
        </w:rPr>
        <w:t>o 12,5 %</w:t>
      </w:r>
      <w:r w:rsidRPr="00924BEB">
        <w:rPr>
          <w:rFonts w:asciiTheme="minorHAnsi" w:hAnsiTheme="minorHAnsi" w:cstheme="minorHAnsi"/>
          <w:sz w:val="26"/>
          <w:szCs w:val="26"/>
        </w:rPr>
        <w:t xml:space="preserve">) skutečnost stejného měsíce roku 2021 – viz tabulku č. 9 v příloze. U </w:t>
      </w:r>
      <w:r w:rsidRPr="00924BEB">
        <w:rPr>
          <w:rFonts w:asciiTheme="minorHAnsi" w:hAnsiTheme="minorHAnsi" w:cstheme="minorHAnsi"/>
          <w:b/>
          <w:sz w:val="26"/>
          <w:szCs w:val="26"/>
        </w:rPr>
        <w:t>žen</w:t>
      </w:r>
      <w:r w:rsidRPr="00924BEB">
        <w:rPr>
          <w:rFonts w:asciiTheme="minorHAnsi" w:hAnsiTheme="minorHAnsi" w:cstheme="minorHAnsi"/>
          <w:sz w:val="26"/>
          <w:szCs w:val="26"/>
        </w:rPr>
        <w:t xml:space="preserve"> činil 15 810 Kč, představoval tak </w:t>
      </w:r>
      <w:r w:rsidRPr="00924BEB">
        <w:rPr>
          <w:rFonts w:asciiTheme="minorHAnsi" w:hAnsiTheme="minorHAnsi" w:cstheme="minorHAnsi"/>
          <w:b/>
          <w:sz w:val="26"/>
          <w:szCs w:val="26"/>
        </w:rPr>
        <w:t>83,4 % průměrného důchodu mužů</w:t>
      </w:r>
      <w:r w:rsidRPr="00924BEB">
        <w:rPr>
          <w:rFonts w:asciiTheme="minorHAnsi" w:hAnsiTheme="minorHAnsi" w:cstheme="minorHAnsi"/>
          <w:sz w:val="26"/>
          <w:szCs w:val="26"/>
        </w:rPr>
        <w:t xml:space="preserve"> (18 963 Kč). Průměrná výše trvale kráceného předčasného důchodu byla oproti průměrnému starobnímu důchodu o 1 755 Kč nižší a dosáhla 15</w:t>
      </w:r>
      <w:r w:rsidR="00324A24">
        <w:rPr>
          <w:rFonts w:asciiTheme="minorHAnsi" w:hAnsiTheme="minorHAnsi" w:cstheme="minorHAnsi"/>
          <w:sz w:val="26"/>
          <w:szCs w:val="26"/>
        </w:rPr>
        <w:t> </w:t>
      </w:r>
      <w:r w:rsidRPr="00924BEB">
        <w:rPr>
          <w:rFonts w:asciiTheme="minorHAnsi" w:hAnsiTheme="minorHAnsi" w:cstheme="minorHAnsi"/>
          <w:sz w:val="26"/>
          <w:szCs w:val="26"/>
        </w:rPr>
        <w:t>575</w:t>
      </w:r>
      <w:r w:rsidR="00324A24">
        <w:rPr>
          <w:rFonts w:asciiTheme="minorHAnsi" w:hAnsiTheme="minorHAnsi" w:cstheme="minorHAnsi"/>
          <w:sz w:val="26"/>
          <w:szCs w:val="26"/>
        </w:rPr>
        <w:t> </w:t>
      </w:r>
      <w:r w:rsidRPr="00924BEB">
        <w:rPr>
          <w:rFonts w:asciiTheme="minorHAnsi" w:hAnsiTheme="minorHAnsi" w:cstheme="minorHAnsi"/>
          <w:sz w:val="26"/>
          <w:szCs w:val="26"/>
        </w:rPr>
        <w:t>Kč (o 1</w:t>
      </w:r>
      <w:r w:rsidR="00324A24">
        <w:rPr>
          <w:rFonts w:asciiTheme="minorHAnsi" w:hAnsiTheme="minorHAnsi" w:cstheme="minorHAnsi"/>
          <w:sz w:val="26"/>
          <w:szCs w:val="26"/>
        </w:rPr>
        <w:t> </w:t>
      </w:r>
      <w:r w:rsidRPr="00924BEB">
        <w:rPr>
          <w:rFonts w:asciiTheme="minorHAnsi" w:hAnsiTheme="minorHAnsi" w:cstheme="minorHAnsi"/>
          <w:sz w:val="26"/>
          <w:szCs w:val="26"/>
        </w:rPr>
        <w:t>787</w:t>
      </w:r>
      <w:r w:rsidR="00324A24">
        <w:rPr>
          <w:rFonts w:asciiTheme="minorHAnsi" w:hAnsiTheme="minorHAnsi" w:cstheme="minorHAnsi"/>
          <w:sz w:val="26"/>
          <w:szCs w:val="26"/>
        </w:rPr>
        <w:t> </w:t>
      </w:r>
      <w:r w:rsidRPr="00924BEB">
        <w:rPr>
          <w:rFonts w:asciiTheme="minorHAnsi" w:hAnsiTheme="minorHAnsi" w:cstheme="minorHAnsi"/>
          <w:sz w:val="26"/>
          <w:szCs w:val="26"/>
        </w:rPr>
        <w:t>Kč více než ve srovnatelném období předchozího roku), z toho u mužů 17</w:t>
      </w:r>
      <w:r w:rsidR="00324A24">
        <w:rPr>
          <w:rFonts w:asciiTheme="minorHAnsi" w:hAnsiTheme="minorHAnsi" w:cstheme="minorHAnsi"/>
          <w:sz w:val="26"/>
          <w:szCs w:val="26"/>
        </w:rPr>
        <w:t> </w:t>
      </w:r>
      <w:r w:rsidRPr="00924BEB">
        <w:rPr>
          <w:rFonts w:asciiTheme="minorHAnsi" w:hAnsiTheme="minorHAnsi" w:cstheme="minorHAnsi"/>
          <w:sz w:val="26"/>
          <w:szCs w:val="26"/>
        </w:rPr>
        <w:t>116</w:t>
      </w:r>
      <w:r w:rsidR="00324A24">
        <w:rPr>
          <w:rFonts w:asciiTheme="minorHAnsi" w:hAnsiTheme="minorHAnsi" w:cstheme="minorHAnsi"/>
          <w:sz w:val="26"/>
          <w:szCs w:val="26"/>
        </w:rPr>
        <w:t> </w:t>
      </w:r>
      <w:r w:rsidRPr="00924BEB">
        <w:rPr>
          <w:rFonts w:asciiTheme="minorHAnsi" w:hAnsiTheme="minorHAnsi" w:cstheme="minorHAnsi"/>
          <w:sz w:val="26"/>
          <w:szCs w:val="26"/>
        </w:rPr>
        <w:t>Kč a u žen 14</w:t>
      </w:r>
      <w:r w:rsidR="00324A24">
        <w:rPr>
          <w:rFonts w:asciiTheme="minorHAnsi" w:hAnsiTheme="minorHAnsi" w:cstheme="minorHAnsi"/>
          <w:sz w:val="26"/>
          <w:szCs w:val="26"/>
        </w:rPr>
        <w:t> </w:t>
      </w:r>
      <w:r w:rsidRPr="00924BEB">
        <w:rPr>
          <w:rFonts w:asciiTheme="minorHAnsi" w:hAnsiTheme="minorHAnsi" w:cstheme="minorHAnsi"/>
          <w:sz w:val="26"/>
          <w:szCs w:val="26"/>
        </w:rPr>
        <w:t>164</w:t>
      </w:r>
      <w:r w:rsidR="00324A24">
        <w:rPr>
          <w:rFonts w:asciiTheme="minorHAnsi" w:hAnsiTheme="minorHAnsi" w:cstheme="minorHAnsi"/>
          <w:sz w:val="26"/>
          <w:szCs w:val="26"/>
        </w:rPr>
        <w:t> </w:t>
      </w:r>
      <w:r w:rsidRPr="00924BEB">
        <w:rPr>
          <w:rFonts w:asciiTheme="minorHAnsi" w:hAnsiTheme="minorHAnsi" w:cstheme="minorHAnsi"/>
          <w:sz w:val="26"/>
          <w:szCs w:val="26"/>
        </w:rPr>
        <w:t>Kč,</w:t>
      </w:r>
    </w:p>
    <w:p w14:paraId="59F95675" w14:textId="7A726714" w:rsidR="00ED4155" w:rsidRPr="00324A24" w:rsidRDefault="00ED4155" w:rsidP="00DA50E3">
      <w:pPr>
        <w:pStyle w:val="Odstavecseseznamem"/>
        <w:numPr>
          <w:ilvl w:val="0"/>
          <w:numId w:val="29"/>
        </w:numPr>
        <w:spacing w:after="240" w:line="276" w:lineRule="auto"/>
        <w:ind w:left="357" w:hanging="357"/>
        <w:jc w:val="both"/>
        <w:rPr>
          <w:rFonts w:asciiTheme="minorHAnsi" w:hAnsiTheme="minorHAnsi" w:cstheme="minorHAnsi"/>
          <w:sz w:val="26"/>
          <w:szCs w:val="26"/>
        </w:rPr>
      </w:pPr>
      <w:r w:rsidRPr="00924BEB">
        <w:rPr>
          <w:rFonts w:asciiTheme="minorHAnsi" w:hAnsiTheme="minorHAnsi" w:cstheme="minorHAnsi"/>
          <w:sz w:val="26"/>
          <w:szCs w:val="26"/>
        </w:rPr>
        <w:t xml:space="preserve">pobíralo samostatně vyplácený starobní důchod ve výši </w:t>
      </w:r>
      <w:r w:rsidRPr="00924BEB">
        <w:rPr>
          <w:rFonts w:asciiTheme="minorHAnsi" w:hAnsiTheme="minorHAnsi" w:cstheme="minorHAnsi"/>
          <w:b/>
          <w:sz w:val="26"/>
          <w:szCs w:val="26"/>
        </w:rPr>
        <w:t>do 10 999 Kč</w:t>
      </w:r>
      <w:r w:rsidRPr="00924BEB">
        <w:rPr>
          <w:rFonts w:asciiTheme="minorHAnsi" w:hAnsiTheme="minorHAnsi" w:cstheme="minorHAnsi"/>
          <w:sz w:val="26"/>
          <w:szCs w:val="26"/>
        </w:rPr>
        <w:t xml:space="preserve"> </w:t>
      </w:r>
      <w:r w:rsidRPr="00924BEB">
        <w:rPr>
          <w:rFonts w:asciiTheme="minorHAnsi" w:hAnsiTheme="minorHAnsi" w:cstheme="minorHAnsi"/>
          <w:b/>
          <w:sz w:val="26"/>
          <w:szCs w:val="26"/>
        </w:rPr>
        <w:t>měsíčně 4,3 %</w:t>
      </w:r>
      <w:r w:rsidRPr="00924BEB">
        <w:rPr>
          <w:rFonts w:asciiTheme="minorHAnsi" w:hAnsiTheme="minorHAnsi" w:cstheme="minorHAnsi"/>
          <w:sz w:val="26"/>
          <w:szCs w:val="26"/>
        </w:rPr>
        <w:t xml:space="preserve"> osob (o 3,6 p. b. méně než v červnu 2021), ve výši </w:t>
      </w:r>
      <w:r w:rsidRPr="00924BEB">
        <w:rPr>
          <w:rFonts w:asciiTheme="minorHAnsi" w:hAnsiTheme="minorHAnsi" w:cstheme="minorHAnsi"/>
          <w:b/>
          <w:sz w:val="26"/>
          <w:szCs w:val="26"/>
        </w:rPr>
        <w:t>11 000 – 13 999 Kč</w:t>
      </w:r>
      <w:r w:rsidRPr="00924BEB">
        <w:rPr>
          <w:rFonts w:asciiTheme="minorHAnsi" w:hAnsiTheme="minorHAnsi" w:cstheme="minorHAnsi"/>
          <w:sz w:val="26"/>
          <w:szCs w:val="26"/>
        </w:rPr>
        <w:t xml:space="preserve"> měsíčně </w:t>
      </w:r>
      <w:r w:rsidRPr="00924BEB">
        <w:rPr>
          <w:rFonts w:asciiTheme="minorHAnsi" w:hAnsiTheme="minorHAnsi" w:cstheme="minorHAnsi"/>
          <w:b/>
          <w:sz w:val="26"/>
          <w:szCs w:val="26"/>
        </w:rPr>
        <w:t>12,9 %</w:t>
      </w:r>
      <w:r w:rsidRPr="00924BEB">
        <w:rPr>
          <w:rFonts w:asciiTheme="minorHAnsi" w:hAnsiTheme="minorHAnsi" w:cstheme="minorHAnsi"/>
          <w:sz w:val="26"/>
          <w:szCs w:val="26"/>
        </w:rPr>
        <w:t xml:space="preserve"> (o 13,3</w:t>
      </w:r>
      <w:r w:rsidR="00324A24">
        <w:rPr>
          <w:rFonts w:asciiTheme="minorHAnsi" w:hAnsiTheme="minorHAnsi" w:cstheme="minorHAnsi"/>
          <w:sz w:val="26"/>
          <w:szCs w:val="26"/>
        </w:rPr>
        <w:t> </w:t>
      </w:r>
      <w:r w:rsidRPr="00924BEB">
        <w:rPr>
          <w:rFonts w:asciiTheme="minorHAnsi" w:hAnsiTheme="minorHAnsi" w:cstheme="minorHAnsi"/>
          <w:sz w:val="26"/>
          <w:szCs w:val="26"/>
        </w:rPr>
        <w:t>p. b</w:t>
      </w:r>
      <w:r w:rsidRPr="00324A24">
        <w:rPr>
          <w:rFonts w:asciiTheme="minorHAnsi" w:hAnsiTheme="minorHAnsi" w:cstheme="minorHAnsi"/>
          <w:sz w:val="26"/>
          <w:szCs w:val="26"/>
        </w:rPr>
        <w:t xml:space="preserve">. méně), důchod ve výši </w:t>
      </w:r>
      <w:r w:rsidRPr="00324A24">
        <w:rPr>
          <w:rFonts w:asciiTheme="minorHAnsi" w:hAnsiTheme="minorHAnsi" w:cstheme="minorHAnsi"/>
          <w:b/>
          <w:sz w:val="26"/>
          <w:szCs w:val="26"/>
        </w:rPr>
        <w:t>14 000 – 17 999 Kč</w:t>
      </w:r>
      <w:r w:rsidRPr="00324A24">
        <w:rPr>
          <w:rFonts w:asciiTheme="minorHAnsi" w:hAnsiTheme="minorHAnsi" w:cstheme="minorHAnsi"/>
          <w:sz w:val="26"/>
          <w:szCs w:val="26"/>
        </w:rPr>
        <w:t xml:space="preserve"> mělo </w:t>
      </w:r>
      <w:r w:rsidRPr="00324A24">
        <w:rPr>
          <w:rFonts w:asciiTheme="minorHAnsi" w:hAnsiTheme="minorHAnsi" w:cstheme="minorHAnsi"/>
          <w:b/>
          <w:sz w:val="26"/>
          <w:szCs w:val="26"/>
        </w:rPr>
        <w:t>42,0 %</w:t>
      </w:r>
      <w:r w:rsidRPr="00324A24">
        <w:rPr>
          <w:rFonts w:asciiTheme="minorHAnsi" w:hAnsiTheme="minorHAnsi" w:cstheme="minorHAnsi"/>
          <w:sz w:val="26"/>
          <w:szCs w:val="26"/>
        </w:rPr>
        <w:t xml:space="preserve"> důchodců (o</w:t>
      </w:r>
      <w:r w:rsidR="00324A24" w:rsidRPr="00324A24">
        <w:rPr>
          <w:rFonts w:asciiTheme="minorHAnsi" w:hAnsiTheme="minorHAnsi" w:cstheme="minorHAnsi"/>
          <w:sz w:val="26"/>
          <w:szCs w:val="26"/>
        </w:rPr>
        <w:t> </w:t>
      </w:r>
      <w:r w:rsidRPr="00324A24">
        <w:rPr>
          <w:rFonts w:asciiTheme="minorHAnsi" w:hAnsiTheme="minorHAnsi" w:cstheme="minorHAnsi"/>
          <w:sz w:val="26"/>
          <w:szCs w:val="26"/>
        </w:rPr>
        <w:t xml:space="preserve">4,4 p. b. méně), </w:t>
      </w:r>
      <w:r w:rsidRPr="00324A24">
        <w:rPr>
          <w:rFonts w:asciiTheme="minorHAnsi" w:hAnsiTheme="minorHAnsi" w:cstheme="minorHAnsi"/>
          <w:b/>
          <w:sz w:val="26"/>
          <w:szCs w:val="26"/>
        </w:rPr>
        <w:t>více než 18</w:t>
      </w:r>
      <w:r w:rsidR="00324A24" w:rsidRPr="00324A24">
        <w:rPr>
          <w:rFonts w:asciiTheme="minorHAnsi" w:hAnsiTheme="minorHAnsi" w:cstheme="minorHAnsi"/>
          <w:b/>
          <w:sz w:val="26"/>
          <w:szCs w:val="26"/>
        </w:rPr>
        <w:t> </w:t>
      </w:r>
      <w:r w:rsidRPr="00324A24">
        <w:rPr>
          <w:rFonts w:asciiTheme="minorHAnsi" w:hAnsiTheme="minorHAnsi" w:cstheme="minorHAnsi"/>
          <w:b/>
          <w:sz w:val="26"/>
          <w:szCs w:val="26"/>
        </w:rPr>
        <w:t>000</w:t>
      </w:r>
      <w:r w:rsidR="00324A24" w:rsidRPr="00324A24">
        <w:rPr>
          <w:rFonts w:asciiTheme="minorHAnsi" w:hAnsiTheme="minorHAnsi" w:cstheme="minorHAnsi"/>
          <w:b/>
          <w:sz w:val="26"/>
          <w:szCs w:val="26"/>
        </w:rPr>
        <w:t> </w:t>
      </w:r>
      <w:r w:rsidRPr="00324A24">
        <w:rPr>
          <w:rFonts w:asciiTheme="minorHAnsi" w:hAnsiTheme="minorHAnsi" w:cstheme="minorHAnsi"/>
          <w:b/>
          <w:sz w:val="26"/>
          <w:szCs w:val="26"/>
        </w:rPr>
        <w:t>Kč</w:t>
      </w:r>
      <w:r w:rsidRPr="00324A24">
        <w:rPr>
          <w:rFonts w:asciiTheme="minorHAnsi" w:hAnsiTheme="minorHAnsi" w:cstheme="minorHAnsi"/>
          <w:sz w:val="26"/>
          <w:szCs w:val="26"/>
        </w:rPr>
        <w:t xml:space="preserve"> pobíralo </w:t>
      </w:r>
      <w:r w:rsidRPr="00324A24">
        <w:rPr>
          <w:rFonts w:asciiTheme="minorHAnsi" w:hAnsiTheme="minorHAnsi" w:cstheme="minorHAnsi"/>
          <w:b/>
          <w:sz w:val="26"/>
          <w:szCs w:val="26"/>
        </w:rPr>
        <w:t>40,8 %</w:t>
      </w:r>
      <w:r w:rsidRPr="00324A24">
        <w:rPr>
          <w:rFonts w:asciiTheme="minorHAnsi" w:hAnsiTheme="minorHAnsi" w:cstheme="minorHAnsi"/>
          <w:sz w:val="26"/>
          <w:szCs w:val="26"/>
        </w:rPr>
        <w:t xml:space="preserve"> důchodců (o 21,3 p. b. více).</w:t>
      </w:r>
    </w:p>
    <w:p w14:paraId="4D76B1A7" w14:textId="217DD281" w:rsidR="00ED4155" w:rsidRDefault="00ED4155" w:rsidP="00ED4155">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Vývoj počtu důchodců v posledních deseti letech a podíl starobních důchodců na jejich počtu ukazuje následující graf:</w:t>
      </w:r>
    </w:p>
    <w:p w14:paraId="7301581B" w14:textId="77777777" w:rsidR="00324A24" w:rsidRPr="00324A24" w:rsidRDefault="00324A24" w:rsidP="00ED4155">
      <w:pPr>
        <w:spacing w:after="120" w:line="360" w:lineRule="auto"/>
        <w:jc w:val="both"/>
        <w:rPr>
          <w:rFonts w:asciiTheme="minorHAnsi" w:hAnsiTheme="minorHAnsi" w:cstheme="minorHAnsi"/>
          <w:sz w:val="26"/>
          <w:szCs w:val="26"/>
        </w:rPr>
      </w:pPr>
    </w:p>
    <w:p w14:paraId="5D8A23C4" w14:textId="77777777" w:rsidR="00ED4155" w:rsidRPr="004A3528" w:rsidRDefault="00ED4155" w:rsidP="00ED4155">
      <w:pPr>
        <w:spacing w:line="360" w:lineRule="auto"/>
        <w:jc w:val="both"/>
        <w:rPr>
          <w:rFonts w:asciiTheme="minorHAnsi" w:hAnsiTheme="minorHAnsi" w:cstheme="minorHAnsi"/>
          <w:color w:val="FF0000"/>
          <w:sz w:val="26"/>
          <w:szCs w:val="26"/>
        </w:rPr>
      </w:pPr>
      <w:r w:rsidRPr="0037146F">
        <w:rPr>
          <w:rFonts w:ascii="Calibri" w:eastAsia="Calibri" w:hAnsi="Calibri"/>
          <w:noProof/>
          <w:sz w:val="22"/>
          <w:szCs w:val="22"/>
          <w:lang w:eastAsia="en-US"/>
        </w:rPr>
        <w:drawing>
          <wp:inline distT="0" distB="0" distL="0" distR="0" wp14:anchorId="794EF050" wp14:editId="64662EB0">
            <wp:extent cx="5759450" cy="4038330"/>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038330"/>
                    </a:xfrm>
                    <a:prstGeom prst="rect">
                      <a:avLst/>
                    </a:prstGeom>
                    <a:noFill/>
                  </pic:spPr>
                </pic:pic>
              </a:graphicData>
            </a:graphic>
          </wp:inline>
        </w:drawing>
      </w:r>
    </w:p>
    <w:p w14:paraId="178AF6B7" w14:textId="77777777" w:rsidR="00ED4155" w:rsidRPr="0037146F" w:rsidRDefault="00ED4155" w:rsidP="00ED4155">
      <w:pPr>
        <w:spacing w:line="360" w:lineRule="auto"/>
        <w:jc w:val="both"/>
        <w:rPr>
          <w:rFonts w:asciiTheme="minorHAnsi" w:hAnsiTheme="minorHAnsi" w:cstheme="minorHAnsi"/>
          <w:sz w:val="22"/>
          <w:szCs w:val="22"/>
        </w:rPr>
      </w:pPr>
      <w:r w:rsidRPr="0037146F">
        <w:rPr>
          <w:rFonts w:asciiTheme="minorHAnsi" w:hAnsiTheme="minorHAnsi" w:cstheme="minorHAnsi"/>
          <w:sz w:val="22"/>
          <w:szCs w:val="22"/>
        </w:rPr>
        <w:t>Zpracováno z údajů ČSSZ</w:t>
      </w:r>
    </w:p>
    <w:p w14:paraId="0AD2F4C8" w14:textId="5BA99BC6" w:rsidR="00ED4155" w:rsidRPr="00324A24" w:rsidRDefault="00ED4155" w:rsidP="00044BD5">
      <w:pPr>
        <w:spacing w:after="120" w:line="360" w:lineRule="auto"/>
        <w:jc w:val="both"/>
        <w:rPr>
          <w:rFonts w:asciiTheme="minorHAnsi" w:hAnsiTheme="minorHAnsi" w:cstheme="minorHAnsi"/>
          <w:sz w:val="26"/>
          <w:szCs w:val="26"/>
        </w:rPr>
      </w:pPr>
      <w:r w:rsidRPr="007D0A4A">
        <w:rPr>
          <w:rFonts w:asciiTheme="minorHAnsi" w:hAnsiTheme="minorHAnsi" w:cstheme="minorHAnsi"/>
          <w:sz w:val="26"/>
          <w:szCs w:val="26"/>
        </w:rPr>
        <w:lastRenderedPageBreak/>
        <w:tab/>
        <w:t xml:space="preserve">Na </w:t>
      </w:r>
      <w:r w:rsidRPr="007D0A4A">
        <w:rPr>
          <w:rFonts w:asciiTheme="minorHAnsi" w:hAnsiTheme="minorHAnsi" w:cstheme="minorHAnsi"/>
          <w:b/>
          <w:sz w:val="26"/>
          <w:szCs w:val="26"/>
          <w:u w:val="single"/>
        </w:rPr>
        <w:t>dávkách státní sociální podpory, pěstounské péče a náhradního výživného</w:t>
      </w:r>
      <w:r w:rsidRPr="007D0A4A">
        <w:rPr>
          <w:rFonts w:asciiTheme="minorHAnsi" w:hAnsiTheme="minorHAnsi" w:cstheme="minorHAnsi"/>
          <w:sz w:val="26"/>
          <w:szCs w:val="26"/>
        </w:rPr>
        <w:t xml:space="preserve"> bylo v 1. pololetí 2022 vyplaceno </w:t>
      </w:r>
      <w:r w:rsidRPr="007D0A4A">
        <w:rPr>
          <w:rFonts w:asciiTheme="minorHAnsi" w:hAnsiTheme="minorHAnsi" w:cstheme="minorHAnsi"/>
          <w:b/>
          <w:sz w:val="26"/>
          <w:szCs w:val="26"/>
        </w:rPr>
        <w:t>24,4 mld. Kč</w:t>
      </w:r>
      <w:r w:rsidRPr="007D0A4A">
        <w:rPr>
          <w:rFonts w:asciiTheme="minorHAnsi" w:hAnsiTheme="minorHAnsi" w:cstheme="minorHAnsi"/>
          <w:sz w:val="26"/>
          <w:szCs w:val="26"/>
        </w:rPr>
        <w:t xml:space="preserve"> a jejich podíl na celkových sociálních </w:t>
      </w:r>
      <w:r w:rsidRPr="00324A24">
        <w:rPr>
          <w:rFonts w:asciiTheme="minorHAnsi" w:hAnsiTheme="minorHAnsi" w:cstheme="minorHAnsi"/>
          <w:sz w:val="26"/>
          <w:szCs w:val="26"/>
        </w:rPr>
        <w:t xml:space="preserve">příjmech obyvatel činil 6,9 %. V hodnoceném období bylo touto formou vyplaceno meziročně </w:t>
      </w:r>
      <w:r w:rsidRPr="00324A24">
        <w:rPr>
          <w:rFonts w:asciiTheme="minorHAnsi" w:hAnsiTheme="minorHAnsi" w:cstheme="minorHAnsi"/>
          <w:b/>
          <w:sz w:val="26"/>
          <w:szCs w:val="26"/>
        </w:rPr>
        <w:t>o 1,3 %</w:t>
      </w:r>
      <w:r w:rsidRPr="00324A24">
        <w:rPr>
          <w:rFonts w:asciiTheme="minorHAnsi" w:hAnsiTheme="minorHAnsi" w:cstheme="minorHAnsi"/>
          <w:sz w:val="26"/>
          <w:szCs w:val="26"/>
        </w:rPr>
        <w:t xml:space="preserve"> (o 327,9 mil. Kč) </w:t>
      </w:r>
      <w:r w:rsidRPr="00324A24">
        <w:rPr>
          <w:rFonts w:asciiTheme="minorHAnsi" w:hAnsiTheme="minorHAnsi" w:cstheme="minorHAnsi"/>
          <w:b/>
          <w:sz w:val="26"/>
          <w:szCs w:val="26"/>
        </w:rPr>
        <w:t>méně</w:t>
      </w:r>
      <w:r w:rsidRPr="00324A24">
        <w:rPr>
          <w:rFonts w:asciiTheme="minorHAnsi" w:hAnsiTheme="minorHAnsi" w:cstheme="minorHAnsi"/>
          <w:sz w:val="26"/>
          <w:szCs w:val="26"/>
        </w:rPr>
        <w:t xml:space="preserve"> finančních prostředků než ve stejném období předchozího roku – viz tabulky č. 8 a 10 v příloze.</w:t>
      </w:r>
    </w:p>
    <w:p w14:paraId="5A0565DC" w14:textId="77777777" w:rsidR="00ED4155" w:rsidRPr="0080146E" w:rsidRDefault="00ED4155" w:rsidP="00ED4155">
      <w:pPr>
        <w:spacing w:line="360" w:lineRule="auto"/>
        <w:jc w:val="both"/>
        <w:rPr>
          <w:rFonts w:asciiTheme="minorHAnsi" w:hAnsiTheme="minorHAnsi" w:cstheme="minorHAnsi"/>
          <w:sz w:val="26"/>
          <w:szCs w:val="26"/>
        </w:rPr>
      </w:pPr>
      <w:r w:rsidRPr="00FE6CF9">
        <w:rPr>
          <w:rFonts w:ascii="Calibri" w:eastAsia="Calibri" w:hAnsi="Calibri"/>
          <w:noProof/>
          <w:sz w:val="22"/>
          <w:szCs w:val="22"/>
          <w:lang w:eastAsia="en-US"/>
        </w:rPr>
        <w:drawing>
          <wp:inline distT="0" distB="0" distL="0" distR="0" wp14:anchorId="3F19F911" wp14:editId="6274E6ED">
            <wp:extent cx="5759450" cy="372223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722231"/>
                    </a:xfrm>
                    <a:prstGeom prst="rect">
                      <a:avLst/>
                    </a:prstGeom>
                    <a:noFill/>
                  </pic:spPr>
                </pic:pic>
              </a:graphicData>
            </a:graphic>
          </wp:inline>
        </w:drawing>
      </w:r>
    </w:p>
    <w:p w14:paraId="1C219485" w14:textId="77777777" w:rsidR="00ED4155" w:rsidRPr="0080146E" w:rsidRDefault="00ED4155" w:rsidP="00ED4155">
      <w:pPr>
        <w:spacing w:line="360" w:lineRule="auto"/>
        <w:jc w:val="both"/>
        <w:rPr>
          <w:rFonts w:asciiTheme="minorHAnsi" w:hAnsiTheme="minorHAnsi" w:cstheme="minorHAnsi"/>
          <w:sz w:val="22"/>
          <w:szCs w:val="22"/>
        </w:rPr>
      </w:pPr>
      <w:r w:rsidRPr="0080146E">
        <w:rPr>
          <w:rFonts w:asciiTheme="minorHAnsi" w:hAnsiTheme="minorHAnsi" w:cstheme="minorHAnsi"/>
          <w:sz w:val="22"/>
          <w:szCs w:val="22"/>
        </w:rPr>
        <w:t>Zpracováno z údajů MPSV (</w:t>
      </w:r>
      <w:proofErr w:type="spellStart"/>
      <w:r w:rsidRPr="0080146E">
        <w:rPr>
          <w:rFonts w:asciiTheme="minorHAnsi" w:hAnsiTheme="minorHAnsi" w:cstheme="minorHAnsi"/>
          <w:sz w:val="22"/>
          <w:szCs w:val="22"/>
        </w:rPr>
        <w:t>Okstat</w:t>
      </w:r>
      <w:proofErr w:type="spellEnd"/>
      <w:r w:rsidRPr="0080146E">
        <w:rPr>
          <w:rFonts w:asciiTheme="minorHAnsi" w:hAnsiTheme="minorHAnsi" w:cstheme="minorHAnsi"/>
          <w:sz w:val="22"/>
          <w:szCs w:val="22"/>
        </w:rPr>
        <w:t>)</w:t>
      </w:r>
    </w:p>
    <w:p w14:paraId="4F4B85DC" w14:textId="77777777" w:rsidR="00ED4155" w:rsidRPr="0080146E" w:rsidRDefault="00ED4155" w:rsidP="00DA50E3">
      <w:pPr>
        <w:jc w:val="both"/>
        <w:rPr>
          <w:rFonts w:asciiTheme="minorHAnsi" w:hAnsiTheme="minorHAnsi" w:cstheme="minorHAnsi"/>
          <w:sz w:val="26"/>
          <w:szCs w:val="26"/>
        </w:rPr>
      </w:pPr>
    </w:p>
    <w:p w14:paraId="1F5B3712" w14:textId="15C01157" w:rsidR="00ED4155" w:rsidRPr="0080146E" w:rsidRDefault="00ED4155" w:rsidP="00DA50E3">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 xml:space="preserve">Jak ukazuje výše uvedený graf, byl v 1. pololetí 2022 rozhodující dávkou tohoto systému </w:t>
      </w:r>
      <w:r w:rsidRPr="00324A24">
        <w:rPr>
          <w:rFonts w:asciiTheme="minorHAnsi" w:hAnsiTheme="minorHAnsi" w:cstheme="minorHAnsi"/>
          <w:b/>
          <w:sz w:val="26"/>
          <w:szCs w:val="26"/>
        </w:rPr>
        <w:t>rodičovský příspěvek</w:t>
      </w:r>
      <w:r w:rsidRPr="00324A24">
        <w:rPr>
          <w:rFonts w:asciiTheme="minorHAnsi" w:hAnsiTheme="minorHAnsi" w:cstheme="minorHAnsi"/>
          <w:sz w:val="26"/>
          <w:szCs w:val="26"/>
        </w:rPr>
        <w:t xml:space="preserve"> (s podílem 68,7 % na celkovém objemu těchto dávek). </w:t>
      </w:r>
      <w:r w:rsidRPr="00324A24">
        <w:rPr>
          <w:rFonts w:asciiTheme="minorHAnsi" w:hAnsiTheme="minorHAnsi" w:cstheme="minorHAnsi"/>
          <w:b/>
          <w:sz w:val="26"/>
          <w:szCs w:val="26"/>
        </w:rPr>
        <w:t>Výdaje</w:t>
      </w:r>
      <w:r w:rsidRPr="00324A24">
        <w:rPr>
          <w:rFonts w:asciiTheme="minorHAnsi" w:hAnsiTheme="minorHAnsi" w:cstheme="minorHAnsi"/>
          <w:sz w:val="26"/>
          <w:szCs w:val="26"/>
        </w:rPr>
        <w:t xml:space="preserve"> na něj činily </w:t>
      </w:r>
      <w:r w:rsidRPr="00324A24">
        <w:rPr>
          <w:rFonts w:asciiTheme="minorHAnsi" w:hAnsiTheme="minorHAnsi" w:cstheme="minorHAnsi"/>
          <w:b/>
          <w:sz w:val="26"/>
          <w:szCs w:val="26"/>
        </w:rPr>
        <w:t>16,8 mld. Kč</w:t>
      </w:r>
      <w:r w:rsidRPr="00324A24">
        <w:rPr>
          <w:rFonts w:asciiTheme="minorHAnsi" w:hAnsiTheme="minorHAnsi" w:cstheme="minorHAnsi"/>
          <w:sz w:val="26"/>
          <w:szCs w:val="26"/>
        </w:rPr>
        <w:t xml:space="preserve"> – </w:t>
      </w:r>
      <w:r w:rsidRPr="00324A24">
        <w:rPr>
          <w:rFonts w:asciiTheme="minorHAnsi" w:hAnsiTheme="minorHAnsi" w:cstheme="minorHAnsi"/>
          <w:b/>
          <w:sz w:val="26"/>
          <w:szCs w:val="26"/>
        </w:rPr>
        <w:t>o</w:t>
      </w:r>
      <w:r w:rsidRPr="00324A24">
        <w:rPr>
          <w:rFonts w:asciiTheme="minorHAnsi" w:hAnsiTheme="minorHAnsi" w:cstheme="minorHAnsi"/>
          <w:sz w:val="26"/>
          <w:szCs w:val="26"/>
        </w:rPr>
        <w:t xml:space="preserve"> </w:t>
      </w:r>
      <w:r w:rsidRPr="00324A24">
        <w:rPr>
          <w:rFonts w:asciiTheme="minorHAnsi" w:hAnsiTheme="minorHAnsi" w:cstheme="minorHAnsi"/>
          <w:b/>
          <w:sz w:val="26"/>
          <w:szCs w:val="26"/>
        </w:rPr>
        <w:t>7,2 % méně</w:t>
      </w:r>
      <w:r w:rsidRPr="00324A24">
        <w:rPr>
          <w:rFonts w:asciiTheme="minorHAnsi" w:hAnsiTheme="minorHAnsi" w:cstheme="minorHAnsi"/>
          <w:sz w:val="26"/>
          <w:szCs w:val="26"/>
        </w:rPr>
        <w:t xml:space="preserve"> než v 1. pololetí 2021. </w:t>
      </w:r>
      <w:bookmarkStart w:id="2" w:name="_Hlk83800468"/>
      <w:r w:rsidRPr="00324A24">
        <w:rPr>
          <w:rFonts w:asciiTheme="minorHAnsi" w:hAnsiTheme="minorHAnsi" w:cstheme="minorHAnsi"/>
          <w:sz w:val="26"/>
          <w:szCs w:val="26"/>
        </w:rPr>
        <w:t xml:space="preserve">Průměrný počet měsíčně poskytovaných rodičovských příspěvků se snížil o 5,9 %, tj. o 17,9 tis. </w:t>
      </w:r>
      <w:r w:rsidR="00A7254D" w:rsidRPr="0080146E">
        <w:rPr>
          <w:rFonts w:asciiTheme="minorHAnsi" w:hAnsiTheme="minorHAnsi" w:cstheme="minorHAnsi"/>
          <w:sz w:val="26"/>
          <w:szCs w:val="26"/>
        </w:rPr>
        <w:t>n</w:t>
      </w:r>
      <w:r w:rsidRPr="0080146E">
        <w:rPr>
          <w:rFonts w:asciiTheme="minorHAnsi" w:hAnsiTheme="minorHAnsi" w:cstheme="minorHAnsi"/>
          <w:sz w:val="26"/>
          <w:szCs w:val="26"/>
        </w:rPr>
        <w:t>a</w:t>
      </w:r>
      <w:r w:rsidR="00324A24" w:rsidRPr="0080146E">
        <w:rPr>
          <w:rFonts w:asciiTheme="minorHAnsi" w:hAnsiTheme="minorHAnsi" w:cstheme="minorHAnsi"/>
          <w:sz w:val="26"/>
          <w:szCs w:val="26"/>
        </w:rPr>
        <w:t> </w:t>
      </w:r>
      <w:r w:rsidRPr="0080146E">
        <w:rPr>
          <w:rFonts w:asciiTheme="minorHAnsi" w:hAnsiTheme="minorHAnsi" w:cstheme="minorHAnsi"/>
          <w:b/>
          <w:sz w:val="26"/>
          <w:szCs w:val="26"/>
        </w:rPr>
        <w:t>287,0 tis</w:t>
      </w:r>
      <w:r w:rsidRPr="0080146E">
        <w:rPr>
          <w:rFonts w:asciiTheme="minorHAnsi" w:hAnsiTheme="minorHAnsi" w:cstheme="minorHAnsi"/>
          <w:sz w:val="26"/>
          <w:szCs w:val="26"/>
        </w:rPr>
        <w:t xml:space="preserve">. </w:t>
      </w:r>
      <w:r w:rsidRPr="0080146E">
        <w:rPr>
          <w:rFonts w:asciiTheme="minorHAnsi" w:hAnsiTheme="minorHAnsi" w:cstheme="minorHAnsi"/>
          <w:b/>
          <w:sz w:val="26"/>
          <w:szCs w:val="26"/>
        </w:rPr>
        <w:t>V červnu 2022</w:t>
      </w:r>
      <w:r w:rsidRPr="0080146E">
        <w:rPr>
          <w:rFonts w:asciiTheme="minorHAnsi" w:hAnsiTheme="minorHAnsi" w:cstheme="minorHAnsi"/>
          <w:sz w:val="26"/>
          <w:szCs w:val="26"/>
        </w:rPr>
        <w:t xml:space="preserve"> bylo vyplaceno 98,2 </w:t>
      </w:r>
      <w:r w:rsidRPr="0080146E">
        <w:rPr>
          <w:rFonts w:asciiTheme="minorHAnsi" w:hAnsiTheme="minorHAnsi" w:cstheme="minorHAnsi"/>
          <w:b/>
          <w:sz w:val="26"/>
          <w:szCs w:val="26"/>
        </w:rPr>
        <w:t>%</w:t>
      </w:r>
      <w:r w:rsidRPr="0080146E">
        <w:rPr>
          <w:rFonts w:asciiTheme="minorHAnsi" w:hAnsiTheme="minorHAnsi" w:cstheme="minorHAnsi"/>
          <w:sz w:val="26"/>
          <w:szCs w:val="26"/>
        </w:rPr>
        <w:t xml:space="preserve"> rodičovských příspěvků </w:t>
      </w:r>
      <w:r w:rsidRPr="0080146E">
        <w:rPr>
          <w:rFonts w:asciiTheme="minorHAnsi" w:hAnsiTheme="minorHAnsi" w:cstheme="minorHAnsi"/>
          <w:b/>
          <w:sz w:val="26"/>
          <w:szCs w:val="26"/>
        </w:rPr>
        <w:t>ženám</w:t>
      </w:r>
      <w:r w:rsidRPr="0080146E">
        <w:rPr>
          <w:rFonts w:asciiTheme="minorHAnsi" w:hAnsiTheme="minorHAnsi" w:cstheme="minorHAnsi"/>
          <w:sz w:val="26"/>
          <w:szCs w:val="26"/>
        </w:rPr>
        <w:t>.</w:t>
      </w:r>
      <w:bookmarkEnd w:id="2"/>
    </w:p>
    <w:p w14:paraId="597A09D6" w14:textId="7C9AC06B" w:rsidR="00324A24" w:rsidRDefault="00ED4155" w:rsidP="00324A24">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 xml:space="preserve">Naopak </w:t>
      </w:r>
      <w:r w:rsidRPr="00324A24">
        <w:rPr>
          <w:rFonts w:asciiTheme="minorHAnsi" w:hAnsiTheme="minorHAnsi" w:cstheme="minorHAnsi"/>
          <w:b/>
          <w:bCs/>
          <w:sz w:val="26"/>
          <w:szCs w:val="26"/>
        </w:rPr>
        <w:t xml:space="preserve">nárůst </w:t>
      </w:r>
      <w:r w:rsidRPr="00324A24">
        <w:rPr>
          <w:rFonts w:asciiTheme="minorHAnsi" w:hAnsiTheme="minorHAnsi" w:cstheme="minorHAnsi"/>
          <w:sz w:val="26"/>
          <w:szCs w:val="26"/>
        </w:rPr>
        <w:t xml:space="preserve">byl zaznamenán </w:t>
      </w:r>
      <w:r w:rsidRPr="00324A24">
        <w:rPr>
          <w:rFonts w:asciiTheme="minorHAnsi" w:hAnsiTheme="minorHAnsi" w:cstheme="minorHAnsi"/>
          <w:b/>
          <w:sz w:val="26"/>
          <w:szCs w:val="26"/>
        </w:rPr>
        <w:t>u příspěvku na bydlení</w:t>
      </w:r>
      <w:r w:rsidRPr="00324A24">
        <w:rPr>
          <w:rFonts w:asciiTheme="minorHAnsi" w:hAnsiTheme="minorHAnsi" w:cstheme="minorHAnsi"/>
          <w:sz w:val="26"/>
          <w:szCs w:val="26"/>
        </w:rPr>
        <w:t xml:space="preserve"> (15,7 % podíl na celkové </w:t>
      </w:r>
      <w:r w:rsidRPr="00FA74EB">
        <w:rPr>
          <w:rFonts w:asciiTheme="minorHAnsi" w:hAnsiTheme="minorHAnsi" w:cstheme="minorHAnsi"/>
          <w:sz w:val="26"/>
          <w:szCs w:val="26"/>
        </w:rPr>
        <w:t xml:space="preserve">výši výdajů na dávky státní sociální podpory, dávky pěstounské péče a náhradní výživné). </w:t>
      </w:r>
      <w:r w:rsidRPr="004A5D7B">
        <w:rPr>
          <w:rFonts w:asciiTheme="minorHAnsi" w:hAnsiTheme="minorHAnsi" w:cstheme="minorHAnsi"/>
          <w:sz w:val="26"/>
          <w:szCs w:val="26"/>
        </w:rPr>
        <w:t xml:space="preserve">Ve sledovaném období na něj bylo vynaloženo </w:t>
      </w:r>
      <w:r w:rsidRPr="004A5D7B">
        <w:rPr>
          <w:rFonts w:asciiTheme="minorHAnsi" w:hAnsiTheme="minorHAnsi" w:cstheme="minorHAnsi"/>
          <w:b/>
          <w:sz w:val="26"/>
          <w:szCs w:val="26"/>
        </w:rPr>
        <w:t>3,8 mld. Kč</w:t>
      </w:r>
      <w:r w:rsidRPr="004A5D7B">
        <w:rPr>
          <w:rFonts w:asciiTheme="minorHAnsi" w:hAnsiTheme="minorHAnsi" w:cstheme="minorHAnsi"/>
          <w:sz w:val="26"/>
          <w:szCs w:val="26"/>
        </w:rPr>
        <w:t xml:space="preserve"> – </w:t>
      </w:r>
      <w:r w:rsidRPr="004A5D7B">
        <w:rPr>
          <w:rFonts w:asciiTheme="minorHAnsi" w:hAnsiTheme="minorHAnsi" w:cstheme="minorHAnsi"/>
          <w:b/>
          <w:sz w:val="26"/>
          <w:szCs w:val="26"/>
        </w:rPr>
        <w:t xml:space="preserve">o 10,2 % </w:t>
      </w:r>
      <w:r w:rsidRPr="00493042">
        <w:rPr>
          <w:rFonts w:asciiTheme="minorHAnsi" w:hAnsiTheme="minorHAnsi" w:cstheme="minorHAnsi"/>
          <w:b/>
          <w:sz w:val="26"/>
          <w:szCs w:val="26"/>
        </w:rPr>
        <w:t>více při nepatrném zvýšení počtu</w:t>
      </w:r>
      <w:r w:rsidRPr="00493042">
        <w:rPr>
          <w:rFonts w:asciiTheme="minorHAnsi" w:hAnsiTheme="minorHAnsi" w:cstheme="minorHAnsi"/>
          <w:sz w:val="26"/>
          <w:szCs w:val="26"/>
        </w:rPr>
        <w:t xml:space="preserve"> v průměru měsíčně vyplácených </w:t>
      </w:r>
      <w:r w:rsidRPr="00493042">
        <w:rPr>
          <w:rFonts w:asciiTheme="minorHAnsi" w:hAnsiTheme="minorHAnsi" w:cstheme="minorHAnsi"/>
          <w:b/>
          <w:sz w:val="26"/>
          <w:szCs w:val="26"/>
        </w:rPr>
        <w:t>dávek</w:t>
      </w:r>
      <w:r w:rsidRPr="00493042">
        <w:rPr>
          <w:rFonts w:asciiTheme="minorHAnsi" w:hAnsiTheme="minorHAnsi" w:cstheme="minorHAnsi"/>
          <w:sz w:val="26"/>
          <w:szCs w:val="26"/>
        </w:rPr>
        <w:t xml:space="preserve"> (o 0,1 %, tj. o 0,1 tis.) na </w:t>
      </w:r>
      <w:r w:rsidRPr="00C94402">
        <w:rPr>
          <w:rFonts w:asciiTheme="minorHAnsi" w:hAnsiTheme="minorHAnsi" w:cstheme="minorHAnsi"/>
          <w:sz w:val="26"/>
          <w:szCs w:val="26"/>
        </w:rPr>
        <w:t>154,6 tis., jejichž průměrná výše vzrostla o 11,4 %, tj. z 3 728 Kč na 4 151 Kč.</w:t>
      </w:r>
    </w:p>
    <w:p w14:paraId="3813E75A" w14:textId="4E41EAD3" w:rsidR="00ED4155" w:rsidRPr="00324A24" w:rsidRDefault="00324A24" w:rsidP="00324A24">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lastRenderedPageBreak/>
        <w:tab/>
      </w:r>
      <w:r w:rsidR="00ED4155" w:rsidRPr="00E657D3">
        <w:rPr>
          <w:rFonts w:asciiTheme="minorHAnsi" w:hAnsiTheme="minorHAnsi" w:cstheme="minorHAnsi"/>
          <w:sz w:val="26"/>
          <w:szCs w:val="26"/>
        </w:rPr>
        <w:t xml:space="preserve">Na </w:t>
      </w:r>
      <w:r w:rsidR="00ED4155" w:rsidRPr="00E657D3">
        <w:rPr>
          <w:rFonts w:asciiTheme="minorHAnsi" w:hAnsiTheme="minorHAnsi" w:cstheme="minorHAnsi"/>
          <w:b/>
          <w:sz w:val="26"/>
          <w:szCs w:val="26"/>
        </w:rPr>
        <w:t>dávky pěstounské péče</w:t>
      </w:r>
      <w:r w:rsidR="00ED4155" w:rsidRPr="00E657D3">
        <w:rPr>
          <w:rFonts w:asciiTheme="minorHAnsi" w:hAnsiTheme="minorHAnsi" w:cstheme="minorHAnsi"/>
          <w:sz w:val="26"/>
          <w:szCs w:val="26"/>
        </w:rPr>
        <w:t xml:space="preserve"> bylo vynaloženo </w:t>
      </w:r>
      <w:r w:rsidR="00ED4155" w:rsidRPr="00E657D3">
        <w:rPr>
          <w:rFonts w:asciiTheme="minorHAnsi" w:hAnsiTheme="minorHAnsi" w:cstheme="minorHAnsi"/>
          <w:b/>
          <w:sz w:val="26"/>
          <w:szCs w:val="26"/>
        </w:rPr>
        <w:t>o 2,3 %</w:t>
      </w:r>
      <w:r w:rsidR="00ED4155" w:rsidRPr="00E657D3">
        <w:rPr>
          <w:rFonts w:asciiTheme="minorHAnsi" w:hAnsiTheme="minorHAnsi" w:cstheme="minorHAnsi"/>
          <w:sz w:val="26"/>
          <w:szCs w:val="26"/>
        </w:rPr>
        <w:t xml:space="preserve"> (o 47,7 mil. Kč) meziročně </w:t>
      </w:r>
      <w:r w:rsidR="00ED4155" w:rsidRPr="00E657D3">
        <w:rPr>
          <w:rFonts w:asciiTheme="minorHAnsi" w:hAnsiTheme="minorHAnsi" w:cstheme="minorHAnsi"/>
          <w:b/>
          <w:sz w:val="26"/>
          <w:szCs w:val="26"/>
        </w:rPr>
        <w:t>méně</w:t>
      </w:r>
      <w:r w:rsidR="00ED4155" w:rsidRPr="00E657D3">
        <w:rPr>
          <w:rFonts w:asciiTheme="minorHAnsi" w:hAnsiTheme="minorHAnsi" w:cstheme="minorHAnsi"/>
          <w:sz w:val="26"/>
          <w:szCs w:val="26"/>
        </w:rPr>
        <w:t xml:space="preserve">, tedy </w:t>
      </w:r>
      <w:r w:rsidR="00ED4155" w:rsidRPr="00E657D3">
        <w:rPr>
          <w:rFonts w:asciiTheme="minorHAnsi" w:hAnsiTheme="minorHAnsi" w:cstheme="minorHAnsi"/>
          <w:b/>
          <w:sz w:val="26"/>
          <w:szCs w:val="26"/>
        </w:rPr>
        <w:t>2,0 mld. Kč</w:t>
      </w:r>
      <w:r w:rsidR="00ED4155" w:rsidRPr="003F4C37">
        <w:rPr>
          <w:rFonts w:asciiTheme="minorHAnsi" w:hAnsiTheme="minorHAnsi" w:cstheme="minorHAnsi"/>
          <w:sz w:val="26"/>
          <w:szCs w:val="26"/>
        </w:rPr>
        <w:t xml:space="preserve">. </w:t>
      </w:r>
      <w:r w:rsidR="00ED4155" w:rsidRPr="00324A24">
        <w:rPr>
          <w:rFonts w:asciiTheme="minorHAnsi" w:hAnsiTheme="minorHAnsi" w:cstheme="minorHAnsi"/>
          <w:sz w:val="26"/>
          <w:szCs w:val="26"/>
        </w:rPr>
        <w:t xml:space="preserve">Průměrný počet vyplacených dávek vzrostl o 15,7 % </w:t>
      </w:r>
      <w:r w:rsidR="00ED4155" w:rsidRPr="00324A24">
        <w:rPr>
          <w:rFonts w:asciiTheme="minorHAnsi" w:hAnsiTheme="minorHAnsi" w:cstheme="minorHAnsi"/>
          <w:b/>
          <w:sz w:val="26"/>
          <w:szCs w:val="26"/>
        </w:rPr>
        <w:t>na 36,1 tis</w:t>
      </w:r>
      <w:r w:rsidR="00ED4155" w:rsidRPr="00324A24">
        <w:rPr>
          <w:rFonts w:asciiTheme="minorHAnsi" w:hAnsiTheme="minorHAnsi" w:cstheme="minorHAnsi"/>
          <w:sz w:val="26"/>
          <w:szCs w:val="26"/>
        </w:rPr>
        <w:t xml:space="preserve">. </w:t>
      </w:r>
    </w:p>
    <w:p w14:paraId="6E9F285B" w14:textId="0E476D64" w:rsidR="00ED4155" w:rsidRPr="00324A24" w:rsidRDefault="00ED4155" w:rsidP="00DA50E3">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 xml:space="preserve">Formou </w:t>
      </w:r>
      <w:r w:rsidRPr="00324A24">
        <w:rPr>
          <w:rFonts w:asciiTheme="minorHAnsi" w:hAnsiTheme="minorHAnsi" w:cstheme="minorHAnsi"/>
          <w:b/>
          <w:sz w:val="26"/>
          <w:szCs w:val="26"/>
        </w:rPr>
        <w:t>přídavku na dítě</w:t>
      </w:r>
      <w:r w:rsidRPr="00324A24">
        <w:rPr>
          <w:rFonts w:asciiTheme="minorHAnsi" w:hAnsiTheme="minorHAnsi" w:cstheme="minorHAnsi"/>
          <w:sz w:val="26"/>
          <w:szCs w:val="26"/>
        </w:rPr>
        <w:t xml:space="preserve"> (s podílem 7,0 % na celkovém objemu dávek státní sociální podpory, dávek pěstounské péče a náhradního výživného) bylo vyplaceno </w:t>
      </w:r>
      <w:r w:rsidRPr="00324A24">
        <w:rPr>
          <w:rFonts w:asciiTheme="minorHAnsi" w:hAnsiTheme="minorHAnsi" w:cstheme="minorHAnsi"/>
          <w:b/>
          <w:sz w:val="26"/>
          <w:szCs w:val="26"/>
        </w:rPr>
        <w:t>1,7 mld. Kč</w:t>
      </w:r>
      <w:r w:rsidRPr="00324A24">
        <w:rPr>
          <w:rFonts w:asciiTheme="minorHAnsi" w:hAnsiTheme="minorHAnsi" w:cstheme="minorHAnsi"/>
          <w:sz w:val="26"/>
          <w:szCs w:val="26"/>
        </w:rPr>
        <w:t xml:space="preserve">, tedy o 0,6 mld. Kč (o 56,5 %) </w:t>
      </w:r>
      <w:r w:rsidRPr="00324A24">
        <w:rPr>
          <w:rFonts w:asciiTheme="minorHAnsi" w:hAnsiTheme="minorHAnsi" w:cstheme="minorHAnsi"/>
          <w:b/>
          <w:bCs/>
          <w:sz w:val="26"/>
          <w:szCs w:val="26"/>
        </w:rPr>
        <w:t>více</w:t>
      </w:r>
      <w:r w:rsidRPr="00324A24">
        <w:rPr>
          <w:rFonts w:asciiTheme="minorHAnsi" w:hAnsiTheme="minorHAnsi" w:cstheme="minorHAnsi"/>
          <w:sz w:val="26"/>
          <w:szCs w:val="26"/>
        </w:rPr>
        <w:t xml:space="preserve"> než v 1. pololetí 2021. Počet vyplácených dávek se ve sledovaném období zvýšil, a to o 11,6 % (o 26,7 tis.) na </w:t>
      </w:r>
      <w:r w:rsidRPr="00324A24">
        <w:rPr>
          <w:rFonts w:asciiTheme="minorHAnsi" w:hAnsiTheme="minorHAnsi" w:cstheme="minorHAnsi"/>
          <w:b/>
          <w:sz w:val="26"/>
          <w:szCs w:val="26"/>
        </w:rPr>
        <w:t>256,4 tis</w:t>
      </w:r>
      <w:r w:rsidRPr="00324A24">
        <w:rPr>
          <w:rFonts w:asciiTheme="minorHAnsi" w:hAnsiTheme="minorHAnsi" w:cstheme="minorHAnsi"/>
          <w:sz w:val="26"/>
          <w:szCs w:val="26"/>
        </w:rPr>
        <w:t>. – viz</w:t>
      </w:r>
      <w:r w:rsidR="00324A24">
        <w:rPr>
          <w:rFonts w:asciiTheme="minorHAnsi" w:hAnsiTheme="minorHAnsi" w:cstheme="minorHAnsi"/>
          <w:sz w:val="26"/>
          <w:szCs w:val="26"/>
        </w:rPr>
        <w:t> </w:t>
      </w:r>
      <w:r w:rsidRPr="00324A24">
        <w:rPr>
          <w:rFonts w:asciiTheme="minorHAnsi" w:hAnsiTheme="minorHAnsi" w:cstheme="minorHAnsi"/>
          <w:sz w:val="26"/>
          <w:szCs w:val="26"/>
        </w:rPr>
        <w:t xml:space="preserve">tabulky č. </w:t>
      </w:r>
      <w:proofErr w:type="gramStart"/>
      <w:r w:rsidRPr="00324A24">
        <w:rPr>
          <w:rFonts w:asciiTheme="minorHAnsi" w:hAnsiTheme="minorHAnsi" w:cstheme="minorHAnsi"/>
          <w:sz w:val="26"/>
          <w:szCs w:val="26"/>
        </w:rPr>
        <w:t>10 – 13</w:t>
      </w:r>
      <w:proofErr w:type="gramEnd"/>
      <w:r w:rsidRPr="00324A24">
        <w:rPr>
          <w:rFonts w:asciiTheme="minorHAnsi" w:hAnsiTheme="minorHAnsi" w:cstheme="minorHAnsi"/>
          <w:sz w:val="26"/>
          <w:szCs w:val="26"/>
        </w:rPr>
        <w:t xml:space="preserve"> v příloze.</w:t>
      </w:r>
    </w:p>
    <w:p w14:paraId="6ADC21E5" w14:textId="77777777" w:rsidR="00ED4155" w:rsidRPr="00324A24" w:rsidRDefault="00ED4155" w:rsidP="00DA50E3">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 xml:space="preserve">Na </w:t>
      </w:r>
      <w:r w:rsidRPr="00324A24">
        <w:rPr>
          <w:rFonts w:asciiTheme="minorHAnsi" w:hAnsiTheme="minorHAnsi" w:cstheme="minorHAnsi"/>
          <w:b/>
          <w:bCs/>
          <w:sz w:val="26"/>
          <w:szCs w:val="26"/>
        </w:rPr>
        <w:t>náhradní výživné</w:t>
      </w:r>
      <w:r w:rsidRPr="00324A24">
        <w:rPr>
          <w:rFonts w:asciiTheme="minorHAnsi" w:hAnsiTheme="minorHAnsi" w:cstheme="minorHAnsi"/>
          <w:sz w:val="26"/>
          <w:szCs w:val="26"/>
        </w:rPr>
        <w:t xml:space="preserve"> (dávka zavedená k 1. červenci 2021) bylo vyplaceno </w:t>
      </w:r>
      <w:r w:rsidRPr="00324A24">
        <w:rPr>
          <w:rFonts w:asciiTheme="minorHAnsi" w:hAnsiTheme="minorHAnsi" w:cstheme="minorHAnsi"/>
          <w:b/>
          <w:bCs/>
          <w:sz w:val="26"/>
          <w:szCs w:val="26"/>
        </w:rPr>
        <w:t>70,7 mil. Kč</w:t>
      </w:r>
      <w:r w:rsidRPr="00324A24">
        <w:rPr>
          <w:rFonts w:asciiTheme="minorHAnsi" w:hAnsiTheme="minorHAnsi" w:cstheme="minorHAnsi"/>
          <w:sz w:val="26"/>
          <w:szCs w:val="26"/>
        </w:rPr>
        <w:t>.</w:t>
      </w:r>
    </w:p>
    <w:p w14:paraId="1A0D2B54" w14:textId="77777777" w:rsidR="00ED4155" w:rsidRPr="00324A24" w:rsidRDefault="00ED4155" w:rsidP="00DA50E3">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 xml:space="preserve">Ke </w:t>
      </w:r>
      <w:r w:rsidRPr="00324A24">
        <w:rPr>
          <w:rFonts w:asciiTheme="minorHAnsi" w:hAnsiTheme="minorHAnsi" w:cstheme="minorHAnsi"/>
          <w:b/>
          <w:bCs/>
          <w:sz w:val="26"/>
          <w:szCs w:val="26"/>
        </w:rPr>
        <w:t>snížení</w:t>
      </w:r>
      <w:r w:rsidRPr="00324A24">
        <w:rPr>
          <w:rFonts w:asciiTheme="minorHAnsi" w:hAnsiTheme="minorHAnsi" w:cstheme="minorHAnsi"/>
          <w:sz w:val="26"/>
          <w:szCs w:val="26"/>
        </w:rPr>
        <w:t xml:space="preserve"> došlo u </w:t>
      </w:r>
      <w:r w:rsidRPr="00324A24">
        <w:rPr>
          <w:rFonts w:asciiTheme="minorHAnsi" w:hAnsiTheme="minorHAnsi" w:cstheme="minorHAnsi"/>
          <w:b/>
          <w:sz w:val="26"/>
          <w:szCs w:val="26"/>
        </w:rPr>
        <w:t>porodného</w:t>
      </w:r>
      <w:r w:rsidRPr="00324A24">
        <w:rPr>
          <w:rFonts w:asciiTheme="minorHAnsi" w:hAnsiTheme="minorHAnsi" w:cstheme="minorHAnsi"/>
          <w:sz w:val="26"/>
          <w:szCs w:val="26"/>
        </w:rPr>
        <w:t xml:space="preserve">, bylo na něj vyplaceno </w:t>
      </w:r>
      <w:r w:rsidRPr="00324A24">
        <w:rPr>
          <w:rFonts w:asciiTheme="minorHAnsi" w:hAnsiTheme="minorHAnsi" w:cstheme="minorHAnsi"/>
          <w:b/>
          <w:sz w:val="26"/>
          <w:szCs w:val="26"/>
        </w:rPr>
        <w:t>42,2 mil. Kč</w:t>
      </w:r>
      <w:r w:rsidRPr="00324A24">
        <w:rPr>
          <w:rFonts w:asciiTheme="minorHAnsi" w:hAnsiTheme="minorHAnsi" w:cstheme="minorHAnsi"/>
          <w:sz w:val="26"/>
          <w:szCs w:val="26"/>
        </w:rPr>
        <w:t xml:space="preserve">, tj. </w:t>
      </w:r>
      <w:r w:rsidRPr="00324A24">
        <w:rPr>
          <w:rFonts w:asciiTheme="minorHAnsi" w:hAnsiTheme="minorHAnsi" w:cstheme="minorHAnsi"/>
          <w:b/>
          <w:sz w:val="26"/>
          <w:szCs w:val="26"/>
        </w:rPr>
        <w:t>o 17,6 % méně</w:t>
      </w:r>
      <w:r w:rsidRPr="00324A24">
        <w:rPr>
          <w:rFonts w:asciiTheme="minorHAnsi" w:hAnsiTheme="minorHAnsi" w:cstheme="minorHAnsi"/>
          <w:sz w:val="26"/>
          <w:szCs w:val="26"/>
        </w:rPr>
        <w:t xml:space="preserve"> než ve stejném období předchozího roku. </w:t>
      </w:r>
      <w:r w:rsidRPr="00324A24">
        <w:rPr>
          <w:rFonts w:asciiTheme="minorHAnsi" w:hAnsiTheme="minorHAnsi" w:cstheme="minorHAnsi"/>
          <w:b/>
          <w:bCs/>
          <w:sz w:val="26"/>
          <w:szCs w:val="26"/>
        </w:rPr>
        <w:t xml:space="preserve">Pokles </w:t>
      </w:r>
      <w:r w:rsidRPr="00324A24">
        <w:rPr>
          <w:rFonts w:asciiTheme="minorHAnsi" w:hAnsiTheme="minorHAnsi" w:cstheme="minorHAnsi"/>
          <w:sz w:val="26"/>
          <w:szCs w:val="26"/>
        </w:rPr>
        <w:t>byl rovněž zaznamenán u </w:t>
      </w:r>
      <w:r w:rsidRPr="00324A24">
        <w:rPr>
          <w:rFonts w:asciiTheme="minorHAnsi" w:hAnsiTheme="minorHAnsi" w:cstheme="minorHAnsi"/>
          <w:b/>
          <w:bCs/>
          <w:sz w:val="26"/>
          <w:szCs w:val="26"/>
        </w:rPr>
        <w:t>pohřebného</w:t>
      </w:r>
      <w:r w:rsidRPr="00324A24">
        <w:rPr>
          <w:rFonts w:asciiTheme="minorHAnsi" w:hAnsiTheme="minorHAnsi" w:cstheme="minorHAnsi"/>
          <w:sz w:val="26"/>
          <w:szCs w:val="26"/>
        </w:rPr>
        <w:t xml:space="preserve"> – </w:t>
      </w:r>
      <w:r w:rsidRPr="00324A24">
        <w:rPr>
          <w:rFonts w:asciiTheme="minorHAnsi" w:hAnsiTheme="minorHAnsi" w:cstheme="minorHAnsi"/>
          <w:b/>
          <w:bCs/>
          <w:sz w:val="26"/>
          <w:szCs w:val="26"/>
        </w:rPr>
        <w:t>o 8,2 %</w:t>
      </w:r>
      <w:r w:rsidRPr="00324A24">
        <w:rPr>
          <w:rFonts w:asciiTheme="minorHAnsi" w:hAnsiTheme="minorHAnsi" w:cstheme="minorHAnsi"/>
          <w:sz w:val="26"/>
          <w:szCs w:val="26"/>
        </w:rPr>
        <w:t xml:space="preserve"> (o 0,6 mil. Kč) na 6,7 mil. Kč.</w:t>
      </w:r>
    </w:p>
    <w:p w14:paraId="064406F7" w14:textId="3BAE9136" w:rsidR="00ED4155" w:rsidRPr="00324A24" w:rsidRDefault="00ED4155" w:rsidP="00662B6E">
      <w:pPr>
        <w:spacing w:after="120" w:line="360" w:lineRule="auto"/>
        <w:jc w:val="both"/>
        <w:rPr>
          <w:rFonts w:asciiTheme="minorHAnsi" w:hAnsiTheme="minorHAnsi" w:cstheme="minorHAnsi"/>
          <w:sz w:val="26"/>
          <w:szCs w:val="26"/>
        </w:rPr>
      </w:pPr>
      <w:r w:rsidRPr="00324A24">
        <w:rPr>
          <w:rFonts w:asciiTheme="minorHAnsi" w:hAnsiTheme="minorHAnsi" w:cstheme="minorHAnsi"/>
          <w:sz w:val="26"/>
          <w:szCs w:val="26"/>
        </w:rPr>
        <w:tab/>
        <w:t>Podle územního členění připadla nejvyšší částka poskytnutá prostřednictvím systému státní sociální podpory a pěstounské péče na 1 obyvatele v Moravskoslezském a Ústeckém kraji, nejnižší ve Zlínském a Plzeňském kraji; ve čtyřech krajích (Moravskoslezský, Ústecký, Vysočina, Plzeňský) došlo k jejímu zvýšení, v hl.</w:t>
      </w:r>
      <w:r w:rsidR="00324A24">
        <w:rPr>
          <w:rFonts w:asciiTheme="minorHAnsi" w:hAnsiTheme="minorHAnsi" w:cstheme="minorHAnsi"/>
          <w:sz w:val="26"/>
          <w:szCs w:val="26"/>
        </w:rPr>
        <w:t> </w:t>
      </w:r>
      <w:r w:rsidRPr="00324A24">
        <w:rPr>
          <w:rFonts w:asciiTheme="minorHAnsi" w:hAnsiTheme="minorHAnsi" w:cstheme="minorHAnsi"/>
          <w:sz w:val="26"/>
          <w:szCs w:val="26"/>
        </w:rPr>
        <w:t>m.</w:t>
      </w:r>
      <w:r w:rsidR="00324A24">
        <w:rPr>
          <w:rFonts w:asciiTheme="minorHAnsi" w:hAnsiTheme="minorHAnsi" w:cstheme="minorHAnsi"/>
          <w:sz w:val="26"/>
          <w:szCs w:val="26"/>
        </w:rPr>
        <w:t> </w:t>
      </w:r>
      <w:r w:rsidRPr="00324A24">
        <w:rPr>
          <w:rFonts w:asciiTheme="minorHAnsi" w:hAnsiTheme="minorHAnsi" w:cstheme="minorHAnsi"/>
          <w:sz w:val="26"/>
          <w:szCs w:val="26"/>
        </w:rPr>
        <w:t>Praze zůstala na stejné úrovni, v ostatních krajích došlo k jejímu snížení – viz tabulku č. 14 v příloze.</w:t>
      </w:r>
    </w:p>
    <w:p w14:paraId="03FCC2C7" w14:textId="77777777" w:rsidR="00044BD5" w:rsidRDefault="00044BD5" w:rsidP="00662B6E">
      <w:pPr>
        <w:pStyle w:val="Odstavecseseznamem"/>
        <w:spacing w:after="120" w:line="360" w:lineRule="auto"/>
        <w:ind w:left="0"/>
        <w:jc w:val="both"/>
        <w:rPr>
          <w:rFonts w:asciiTheme="minorHAnsi" w:hAnsiTheme="minorHAnsi" w:cstheme="minorHAnsi"/>
          <w:sz w:val="26"/>
          <w:szCs w:val="26"/>
        </w:rPr>
      </w:pPr>
    </w:p>
    <w:p w14:paraId="7DB17691" w14:textId="1EC1984F" w:rsidR="00ED4155" w:rsidRPr="00324A24" w:rsidRDefault="00ED4155" w:rsidP="00DA50E3">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t xml:space="preserve">Na </w:t>
      </w:r>
      <w:r w:rsidRPr="00324A24">
        <w:rPr>
          <w:rFonts w:asciiTheme="minorHAnsi" w:hAnsiTheme="minorHAnsi" w:cstheme="minorHAnsi"/>
          <w:b/>
          <w:sz w:val="26"/>
          <w:szCs w:val="26"/>
          <w:u w:val="single"/>
        </w:rPr>
        <w:t>dávkách nemocenského pojištění</w:t>
      </w:r>
      <w:r w:rsidRPr="00324A24">
        <w:rPr>
          <w:rFonts w:asciiTheme="minorHAnsi" w:hAnsiTheme="minorHAnsi" w:cstheme="minorHAnsi"/>
          <w:sz w:val="26"/>
          <w:szCs w:val="26"/>
        </w:rPr>
        <w:t xml:space="preserve"> bylo vyplaceno 7,2 % z celkových sociálních příjmů domácností. Touto formou bylo v 1. pololetí 2022 poskytnuto </w:t>
      </w:r>
      <w:r w:rsidRPr="00324A24">
        <w:rPr>
          <w:rFonts w:asciiTheme="minorHAnsi" w:hAnsiTheme="minorHAnsi" w:cstheme="minorHAnsi"/>
          <w:b/>
          <w:sz w:val="26"/>
          <w:szCs w:val="26"/>
        </w:rPr>
        <w:t>25,4 mld. Kč</w:t>
      </w:r>
      <w:r w:rsidRPr="00324A24">
        <w:rPr>
          <w:rFonts w:asciiTheme="minorHAnsi" w:hAnsiTheme="minorHAnsi" w:cstheme="minorHAnsi"/>
          <w:sz w:val="26"/>
          <w:szCs w:val="26"/>
        </w:rPr>
        <w:t>, což bylo o 3,1 mld. Kč (</w:t>
      </w:r>
      <w:r w:rsidRPr="00324A24">
        <w:rPr>
          <w:rFonts w:asciiTheme="minorHAnsi" w:hAnsiTheme="minorHAnsi" w:cstheme="minorHAnsi"/>
          <w:b/>
          <w:sz w:val="26"/>
          <w:szCs w:val="26"/>
        </w:rPr>
        <w:t>o 10,8 %</w:t>
      </w:r>
      <w:r w:rsidRPr="00324A24">
        <w:rPr>
          <w:rFonts w:asciiTheme="minorHAnsi" w:hAnsiTheme="minorHAnsi" w:cstheme="minorHAnsi"/>
          <w:sz w:val="26"/>
          <w:szCs w:val="26"/>
        </w:rPr>
        <w:t xml:space="preserve">) </w:t>
      </w:r>
      <w:r w:rsidRPr="00324A24">
        <w:rPr>
          <w:rFonts w:asciiTheme="minorHAnsi" w:hAnsiTheme="minorHAnsi" w:cstheme="minorHAnsi"/>
          <w:b/>
          <w:sz w:val="26"/>
          <w:szCs w:val="26"/>
        </w:rPr>
        <w:t>méně</w:t>
      </w:r>
      <w:r w:rsidRPr="00324A24">
        <w:rPr>
          <w:rFonts w:asciiTheme="minorHAnsi" w:hAnsiTheme="minorHAnsi" w:cstheme="minorHAnsi"/>
          <w:sz w:val="26"/>
          <w:szCs w:val="26"/>
        </w:rPr>
        <w:t xml:space="preserve"> než ve srovnatelném období předchozího roku – viz tabulku č. 8 v příloze.</w:t>
      </w:r>
    </w:p>
    <w:p w14:paraId="1C1E89BF" w14:textId="79F4F8F2" w:rsidR="00ED4155" w:rsidRPr="00324A24" w:rsidRDefault="00ED4155" w:rsidP="00DA50E3">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t xml:space="preserve">Rozhodující dávkou bylo </w:t>
      </w:r>
      <w:r w:rsidRPr="00324A24">
        <w:rPr>
          <w:rFonts w:asciiTheme="minorHAnsi" w:hAnsiTheme="minorHAnsi" w:cstheme="minorHAnsi"/>
          <w:b/>
          <w:sz w:val="26"/>
          <w:szCs w:val="26"/>
        </w:rPr>
        <w:t>nemocenské</w:t>
      </w:r>
      <w:r w:rsidRPr="00324A24">
        <w:rPr>
          <w:rFonts w:asciiTheme="minorHAnsi" w:hAnsiTheme="minorHAnsi" w:cstheme="minorHAnsi"/>
          <w:sz w:val="26"/>
          <w:szCs w:val="26"/>
        </w:rPr>
        <w:t xml:space="preserve">, jehož podíl na dávkách nemocenského pojištění činil 69,5 % a jehož </w:t>
      </w:r>
      <w:r w:rsidRPr="00324A24">
        <w:rPr>
          <w:rFonts w:asciiTheme="minorHAnsi" w:hAnsiTheme="minorHAnsi" w:cstheme="minorHAnsi"/>
          <w:b/>
          <w:sz w:val="26"/>
          <w:szCs w:val="26"/>
        </w:rPr>
        <w:t>objem se snížil</w:t>
      </w:r>
      <w:r w:rsidRPr="00324A24">
        <w:rPr>
          <w:rFonts w:asciiTheme="minorHAnsi" w:hAnsiTheme="minorHAnsi" w:cstheme="minorHAnsi"/>
          <w:sz w:val="26"/>
          <w:szCs w:val="26"/>
        </w:rPr>
        <w:t xml:space="preserve"> o 0,7 mld. Kč (</w:t>
      </w:r>
      <w:r w:rsidRPr="00324A24">
        <w:rPr>
          <w:rFonts w:asciiTheme="minorHAnsi" w:hAnsiTheme="minorHAnsi" w:cstheme="minorHAnsi"/>
          <w:b/>
          <w:sz w:val="26"/>
          <w:szCs w:val="26"/>
        </w:rPr>
        <w:t>o 4,0 %</w:t>
      </w:r>
      <w:r w:rsidRPr="00324A24">
        <w:rPr>
          <w:rFonts w:asciiTheme="minorHAnsi" w:hAnsiTheme="minorHAnsi" w:cstheme="minorHAnsi"/>
          <w:sz w:val="26"/>
          <w:szCs w:val="26"/>
        </w:rPr>
        <w:t xml:space="preserve">) na </w:t>
      </w:r>
      <w:r w:rsidRPr="00324A24">
        <w:rPr>
          <w:rFonts w:asciiTheme="minorHAnsi" w:hAnsiTheme="minorHAnsi" w:cstheme="minorHAnsi"/>
          <w:b/>
          <w:sz w:val="26"/>
          <w:szCs w:val="26"/>
        </w:rPr>
        <w:t>17,7 mld. Kč</w:t>
      </w:r>
      <w:r w:rsidRPr="00324A24">
        <w:rPr>
          <w:rFonts w:asciiTheme="minorHAnsi" w:hAnsiTheme="minorHAnsi" w:cstheme="minorHAnsi"/>
          <w:sz w:val="26"/>
          <w:szCs w:val="26"/>
        </w:rPr>
        <w:t>.</w:t>
      </w:r>
    </w:p>
    <w:p w14:paraId="5A971B9C" w14:textId="52301C90" w:rsidR="00ED4155" w:rsidRPr="00324A24" w:rsidRDefault="00DA50E3" w:rsidP="0038102F">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lastRenderedPageBreak/>
        <w:tab/>
      </w:r>
      <w:r w:rsidR="00ED4155" w:rsidRPr="00324A24">
        <w:rPr>
          <w:rFonts w:asciiTheme="minorHAnsi" w:hAnsiTheme="minorHAnsi" w:cstheme="minorHAnsi"/>
          <w:sz w:val="26"/>
          <w:szCs w:val="26"/>
        </w:rPr>
        <w:t xml:space="preserve">Na </w:t>
      </w:r>
      <w:r w:rsidR="00ED4155" w:rsidRPr="00324A24">
        <w:rPr>
          <w:rFonts w:asciiTheme="minorHAnsi" w:hAnsiTheme="minorHAnsi" w:cstheme="minorHAnsi"/>
          <w:b/>
          <w:sz w:val="26"/>
          <w:szCs w:val="26"/>
        </w:rPr>
        <w:t>peněžitou pomoc v mateřství</w:t>
      </w:r>
      <w:r w:rsidR="00ED4155" w:rsidRPr="00324A24">
        <w:rPr>
          <w:rFonts w:asciiTheme="minorHAnsi" w:hAnsiTheme="minorHAnsi" w:cstheme="minorHAnsi"/>
          <w:sz w:val="26"/>
          <w:szCs w:val="26"/>
        </w:rPr>
        <w:t xml:space="preserve"> s podílem na dávkách nemocenského pojištění 21,8 % bylo za leden až červen 2022 vyplaceno </w:t>
      </w:r>
      <w:r w:rsidR="00ED4155" w:rsidRPr="00324A24">
        <w:rPr>
          <w:rFonts w:asciiTheme="minorHAnsi" w:hAnsiTheme="minorHAnsi" w:cstheme="minorHAnsi"/>
          <w:b/>
          <w:sz w:val="26"/>
          <w:szCs w:val="26"/>
        </w:rPr>
        <w:t>5,6 mld. Kč</w:t>
      </w:r>
      <w:r w:rsidR="00ED4155" w:rsidRPr="00324A24">
        <w:rPr>
          <w:rFonts w:asciiTheme="minorHAnsi" w:hAnsiTheme="minorHAnsi" w:cstheme="minorHAnsi"/>
          <w:sz w:val="26"/>
          <w:szCs w:val="26"/>
        </w:rPr>
        <w:t>, tedy o 135,9 mil. Kč (</w:t>
      </w:r>
      <w:r w:rsidR="00ED4155" w:rsidRPr="00324A24">
        <w:rPr>
          <w:rFonts w:asciiTheme="minorHAnsi" w:hAnsiTheme="minorHAnsi" w:cstheme="minorHAnsi"/>
          <w:b/>
          <w:sz w:val="26"/>
          <w:szCs w:val="26"/>
        </w:rPr>
        <w:t>o 2,5 %</w:t>
      </w:r>
      <w:r w:rsidR="00ED4155" w:rsidRPr="00324A24">
        <w:rPr>
          <w:rFonts w:asciiTheme="minorHAnsi" w:hAnsiTheme="minorHAnsi" w:cstheme="minorHAnsi"/>
          <w:sz w:val="26"/>
          <w:szCs w:val="26"/>
        </w:rPr>
        <w:t xml:space="preserve">) meziročně </w:t>
      </w:r>
      <w:r w:rsidR="00ED4155" w:rsidRPr="00324A24">
        <w:rPr>
          <w:rFonts w:asciiTheme="minorHAnsi" w:hAnsiTheme="minorHAnsi" w:cstheme="minorHAnsi"/>
          <w:b/>
          <w:sz w:val="26"/>
          <w:szCs w:val="26"/>
        </w:rPr>
        <w:t>více</w:t>
      </w:r>
      <w:r w:rsidR="00ED4155" w:rsidRPr="00324A24">
        <w:rPr>
          <w:rFonts w:asciiTheme="minorHAnsi" w:hAnsiTheme="minorHAnsi" w:cstheme="minorHAnsi"/>
          <w:sz w:val="26"/>
          <w:szCs w:val="26"/>
        </w:rPr>
        <w:t>.</w:t>
      </w:r>
    </w:p>
    <w:p w14:paraId="2BB820EE" w14:textId="77777777" w:rsidR="00ED4155" w:rsidRPr="00B72AB8" w:rsidRDefault="00ED4155" w:rsidP="0038102F">
      <w:pPr>
        <w:pStyle w:val="Odstavecseseznamem"/>
        <w:spacing w:after="120" w:line="360" w:lineRule="auto"/>
        <w:ind w:left="0"/>
        <w:jc w:val="both"/>
        <w:rPr>
          <w:rFonts w:asciiTheme="minorHAnsi" w:hAnsiTheme="minorHAnsi" w:cstheme="minorHAnsi"/>
          <w:sz w:val="26"/>
          <w:szCs w:val="26"/>
        </w:rPr>
      </w:pPr>
      <w:bookmarkStart w:id="3" w:name="_Hlk117238254"/>
      <w:r w:rsidRPr="00B72AB8">
        <w:rPr>
          <w:rFonts w:asciiTheme="minorHAnsi" w:hAnsiTheme="minorHAnsi" w:cstheme="minorHAnsi"/>
          <w:sz w:val="26"/>
          <w:szCs w:val="26"/>
        </w:rPr>
        <w:tab/>
      </w:r>
      <w:bookmarkStart w:id="4" w:name="_Hlk115542684"/>
      <w:r w:rsidRPr="00B72AB8">
        <w:rPr>
          <w:rFonts w:asciiTheme="minorHAnsi" w:hAnsiTheme="minorHAnsi" w:cstheme="minorHAnsi"/>
          <w:sz w:val="26"/>
          <w:szCs w:val="26"/>
        </w:rPr>
        <w:t xml:space="preserve">Výdaje na </w:t>
      </w:r>
      <w:r w:rsidRPr="00B72AB8">
        <w:rPr>
          <w:rFonts w:asciiTheme="minorHAnsi" w:hAnsiTheme="minorHAnsi" w:cstheme="minorHAnsi"/>
          <w:b/>
          <w:sz w:val="26"/>
          <w:szCs w:val="26"/>
        </w:rPr>
        <w:t>ošetřovné</w:t>
      </w:r>
      <w:r w:rsidRPr="00B72AB8">
        <w:rPr>
          <w:rFonts w:asciiTheme="minorHAnsi" w:hAnsiTheme="minorHAnsi" w:cstheme="minorHAnsi"/>
          <w:sz w:val="26"/>
          <w:szCs w:val="26"/>
        </w:rPr>
        <w:t xml:space="preserve"> se ve sledovaném období snížily o 2,7 mld. Kč (</w:t>
      </w:r>
      <w:r w:rsidRPr="00B72AB8">
        <w:rPr>
          <w:rFonts w:asciiTheme="minorHAnsi" w:hAnsiTheme="minorHAnsi" w:cstheme="minorHAnsi"/>
          <w:b/>
          <w:sz w:val="26"/>
          <w:szCs w:val="26"/>
        </w:rPr>
        <w:t>o 59,5 %</w:t>
      </w:r>
      <w:r w:rsidRPr="00B72AB8">
        <w:rPr>
          <w:rFonts w:asciiTheme="minorHAnsi" w:hAnsiTheme="minorHAnsi" w:cstheme="minorHAnsi"/>
          <w:sz w:val="26"/>
          <w:szCs w:val="26"/>
        </w:rPr>
        <w:t xml:space="preserve">) a činily </w:t>
      </w:r>
      <w:r w:rsidRPr="00B72AB8">
        <w:rPr>
          <w:rFonts w:asciiTheme="minorHAnsi" w:hAnsiTheme="minorHAnsi" w:cstheme="minorHAnsi"/>
          <w:b/>
          <w:sz w:val="26"/>
          <w:szCs w:val="26"/>
        </w:rPr>
        <w:t>1,8 mld. Kč</w:t>
      </w:r>
      <w:r w:rsidRPr="00B72AB8">
        <w:rPr>
          <w:rFonts w:asciiTheme="minorHAnsi" w:hAnsiTheme="minorHAnsi" w:cstheme="minorHAnsi"/>
          <w:sz w:val="26"/>
          <w:szCs w:val="26"/>
        </w:rPr>
        <w:t>. Uvedený výrazný pokles souvisel zejména s dopady onemocnění COVID-19 na dětskou populaci (s rozdílnou výší krizového ošetřovného a rozdílnými podmínkami uzavření školských zařízení ve srovnávaných obdobích).</w:t>
      </w:r>
      <w:bookmarkEnd w:id="4"/>
    </w:p>
    <w:p w14:paraId="51D40521" w14:textId="1493FE3C" w:rsidR="00ED4155" w:rsidRPr="00B72AB8" w:rsidRDefault="00ED4155" w:rsidP="0038102F">
      <w:pPr>
        <w:pStyle w:val="Odstavecseseznamem"/>
        <w:spacing w:after="120" w:line="360" w:lineRule="auto"/>
        <w:ind w:left="0"/>
        <w:jc w:val="both"/>
        <w:rPr>
          <w:rFonts w:asciiTheme="minorHAnsi" w:hAnsiTheme="minorHAnsi" w:cstheme="minorHAnsi"/>
          <w:sz w:val="26"/>
          <w:szCs w:val="26"/>
        </w:rPr>
      </w:pPr>
      <w:r w:rsidRPr="00B72AB8">
        <w:rPr>
          <w:rFonts w:asciiTheme="minorHAnsi" w:hAnsiTheme="minorHAnsi" w:cstheme="minorHAnsi"/>
          <w:sz w:val="26"/>
          <w:szCs w:val="26"/>
        </w:rPr>
        <w:tab/>
        <w:t xml:space="preserve">Na </w:t>
      </w:r>
      <w:r w:rsidRPr="00B72AB8">
        <w:rPr>
          <w:rFonts w:asciiTheme="minorHAnsi" w:hAnsiTheme="minorHAnsi" w:cstheme="minorHAnsi"/>
          <w:b/>
          <w:sz w:val="26"/>
          <w:szCs w:val="26"/>
        </w:rPr>
        <w:t>otcovskou poporodní péči</w:t>
      </w:r>
      <w:r w:rsidRPr="00B72AB8">
        <w:rPr>
          <w:rFonts w:asciiTheme="minorHAnsi" w:hAnsiTheme="minorHAnsi" w:cstheme="minorHAnsi"/>
          <w:sz w:val="26"/>
          <w:szCs w:val="26"/>
        </w:rPr>
        <w:t xml:space="preserve"> bylo ve sledovaném období vyplaceno 284,8 mil. Kč (o 105,9 %, tj. 146,5 mil. Kč více).</w:t>
      </w:r>
      <w:r w:rsidR="00DD5014" w:rsidRPr="00B72AB8">
        <w:rPr>
          <w:rFonts w:asciiTheme="minorHAnsi" w:hAnsiTheme="minorHAnsi" w:cstheme="minorHAnsi"/>
          <w:sz w:val="26"/>
          <w:szCs w:val="26"/>
        </w:rPr>
        <w:t xml:space="preserve"> Nárůst výdajů souvisí s prodloužením podpůrčí doby u této dávky z jednoho na dva týdny od 1. ledna 2022.</w:t>
      </w:r>
    </w:p>
    <w:p w14:paraId="4DD5A572" w14:textId="2FB08137" w:rsidR="00ED4155" w:rsidRPr="00B72AB8" w:rsidRDefault="00ED4155" w:rsidP="0038102F">
      <w:pPr>
        <w:pStyle w:val="Odstavecseseznamem"/>
        <w:spacing w:after="120" w:line="360" w:lineRule="auto"/>
        <w:ind w:left="0"/>
        <w:jc w:val="both"/>
        <w:rPr>
          <w:rFonts w:asciiTheme="minorHAnsi" w:hAnsiTheme="minorHAnsi" w:cstheme="minorHAnsi"/>
          <w:sz w:val="26"/>
          <w:szCs w:val="26"/>
        </w:rPr>
      </w:pPr>
      <w:r w:rsidRPr="00B72AB8">
        <w:rPr>
          <w:rFonts w:asciiTheme="minorHAnsi" w:hAnsiTheme="minorHAnsi" w:cstheme="minorHAnsi"/>
          <w:sz w:val="26"/>
          <w:szCs w:val="26"/>
        </w:rPr>
        <w:tab/>
        <w:t xml:space="preserve">Výdaje na </w:t>
      </w:r>
      <w:r w:rsidRPr="00B72AB8">
        <w:rPr>
          <w:rFonts w:asciiTheme="minorHAnsi" w:hAnsiTheme="minorHAnsi" w:cstheme="minorHAnsi"/>
          <w:b/>
          <w:sz w:val="26"/>
          <w:szCs w:val="26"/>
        </w:rPr>
        <w:t>dlouhodobé ošetřovné</w:t>
      </w:r>
      <w:r w:rsidRPr="00B72AB8">
        <w:rPr>
          <w:rFonts w:asciiTheme="minorHAnsi" w:hAnsiTheme="minorHAnsi" w:cstheme="minorHAnsi"/>
          <w:sz w:val="26"/>
          <w:szCs w:val="26"/>
        </w:rPr>
        <w:t xml:space="preserve"> se v 1. pololetí 2022 </w:t>
      </w:r>
      <w:r w:rsidRPr="00B72AB8">
        <w:rPr>
          <w:rFonts w:asciiTheme="minorHAnsi" w:hAnsiTheme="minorHAnsi" w:cstheme="minorHAnsi"/>
          <w:b/>
          <w:sz w:val="26"/>
          <w:szCs w:val="26"/>
        </w:rPr>
        <w:t>zvýšily</w:t>
      </w:r>
      <w:r w:rsidRPr="00B72AB8">
        <w:rPr>
          <w:rFonts w:asciiTheme="minorHAnsi" w:hAnsiTheme="minorHAnsi" w:cstheme="minorHAnsi"/>
          <w:sz w:val="26"/>
          <w:szCs w:val="26"/>
        </w:rPr>
        <w:t xml:space="preserve"> o 27,4 mil. Kč (</w:t>
      </w:r>
      <w:r w:rsidRPr="00B72AB8">
        <w:rPr>
          <w:rFonts w:asciiTheme="minorHAnsi" w:hAnsiTheme="minorHAnsi" w:cstheme="minorHAnsi"/>
          <w:b/>
          <w:sz w:val="26"/>
          <w:szCs w:val="26"/>
        </w:rPr>
        <w:t>o 35,5 %</w:t>
      </w:r>
      <w:r w:rsidRPr="00B72AB8">
        <w:rPr>
          <w:rFonts w:asciiTheme="minorHAnsi" w:hAnsiTheme="minorHAnsi" w:cstheme="minorHAnsi"/>
          <w:sz w:val="26"/>
          <w:szCs w:val="26"/>
        </w:rPr>
        <w:t>) na 104,6 mil. Kč.</w:t>
      </w:r>
      <w:r w:rsidR="00DD5014" w:rsidRPr="00B72AB8">
        <w:rPr>
          <w:rFonts w:asciiTheme="minorHAnsi" w:hAnsiTheme="minorHAnsi" w:cstheme="minorHAnsi"/>
          <w:sz w:val="26"/>
          <w:szCs w:val="26"/>
        </w:rPr>
        <w:t xml:space="preserve"> Nárůst výdajů je částečně ovlivněn rozvolněním podmínek pro nárok na tuto dávku od 1. ledna 2022.</w:t>
      </w:r>
    </w:p>
    <w:p w14:paraId="1838D3D1" w14:textId="77777777" w:rsidR="00ED4155" w:rsidRPr="00B72AB8" w:rsidRDefault="00ED4155" w:rsidP="0038102F">
      <w:pPr>
        <w:pStyle w:val="Odstavecseseznamem"/>
        <w:spacing w:after="120" w:line="360" w:lineRule="auto"/>
        <w:ind w:left="0"/>
        <w:jc w:val="both"/>
        <w:rPr>
          <w:rFonts w:asciiTheme="minorHAnsi" w:hAnsiTheme="minorHAnsi" w:cstheme="minorHAnsi"/>
          <w:sz w:val="26"/>
          <w:szCs w:val="26"/>
        </w:rPr>
      </w:pPr>
      <w:r w:rsidRPr="00B72AB8">
        <w:rPr>
          <w:rFonts w:asciiTheme="minorHAnsi" w:hAnsiTheme="minorHAnsi" w:cstheme="minorHAnsi"/>
          <w:sz w:val="26"/>
          <w:szCs w:val="26"/>
        </w:rPr>
        <w:tab/>
        <w:t xml:space="preserve">Na </w:t>
      </w:r>
      <w:r w:rsidRPr="00B72AB8">
        <w:rPr>
          <w:rFonts w:asciiTheme="minorHAnsi" w:hAnsiTheme="minorHAnsi" w:cstheme="minorHAnsi"/>
          <w:b/>
          <w:sz w:val="26"/>
          <w:szCs w:val="26"/>
        </w:rPr>
        <w:t>vyrovnávací příspěvek v těhotenství a mateřství</w:t>
      </w:r>
      <w:r w:rsidRPr="00B72AB8">
        <w:rPr>
          <w:rFonts w:asciiTheme="minorHAnsi" w:hAnsiTheme="minorHAnsi" w:cstheme="minorHAnsi"/>
          <w:sz w:val="26"/>
          <w:szCs w:val="26"/>
        </w:rPr>
        <w:t xml:space="preserve"> bylo vyplaceno </w:t>
      </w:r>
      <w:r w:rsidRPr="00B72AB8">
        <w:rPr>
          <w:rFonts w:asciiTheme="minorHAnsi" w:hAnsiTheme="minorHAnsi" w:cstheme="minorHAnsi"/>
          <w:b/>
          <w:sz w:val="26"/>
          <w:szCs w:val="26"/>
        </w:rPr>
        <w:t>4,2 mil. Kč</w:t>
      </w:r>
      <w:r w:rsidRPr="00B72AB8">
        <w:rPr>
          <w:rFonts w:asciiTheme="minorHAnsi" w:hAnsiTheme="minorHAnsi" w:cstheme="minorHAnsi"/>
          <w:sz w:val="26"/>
          <w:szCs w:val="26"/>
        </w:rPr>
        <w:t xml:space="preserve"> (o 61,5 % více) – viz tabulku č. 15 v příloze.</w:t>
      </w:r>
    </w:p>
    <w:bookmarkEnd w:id="3"/>
    <w:p w14:paraId="09996549" w14:textId="77777777" w:rsidR="00662B6E" w:rsidRDefault="00662B6E" w:rsidP="0038102F">
      <w:pPr>
        <w:pStyle w:val="Odstavecseseznamem"/>
        <w:spacing w:after="120"/>
        <w:ind w:left="0"/>
        <w:jc w:val="both"/>
        <w:rPr>
          <w:rFonts w:asciiTheme="minorHAnsi" w:hAnsiTheme="minorHAnsi" w:cstheme="minorHAnsi"/>
          <w:sz w:val="26"/>
          <w:szCs w:val="26"/>
        </w:rPr>
      </w:pPr>
    </w:p>
    <w:p w14:paraId="6BE2F30E" w14:textId="7C0C9412" w:rsidR="00ED4155" w:rsidRPr="00324A24" w:rsidRDefault="00ED4155" w:rsidP="0038102F">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t xml:space="preserve">Další složkou sociálních </w:t>
      </w:r>
      <w:r w:rsidRPr="00C56612">
        <w:rPr>
          <w:rFonts w:asciiTheme="minorHAnsi" w:hAnsiTheme="minorHAnsi" w:cstheme="minorHAnsi"/>
          <w:sz w:val="26"/>
          <w:szCs w:val="26"/>
        </w:rPr>
        <w:t xml:space="preserve">příjmů domácností byl </w:t>
      </w:r>
      <w:r w:rsidRPr="00C56612">
        <w:rPr>
          <w:rFonts w:asciiTheme="minorHAnsi" w:hAnsiTheme="minorHAnsi" w:cstheme="minorHAnsi"/>
          <w:b/>
          <w:bCs/>
          <w:sz w:val="26"/>
          <w:szCs w:val="26"/>
          <w:u w:val="single"/>
        </w:rPr>
        <w:t>příspěvek na péči</w:t>
      </w:r>
      <w:r w:rsidRPr="00C56612">
        <w:rPr>
          <w:rFonts w:asciiTheme="minorHAnsi" w:hAnsiTheme="minorHAnsi" w:cstheme="minorHAnsi"/>
          <w:sz w:val="26"/>
          <w:szCs w:val="26"/>
        </w:rPr>
        <w:t xml:space="preserve"> s podílem 5,1 % na celkových sociálních příjmech domácností. V hodnoceném </w:t>
      </w:r>
      <w:r w:rsidRPr="003C1EC0">
        <w:rPr>
          <w:rFonts w:asciiTheme="minorHAnsi" w:hAnsiTheme="minorHAnsi" w:cstheme="minorHAnsi"/>
          <w:sz w:val="26"/>
          <w:szCs w:val="26"/>
        </w:rPr>
        <w:t xml:space="preserve">období bylo takto vyplaceno </w:t>
      </w:r>
      <w:r w:rsidRPr="003C1EC0">
        <w:rPr>
          <w:rFonts w:asciiTheme="minorHAnsi" w:hAnsiTheme="minorHAnsi" w:cstheme="minorHAnsi"/>
          <w:b/>
          <w:bCs/>
          <w:sz w:val="26"/>
          <w:szCs w:val="26"/>
        </w:rPr>
        <w:t>18,1 mld. Kč</w:t>
      </w:r>
      <w:r w:rsidRPr="003C1EC0">
        <w:rPr>
          <w:rFonts w:asciiTheme="minorHAnsi" w:hAnsiTheme="minorHAnsi" w:cstheme="minorHAnsi"/>
          <w:sz w:val="26"/>
          <w:szCs w:val="26"/>
        </w:rPr>
        <w:t xml:space="preserve">, což bylo </w:t>
      </w:r>
      <w:r w:rsidRPr="003C1EC0">
        <w:rPr>
          <w:rFonts w:asciiTheme="minorHAnsi" w:hAnsiTheme="minorHAnsi" w:cstheme="minorHAnsi"/>
          <w:b/>
          <w:bCs/>
          <w:sz w:val="26"/>
          <w:szCs w:val="26"/>
        </w:rPr>
        <w:t>o 10,6 %</w:t>
      </w:r>
      <w:r w:rsidRPr="003C1EC0">
        <w:rPr>
          <w:rFonts w:asciiTheme="minorHAnsi" w:hAnsiTheme="minorHAnsi" w:cstheme="minorHAnsi"/>
          <w:sz w:val="26"/>
          <w:szCs w:val="26"/>
        </w:rPr>
        <w:t xml:space="preserve"> (1,7 mld. Kč) meziročně více – viz tabulku č</w:t>
      </w:r>
      <w:r w:rsidR="00324A24">
        <w:rPr>
          <w:rFonts w:asciiTheme="minorHAnsi" w:hAnsiTheme="minorHAnsi" w:cstheme="minorHAnsi"/>
          <w:sz w:val="26"/>
          <w:szCs w:val="26"/>
        </w:rPr>
        <w:t>. </w:t>
      </w:r>
      <w:r w:rsidRPr="003C1EC0">
        <w:rPr>
          <w:rFonts w:asciiTheme="minorHAnsi" w:hAnsiTheme="minorHAnsi" w:cstheme="minorHAnsi"/>
          <w:sz w:val="26"/>
          <w:szCs w:val="26"/>
        </w:rPr>
        <w:t>16 v </w:t>
      </w:r>
      <w:r w:rsidRPr="00AF66DC">
        <w:rPr>
          <w:rFonts w:asciiTheme="minorHAnsi" w:hAnsiTheme="minorHAnsi" w:cstheme="minorHAnsi"/>
          <w:sz w:val="26"/>
          <w:szCs w:val="26"/>
        </w:rPr>
        <w:t xml:space="preserve">příloze. </w:t>
      </w:r>
      <w:r w:rsidRPr="00324A24">
        <w:rPr>
          <w:rFonts w:asciiTheme="minorHAnsi" w:hAnsiTheme="minorHAnsi" w:cstheme="minorHAnsi"/>
          <w:sz w:val="26"/>
          <w:szCs w:val="26"/>
        </w:rPr>
        <w:t>Meziroční nárůst výdajů souvisel zejména se zvýšením částek příspěvku na péči ve III. a IV. stupni závislosti osobám v příslušných pobytových sociálních službách a současně s růstem počtu vyplacených dávek v uvedených stupních závislosti.</w:t>
      </w:r>
    </w:p>
    <w:p w14:paraId="7C936335" w14:textId="79AC725E" w:rsidR="00ED4155" w:rsidRPr="00F1243E" w:rsidRDefault="00ED4155" w:rsidP="0038102F">
      <w:pPr>
        <w:pStyle w:val="Odstavecseseznamem"/>
        <w:spacing w:after="8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r>
      <w:bookmarkStart w:id="5" w:name="_Hlk83800496"/>
      <w:r w:rsidRPr="00324A24">
        <w:rPr>
          <w:rFonts w:asciiTheme="minorHAnsi" w:hAnsiTheme="minorHAnsi" w:cstheme="minorHAnsi"/>
          <w:sz w:val="26"/>
          <w:szCs w:val="26"/>
        </w:rPr>
        <w:t>V 1. pololetí 2022 bylo v průměru měsíčně vyplaceno cca 361,1 tis. příspěvků na</w:t>
      </w:r>
      <w:r w:rsidR="0038102F">
        <w:rPr>
          <w:rFonts w:asciiTheme="minorHAnsi" w:hAnsiTheme="minorHAnsi" w:cstheme="minorHAnsi"/>
          <w:sz w:val="26"/>
          <w:szCs w:val="26"/>
        </w:rPr>
        <w:t xml:space="preserve"> </w:t>
      </w:r>
      <w:r w:rsidRPr="00324A24">
        <w:rPr>
          <w:rFonts w:asciiTheme="minorHAnsi" w:hAnsiTheme="minorHAnsi" w:cstheme="minorHAnsi"/>
          <w:sz w:val="26"/>
          <w:szCs w:val="26"/>
        </w:rPr>
        <w:t>péči, tj. o 3,7 tis. příspěvků meziročně více. Z celkového počtu dávek se vyplatilo 27,4 % v I.</w:t>
      </w:r>
      <w:r w:rsidR="0038102F">
        <w:rPr>
          <w:rFonts w:asciiTheme="minorHAnsi" w:hAnsiTheme="minorHAnsi" w:cstheme="minorHAnsi"/>
          <w:sz w:val="26"/>
          <w:szCs w:val="26"/>
        </w:rPr>
        <w:t> </w:t>
      </w:r>
      <w:r w:rsidRPr="00324A24">
        <w:rPr>
          <w:rFonts w:asciiTheme="minorHAnsi" w:hAnsiTheme="minorHAnsi" w:cstheme="minorHAnsi"/>
          <w:sz w:val="26"/>
          <w:szCs w:val="26"/>
        </w:rPr>
        <w:t>stupni závislosti</w:t>
      </w:r>
      <w:r w:rsidRPr="00C65691">
        <w:rPr>
          <w:rFonts w:asciiTheme="minorHAnsi" w:hAnsiTheme="minorHAnsi" w:cstheme="minorHAnsi"/>
          <w:sz w:val="26"/>
          <w:szCs w:val="26"/>
        </w:rPr>
        <w:t>, 31,5 % ve II.</w:t>
      </w:r>
      <w:r w:rsidR="0038102F">
        <w:rPr>
          <w:rFonts w:asciiTheme="minorHAnsi" w:hAnsiTheme="minorHAnsi" w:cstheme="minorHAnsi"/>
          <w:sz w:val="26"/>
          <w:szCs w:val="26"/>
        </w:rPr>
        <w:t> </w:t>
      </w:r>
      <w:r w:rsidRPr="00C65691">
        <w:rPr>
          <w:rFonts w:asciiTheme="minorHAnsi" w:hAnsiTheme="minorHAnsi" w:cstheme="minorHAnsi"/>
          <w:sz w:val="26"/>
          <w:szCs w:val="26"/>
        </w:rPr>
        <w:t>stupni závislosti, 25,9 % ve III.</w:t>
      </w:r>
      <w:r w:rsidR="0038102F">
        <w:rPr>
          <w:rFonts w:asciiTheme="minorHAnsi" w:hAnsiTheme="minorHAnsi" w:cstheme="minorHAnsi"/>
          <w:sz w:val="26"/>
          <w:szCs w:val="26"/>
        </w:rPr>
        <w:t> </w:t>
      </w:r>
      <w:r w:rsidRPr="00C65691">
        <w:rPr>
          <w:rFonts w:asciiTheme="minorHAnsi" w:hAnsiTheme="minorHAnsi" w:cstheme="minorHAnsi"/>
          <w:sz w:val="26"/>
          <w:szCs w:val="26"/>
        </w:rPr>
        <w:t>stupni závislosti a</w:t>
      </w:r>
      <w:r w:rsidR="0038102F">
        <w:rPr>
          <w:rFonts w:asciiTheme="minorHAnsi" w:hAnsiTheme="minorHAnsi" w:cstheme="minorHAnsi"/>
          <w:sz w:val="26"/>
          <w:szCs w:val="26"/>
        </w:rPr>
        <w:t> </w:t>
      </w:r>
      <w:r w:rsidRPr="00C65691">
        <w:rPr>
          <w:rFonts w:asciiTheme="minorHAnsi" w:hAnsiTheme="minorHAnsi" w:cstheme="minorHAnsi"/>
          <w:sz w:val="26"/>
          <w:szCs w:val="26"/>
        </w:rPr>
        <w:t>15,2 % ve IV.</w:t>
      </w:r>
      <w:r w:rsidR="0038102F">
        <w:rPr>
          <w:rFonts w:asciiTheme="minorHAnsi" w:hAnsiTheme="minorHAnsi" w:cstheme="minorHAnsi"/>
          <w:sz w:val="26"/>
          <w:szCs w:val="26"/>
        </w:rPr>
        <w:t> </w:t>
      </w:r>
      <w:r w:rsidRPr="00C65691">
        <w:rPr>
          <w:rFonts w:asciiTheme="minorHAnsi" w:hAnsiTheme="minorHAnsi" w:cstheme="minorHAnsi"/>
          <w:sz w:val="26"/>
          <w:szCs w:val="26"/>
        </w:rPr>
        <w:t xml:space="preserve">stupni závislosti. </w:t>
      </w:r>
      <w:r w:rsidRPr="00F1243E">
        <w:rPr>
          <w:rFonts w:asciiTheme="minorHAnsi" w:hAnsiTheme="minorHAnsi" w:cstheme="minorHAnsi"/>
          <w:sz w:val="26"/>
          <w:szCs w:val="26"/>
        </w:rPr>
        <w:t xml:space="preserve">Z hlediska věkové struktury bylo cca 9,0 % příspěvků vyplaceno osobám do </w:t>
      </w:r>
      <w:r w:rsidR="0038102F">
        <w:rPr>
          <w:rFonts w:asciiTheme="minorHAnsi" w:hAnsiTheme="minorHAnsi" w:cstheme="minorHAnsi"/>
          <w:sz w:val="26"/>
          <w:szCs w:val="26"/>
        </w:rPr>
        <w:t>18</w:t>
      </w:r>
      <w:r w:rsidRPr="00F1243E">
        <w:rPr>
          <w:rFonts w:asciiTheme="minorHAnsi" w:hAnsiTheme="minorHAnsi" w:cstheme="minorHAnsi"/>
          <w:sz w:val="26"/>
          <w:szCs w:val="26"/>
        </w:rPr>
        <w:t xml:space="preserve"> let věku, osobám ve věku 18 až 59 let cca 18,4 %, osobám ve věku 60 až 79 let 32,2 % a osobám osmdesátiletým a starším 40,4 % příspěvků.</w:t>
      </w:r>
    </w:p>
    <w:p w14:paraId="3D51E3A9" w14:textId="77777777" w:rsidR="00ED4155" w:rsidRPr="00324A24" w:rsidRDefault="00ED4155" w:rsidP="00DA50E3">
      <w:pPr>
        <w:pStyle w:val="Odstavecseseznamem"/>
        <w:spacing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lastRenderedPageBreak/>
        <w:tab/>
      </w:r>
      <w:r w:rsidRPr="00324A24">
        <w:rPr>
          <w:rFonts w:asciiTheme="minorHAnsi" w:hAnsiTheme="minorHAnsi" w:cstheme="minorHAnsi"/>
          <w:b/>
          <w:bCs/>
          <w:sz w:val="26"/>
          <w:szCs w:val="26"/>
        </w:rPr>
        <w:t>V červnu 2022</w:t>
      </w:r>
      <w:r w:rsidRPr="00324A24">
        <w:rPr>
          <w:rFonts w:asciiTheme="minorHAnsi" w:hAnsiTheme="minorHAnsi" w:cstheme="minorHAnsi"/>
          <w:sz w:val="26"/>
          <w:szCs w:val="26"/>
        </w:rPr>
        <w:t xml:space="preserve"> bylo z celkem 363,4 tis. příspěvků na péči vyplaceno 60,6 % (220,0 tis.) </w:t>
      </w:r>
      <w:r w:rsidRPr="00324A24">
        <w:rPr>
          <w:rFonts w:asciiTheme="minorHAnsi" w:hAnsiTheme="minorHAnsi" w:cstheme="minorHAnsi"/>
          <w:b/>
          <w:bCs/>
          <w:sz w:val="26"/>
          <w:szCs w:val="26"/>
        </w:rPr>
        <w:t>ženám</w:t>
      </w:r>
      <w:r w:rsidRPr="00324A24">
        <w:rPr>
          <w:rFonts w:asciiTheme="minorHAnsi" w:hAnsiTheme="minorHAnsi" w:cstheme="minorHAnsi"/>
          <w:sz w:val="26"/>
          <w:szCs w:val="26"/>
        </w:rPr>
        <w:t xml:space="preserve"> a 39,4 % (142,9 tis.) mužům.</w:t>
      </w:r>
    </w:p>
    <w:bookmarkEnd w:id="5"/>
    <w:p w14:paraId="0997AA88" w14:textId="77777777" w:rsidR="00ED4155" w:rsidRPr="00324A24" w:rsidRDefault="00ED4155" w:rsidP="00DA50E3">
      <w:pPr>
        <w:pStyle w:val="Odstavecseseznamem"/>
        <w:spacing w:line="360" w:lineRule="auto"/>
        <w:ind w:left="0"/>
        <w:jc w:val="both"/>
        <w:rPr>
          <w:rFonts w:asciiTheme="minorHAnsi" w:hAnsiTheme="minorHAnsi" w:cstheme="minorHAnsi"/>
          <w:sz w:val="26"/>
          <w:szCs w:val="26"/>
        </w:rPr>
      </w:pPr>
    </w:p>
    <w:p w14:paraId="1A75D89C" w14:textId="77777777" w:rsidR="00ED4155" w:rsidRPr="00324A24" w:rsidRDefault="00ED4155" w:rsidP="00DA50E3">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t xml:space="preserve">Prostředky vyplacené formou </w:t>
      </w:r>
      <w:r w:rsidRPr="00324A24">
        <w:rPr>
          <w:rFonts w:asciiTheme="minorHAnsi" w:hAnsiTheme="minorHAnsi" w:cstheme="minorHAnsi"/>
          <w:b/>
          <w:bCs/>
          <w:sz w:val="26"/>
          <w:szCs w:val="26"/>
          <w:u w:val="single"/>
        </w:rPr>
        <w:t>podpory v nezaměstnanosti</w:t>
      </w:r>
      <w:r w:rsidRPr="00324A24">
        <w:rPr>
          <w:rFonts w:asciiTheme="minorHAnsi" w:hAnsiTheme="minorHAnsi" w:cstheme="minorHAnsi"/>
          <w:sz w:val="26"/>
          <w:szCs w:val="26"/>
        </w:rPr>
        <w:t xml:space="preserve"> se podílely na celkových sociálních příjmech domácností 1,4 %. V lednu</w:t>
      </w:r>
      <w:bookmarkStart w:id="6" w:name="_Hlk51934492"/>
      <w:r w:rsidRPr="00324A24">
        <w:rPr>
          <w:rFonts w:asciiTheme="minorHAnsi" w:hAnsiTheme="minorHAnsi" w:cstheme="minorHAnsi"/>
          <w:sz w:val="26"/>
          <w:szCs w:val="26"/>
        </w:rPr>
        <w:t> –</w:t>
      </w:r>
      <w:bookmarkEnd w:id="6"/>
      <w:r w:rsidRPr="00324A24">
        <w:rPr>
          <w:rFonts w:asciiTheme="minorHAnsi" w:hAnsiTheme="minorHAnsi" w:cstheme="minorHAnsi"/>
          <w:sz w:val="26"/>
          <w:szCs w:val="26"/>
        </w:rPr>
        <w:t xml:space="preserve"> červnu 2022 na ně bylo vyčerpáno </w:t>
      </w:r>
      <w:r w:rsidRPr="00324A24">
        <w:rPr>
          <w:rFonts w:asciiTheme="minorHAnsi" w:hAnsiTheme="minorHAnsi" w:cstheme="minorHAnsi"/>
          <w:b/>
          <w:bCs/>
          <w:sz w:val="26"/>
          <w:szCs w:val="26"/>
        </w:rPr>
        <w:t>5,1 mld. Kč</w:t>
      </w:r>
      <w:r w:rsidRPr="00324A24">
        <w:rPr>
          <w:rFonts w:asciiTheme="minorHAnsi" w:hAnsiTheme="minorHAnsi" w:cstheme="minorHAnsi"/>
          <w:sz w:val="26"/>
          <w:szCs w:val="26"/>
        </w:rPr>
        <w:t xml:space="preserve"> při meziročním </w:t>
      </w:r>
      <w:r w:rsidRPr="00324A24">
        <w:rPr>
          <w:rFonts w:asciiTheme="minorHAnsi" w:hAnsiTheme="minorHAnsi" w:cstheme="minorHAnsi"/>
          <w:b/>
          <w:bCs/>
          <w:sz w:val="26"/>
          <w:szCs w:val="26"/>
        </w:rPr>
        <w:t>poklesu o 7,7 %</w:t>
      </w:r>
      <w:r w:rsidRPr="00324A24">
        <w:rPr>
          <w:rFonts w:asciiTheme="minorHAnsi" w:hAnsiTheme="minorHAnsi" w:cstheme="minorHAnsi"/>
          <w:sz w:val="26"/>
          <w:szCs w:val="26"/>
        </w:rPr>
        <w:t xml:space="preserve"> – viz tabulku č. 8 v příloze.</w:t>
      </w:r>
    </w:p>
    <w:p w14:paraId="36038ACD" w14:textId="77777777" w:rsidR="00ED4155" w:rsidRPr="00324A24" w:rsidRDefault="00ED4155" w:rsidP="00DA50E3">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t xml:space="preserve">V uvedeném období </w:t>
      </w:r>
      <w:r w:rsidRPr="00324A24">
        <w:rPr>
          <w:rFonts w:asciiTheme="minorHAnsi" w:hAnsiTheme="minorHAnsi" w:cstheme="minorHAnsi"/>
          <w:b/>
          <w:bCs/>
          <w:sz w:val="26"/>
          <w:szCs w:val="26"/>
        </w:rPr>
        <w:t>klesl průměrný podíl nezaměstnaných osob</w:t>
      </w:r>
      <w:r w:rsidRPr="00324A24">
        <w:rPr>
          <w:rFonts w:asciiTheme="minorHAnsi" w:hAnsiTheme="minorHAnsi" w:cstheme="minorHAnsi"/>
          <w:sz w:val="26"/>
          <w:szCs w:val="26"/>
        </w:rPr>
        <w:t xml:space="preserve"> ze 4,1 % na </w:t>
      </w:r>
      <w:r w:rsidRPr="00324A24">
        <w:rPr>
          <w:rFonts w:asciiTheme="minorHAnsi" w:hAnsiTheme="minorHAnsi" w:cstheme="minorHAnsi"/>
          <w:b/>
          <w:bCs/>
          <w:sz w:val="26"/>
          <w:szCs w:val="26"/>
        </w:rPr>
        <w:t>3,4 %</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Průměrný počet evidovaných nezaměstnaných se snížil</w:t>
      </w:r>
      <w:r w:rsidRPr="00324A24">
        <w:rPr>
          <w:rFonts w:asciiTheme="minorHAnsi" w:hAnsiTheme="minorHAnsi" w:cstheme="minorHAnsi"/>
          <w:sz w:val="26"/>
          <w:szCs w:val="26"/>
        </w:rPr>
        <w:t xml:space="preserve"> o 47,7 tis. (15,9 %) na </w:t>
      </w:r>
      <w:r w:rsidRPr="00324A24">
        <w:rPr>
          <w:rFonts w:asciiTheme="minorHAnsi" w:hAnsiTheme="minorHAnsi" w:cstheme="minorHAnsi"/>
          <w:b/>
          <w:bCs/>
          <w:sz w:val="26"/>
          <w:szCs w:val="26"/>
        </w:rPr>
        <w:t>251,2 tis.</w:t>
      </w:r>
      <w:r w:rsidRPr="00324A24">
        <w:rPr>
          <w:rFonts w:asciiTheme="minorHAnsi" w:hAnsiTheme="minorHAnsi" w:cstheme="minorHAnsi"/>
          <w:sz w:val="26"/>
          <w:szCs w:val="26"/>
        </w:rPr>
        <w:t xml:space="preserve">, přičemž průměrný počet evidovaných nezaměstnaných </w:t>
      </w:r>
      <w:r w:rsidRPr="00324A24">
        <w:rPr>
          <w:rFonts w:asciiTheme="minorHAnsi" w:hAnsiTheme="minorHAnsi" w:cstheme="minorHAnsi"/>
          <w:b/>
          <w:bCs/>
          <w:sz w:val="26"/>
          <w:szCs w:val="26"/>
        </w:rPr>
        <w:t>s nárokem na podporu klesl</w:t>
      </w:r>
      <w:r w:rsidRPr="00324A24">
        <w:rPr>
          <w:rFonts w:asciiTheme="minorHAnsi" w:hAnsiTheme="minorHAnsi" w:cstheme="minorHAnsi"/>
          <w:sz w:val="26"/>
          <w:szCs w:val="26"/>
        </w:rPr>
        <w:t xml:space="preserve"> na </w:t>
      </w:r>
      <w:r w:rsidRPr="00324A24">
        <w:rPr>
          <w:rFonts w:asciiTheme="minorHAnsi" w:hAnsiTheme="minorHAnsi" w:cstheme="minorHAnsi"/>
          <w:b/>
          <w:bCs/>
          <w:sz w:val="26"/>
          <w:szCs w:val="26"/>
        </w:rPr>
        <w:t>80,8 tis.</w:t>
      </w:r>
      <w:r w:rsidRPr="00324A24">
        <w:rPr>
          <w:rFonts w:asciiTheme="minorHAnsi" w:hAnsiTheme="minorHAnsi" w:cstheme="minorHAnsi"/>
          <w:sz w:val="26"/>
          <w:szCs w:val="26"/>
        </w:rPr>
        <w:t xml:space="preserve"> (o 13,5 tis., tj. o 14,3 %). </w:t>
      </w:r>
      <w:r w:rsidRPr="00324A24">
        <w:rPr>
          <w:rFonts w:asciiTheme="minorHAnsi" w:hAnsiTheme="minorHAnsi" w:cstheme="minorHAnsi"/>
          <w:b/>
          <w:bCs/>
          <w:sz w:val="26"/>
          <w:szCs w:val="26"/>
        </w:rPr>
        <w:t>Průměrný počet dlouhodobě nezaměstnaných</w:t>
      </w:r>
      <w:r w:rsidRPr="00324A24">
        <w:rPr>
          <w:rFonts w:asciiTheme="minorHAnsi" w:hAnsiTheme="minorHAnsi" w:cstheme="minorHAnsi"/>
          <w:sz w:val="26"/>
          <w:szCs w:val="26"/>
        </w:rPr>
        <w:t xml:space="preserve"> nad 12 měsíců činil </w:t>
      </w:r>
      <w:r w:rsidRPr="00324A24">
        <w:rPr>
          <w:rFonts w:asciiTheme="minorHAnsi" w:hAnsiTheme="minorHAnsi" w:cstheme="minorHAnsi"/>
          <w:b/>
          <w:bCs/>
          <w:sz w:val="26"/>
          <w:szCs w:val="26"/>
        </w:rPr>
        <w:t>82,8 tis.</w:t>
      </w:r>
      <w:r w:rsidRPr="00324A24">
        <w:rPr>
          <w:rFonts w:asciiTheme="minorHAnsi" w:hAnsiTheme="minorHAnsi" w:cstheme="minorHAnsi"/>
          <w:sz w:val="26"/>
          <w:szCs w:val="26"/>
        </w:rPr>
        <w:t xml:space="preserve"> (tj. byl </w:t>
      </w:r>
      <w:r w:rsidRPr="00324A24">
        <w:rPr>
          <w:rFonts w:asciiTheme="minorHAnsi" w:hAnsiTheme="minorHAnsi" w:cstheme="minorHAnsi"/>
          <w:b/>
          <w:bCs/>
          <w:sz w:val="26"/>
          <w:szCs w:val="26"/>
        </w:rPr>
        <w:t>stejný</w:t>
      </w:r>
      <w:r w:rsidRPr="00324A24">
        <w:rPr>
          <w:rFonts w:asciiTheme="minorHAnsi" w:hAnsiTheme="minorHAnsi" w:cstheme="minorHAnsi"/>
          <w:sz w:val="26"/>
          <w:szCs w:val="26"/>
        </w:rPr>
        <w:t xml:space="preserve"> jako v 1. pololetí 2021). </w:t>
      </w:r>
      <w:r w:rsidRPr="00324A24">
        <w:rPr>
          <w:rFonts w:asciiTheme="minorHAnsi" w:hAnsiTheme="minorHAnsi" w:cstheme="minorHAnsi"/>
          <w:b/>
          <w:bCs/>
          <w:sz w:val="26"/>
          <w:szCs w:val="26"/>
        </w:rPr>
        <w:t>Podíl žen pobírajících podporu</w:t>
      </w:r>
      <w:r w:rsidRPr="00324A24">
        <w:rPr>
          <w:rFonts w:asciiTheme="minorHAnsi" w:hAnsiTheme="minorHAnsi" w:cstheme="minorHAnsi"/>
          <w:sz w:val="26"/>
          <w:szCs w:val="26"/>
        </w:rPr>
        <w:t xml:space="preserve"> v nezaměstnanosti na celkovém počtu uchazečů s podporou činil </w:t>
      </w:r>
      <w:r w:rsidRPr="00324A24">
        <w:rPr>
          <w:rFonts w:asciiTheme="minorHAnsi" w:hAnsiTheme="minorHAnsi" w:cstheme="minorHAnsi"/>
          <w:b/>
          <w:bCs/>
          <w:sz w:val="26"/>
          <w:szCs w:val="26"/>
        </w:rPr>
        <w:t>53,5 %</w:t>
      </w:r>
      <w:r w:rsidRPr="00324A24">
        <w:rPr>
          <w:rFonts w:asciiTheme="minorHAnsi" w:hAnsiTheme="minorHAnsi" w:cstheme="minorHAnsi"/>
          <w:sz w:val="26"/>
          <w:szCs w:val="26"/>
        </w:rPr>
        <w:t xml:space="preserve"> (o 1,4 p. b. více než ve stejném období 2021). Podíl absolventů s podporou se zvýšil o 0,1 p. b. na </w:t>
      </w:r>
      <w:r w:rsidRPr="00324A24">
        <w:rPr>
          <w:rFonts w:asciiTheme="minorHAnsi" w:hAnsiTheme="minorHAnsi" w:cstheme="minorHAnsi"/>
          <w:b/>
          <w:bCs/>
          <w:sz w:val="26"/>
          <w:szCs w:val="26"/>
        </w:rPr>
        <w:t>0,7 %</w:t>
      </w:r>
      <w:r w:rsidRPr="00324A24">
        <w:rPr>
          <w:rFonts w:asciiTheme="minorHAnsi" w:hAnsiTheme="minorHAnsi" w:cstheme="minorHAnsi"/>
          <w:sz w:val="26"/>
          <w:szCs w:val="26"/>
        </w:rPr>
        <w:t xml:space="preserve">. </w:t>
      </w:r>
      <w:r w:rsidRPr="00324A24">
        <w:rPr>
          <w:rFonts w:asciiTheme="minorHAnsi" w:hAnsiTheme="minorHAnsi" w:cstheme="minorHAnsi"/>
          <w:b/>
          <w:bCs/>
          <w:sz w:val="26"/>
          <w:szCs w:val="26"/>
        </w:rPr>
        <w:t>Jedno volné pracovní místo připadalo na 0,7 uchazeče</w:t>
      </w:r>
      <w:r w:rsidRPr="00324A24">
        <w:rPr>
          <w:rFonts w:asciiTheme="minorHAnsi" w:hAnsiTheme="minorHAnsi" w:cstheme="minorHAnsi"/>
          <w:sz w:val="26"/>
          <w:szCs w:val="26"/>
        </w:rPr>
        <w:t xml:space="preserve"> (o 0,2 méně než v 1. pololetí 2021).</w:t>
      </w:r>
    </w:p>
    <w:p w14:paraId="40F0A1CE" w14:textId="77777777" w:rsidR="00ED4155" w:rsidRPr="00324A24" w:rsidRDefault="00ED4155" w:rsidP="00ED4155">
      <w:pPr>
        <w:spacing w:line="360" w:lineRule="auto"/>
        <w:jc w:val="both"/>
        <w:rPr>
          <w:rFonts w:asciiTheme="minorHAnsi" w:hAnsiTheme="minorHAnsi" w:cstheme="minorHAnsi"/>
          <w:sz w:val="26"/>
          <w:szCs w:val="26"/>
        </w:rPr>
      </w:pPr>
      <w:r w:rsidRPr="00324A24">
        <w:rPr>
          <w:rFonts w:ascii="Calibri" w:eastAsia="Calibri" w:hAnsi="Calibri"/>
          <w:noProof/>
          <w:sz w:val="22"/>
          <w:szCs w:val="22"/>
          <w:lang w:eastAsia="en-US"/>
        </w:rPr>
        <w:drawing>
          <wp:inline distT="0" distB="0" distL="0" distR="0" wp14:anchorId="39CC0590" wp14:editId="62FE3BA1">
            <wp:extent cx="5753100" cy="3876675"/>
            <wp:effectExtent l="19050" t="19050" r="19050" b="285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3876675"/>
                    </a:xfrm>
                    <a:prstGeom prst="rect">
                      <a:avLst/>
                    </a:prstGeom>
                    <a:noFill/>
                    <a:ln>
                      <a:solidFill>
                        <a:srgbClr val="D4E3F4"/>
                      </a:solidFill>
                    </a:ln>
                  </pic:spPr>
                </pic:pic>
              </a:graphicData>
            </a:graphic>
          </wp:inline>
        </w:drawing>
      </w:r>
    </w:p>
    <w:p w14:paraId="6A7C32AD" w14:textId="77777777" w:rsidR="00ED4155" w:rsidRPr="00324A24" w:rsidRDefault="00ED4155" w:rsidP="00ED4155">
      <w:pPr>
        <w:spacing w:line="360" w:lineRule="auto"/>
        <w:jc w:val="both"/>
        <w:rPr>
          <w:rFonts w:asciiTheme="minorHAnsi" w:hAnsiTheme="minorHAnsi" w:cstheme="minorHAnsi"/>
          <w:sz w:val="22"/>
          <w:szCs w:val="22"/>
        </w:rPr>
      </w:pPr>
      <w:r w:rsidRPr="00324A24">
        <w:rPr>
          <w:rFonts w:asciiTheme="minorHAnsi" w:hAnsiTheme="minorHAnsi" w:cstheme="minorHAnsi"/>
          <w:sz w:val="22"/>
          <w:szCs w:val="22"/>
        </w:rPr>
        <w:t>Zpracováno z údajů MPSV</w:t>
      </w:r>
    </w:p>
    <w:p w14:paraId="2767B87A" w14:textId="77777777" w:rsidR="0038102F" w:rsidRDefault="0038102F" w:rsidP="00BA35BC">
      <w:pPr>
        <w:pStyle w:val="Odstavecseseznamem"/>
        <w:spacing w:after="120" w:line="360" w:lineRule="auto"/>
        <w:ind w:left="0"/>
        <w:jc w:val="both"/>
        <w:rPr>
          <w:rFonts w:asciiTheme="minorHAnsi" w:hAnsiTheme="minorHAnsi" w:cstheme="minorHAnsi"/>
          <w:sz w:val="26"/>
          <w:szCs w:val="26"/>
        </w:rPr>
      </w:pPr>
    </w:p>
    <w:p w14:paraId="570DDF14" w14:textId="53EC32DA" w:rsidR="00ED4155" w:rsidRPr="00324A24" w:rsidRDefault="00ED4155" w:rsidP="00BA35BC">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r>
      <w:r w:rsidRPr="00324A24">
        <w:rPr>
          <w:rFonts w:asciiTheme="minorHAnsi" w:hAnsiTheme="minorHAnsi" w:cstheme="minorHAnsi"/>
          <w:b/>
          <w:sz w:val="26"/>
          <w:szCs w:val="26"/>
        </w:rPr>
        <w:t>Průměrná výše podpory v nezaměstnanosti</w:t>
      </w:r>
      <w:r w:rsidRPr="00324A24">
        <w:rPr>
          <w:rFonts w:asciiTheme="minorHAnsi" w:hAnsiTheme="minorHAnsi" w:cstheme="minorHAnsi"/>
          <w:sz w:val="26"/>
          <w:szCs w:val="26"/>
        </w:rPr>
        <w:t xml:space="preserve"> se meziročně ve sledovaném období </w:t>
      </w:r>
      <w:r w:rsidRPr="00324A24">
        <w:rPr>
          <w:rFonts w:asciiTheme="minorHAnsi" w:hAnsiTheme="minorHAnsi" w:cstheme="minorHAnsi"/>
          <w:b/>
          <w:sz w:val="26"/>
          <w:szCs w:val="26"/>
        </w:rPr>
        <w:t>zvýšila o 10,1 %</w:t>
      </w:r>
      <w:r w:rsidRPr="00324A24">
        <w:rPr>
          <w:rFonts w:asciiTheme="minorHAnsi" w:hAnsiTheme="minorHAnsi" w:cstheme="minorHAnsi"/>
          <w:sz w:val="26"/>
          <w:szCs w:val="26"/>
        </w:rPr>
        <w:t xml:space="preserve"> (o 859 Kč) </w:t>
      </w:r>
      <w:r w:rsidRPr="00324A24">
        <w:rPr>
          <w:rFonts w:asciiTheme="minorHAnsi" w:hAnsiTheme="minorHAnsi" w:cstheme="minorHAnsi"/>
          <w:b/>
          <w:sz w:val="26"/>
          <w:szCs w:val="26"/>
        </w:rPr>
        <w:t>na 9 327 Kč</w:t>
      </w:r>
      <w:r w:rsidRPr="00324A24">
        <w:rPr>
          <w:rFonts w:asciiTheme="minorHAnsi" w:hAnsiTheme="minorHAnsi" w:cstheme="minorHAnsi"/>
          <w:sz w:val="26"/>
          <w:szCs w:val="26"/>
        </w:rPr>
        <w:t>, u mužů činila 10</w:t>
      </w:r>
      <w:r w:rsidR="00662B6E">
        <w:rPr>
          <w:rFonts w:asciiTheme="minorHAnsi" w:hAnsiTheme="minorHAnsi" w:cstheme="minorHAnsi"/>
          <w:sz w:val="26"/>
          <w:szCs w:val="26"/>
        </w:rPr>
        <w:t> </w:t>
      </w:r>
      <w:r w:rsidRPr="00324A24">
        <w:rPr>
          <w:rFonts w:asciiTheme="minorHAnsi" w:hAnsiTheme="minorHAnsi" w:cstheme="minorHAnsi"/>
          <w:sz w:val="26"/>
          <w:szCs w:val="26"/>
        </w:rPr>
        <w:t>389 Kč a byla tak o 1 986 Kč vyšší než u žen (8 403 Kč). Průměrná výše podpory vzrostla ve všech krajích. Nejnižší průměrná úroveň podpory byla vykázána v kraji Ústeckém (8 714 Kč), nejvyšší v hl. m. Praze (11 396 Kč) – viz předcházející grafické znázornění a tabulku č. 17 v příloze.</w:t>
      </w:r>
    </w:p>
    <w:p w14:paraId="4A33E7DE" w14:textId="77777777" w:rsidR="00ED4155" w:rsidRPr="00324A24" w:rsidRDefault="00ED4155" w:rsidP="00BA35BC">
      <w:pPr>
        <w:pStyle w:val="Odstavecseseznamem"/>
        <w:spacing w:after="120" w:line="360" w:lineRule="auto"/>
        <w:ind w:left="0"/>
        <w:jc w:val="both"/>
        <w:rPr>
          <w:rFonts w:asciiTheme="minorHAnsi" w:hAnsiTheme="minorHAnsi" w:cstheme="minorHAnsi"/>
          <w:sz w:val="26"/>
          <w:szCs w:val="26"/>
        </w:rPr>
      </w:pPr>
    </w:p>
    <w:p w14:paraId="4453152D" w14:textId="1E64E6B8" w:rsidR="00ED4155" w:rsidRDefault="00ED4155" w:rsidP="00ED4155">
      <w:pPr>
        <w:pStyle w:val="Odstavecseseznamem"/>
        <w:spacing w:after="120" w:line="360" w:lineRule="auto"/>
        <w:ind w:left="0"/>
        <w:jc w:val="both"/>
        <w:rPr>
          <w:rFonts w:asciiTheme="minorHAnsi" w:hAnsiTheme="minorHAnsi" w:cstheme="minorHAnsi"/>
          <w:sz w:val="26"/>
          <w:szCs w:val="26"/>
        </w:rPr>
      </w:pPr>
      <w:r w:rsidRPr="00324A24">
        <w:rPr>
          <w:rFonts w:asciiTheme="minorHAnsi" w:hAnsiTheme="minorHAnsi" w:cstheme="minorHAnsi"/>
          <w:sz w:val="26"/>
          <w:szCs w:val="26"/>
        </w:rPr>
        <w:tab/>
        <w:t xml:space="preserve">Na </w:t>
      </w:r>
      <w:r w:rsidRPr="00324A24">
        <w:rPr>
          <w:rFonts w:asciiTheme="minorHAnsi" w:hAnsiTheme="minorHAnsi" w:cstheme="minorHAnsi"/>
          <w:b/>
          <w:sz w:val="26"/>
          <w:szCs w:val="26"/>
          <w:u w:val="single"/>
        </w:rPr>
        <w:t>dávky pomoci v hmotné nouzi a humanitární pomoc občanům Ukrajiny</w:t>
      </w:r>
      <w:r w:rsidRPr="00324A24">
        <w:rPr>
          <w:rFonts w:asciiTheme="minorHAnsi" w:hAnsiTheme="minorHAnsi" w:cstheme="minorHAnsi"/>
          <w:sz w:val="26"/>
          <w:szCs w:val="26"/>
        </w:rPr>
        <w:t xml:space="preserve"> bylo poskytnuto </w:t>
      </w:r>
      <w:r w:rsidRPr="00BA41DA">
        <w:rPr>
          <w:rFonts w:asciiTheme="minorHAnsi" w:hAnsiTheme="minorHAnsi" w:cstheme="minorHAnsi"/>
          <w:sz w:val="26"/>
          <w:szCs w:val="26"/>
        </w:rPr>
        <w:t xml:space="preserve">celkem </w:t>
      </w:r>
      <w:r w:rsidRPr="00590218">
        <w:rPr>
          <w:rFonts w:asciiTheme="minorHAnsi" w:hAnsiTheme="minorHAnsi" w:cstheme="minorHAnsi"/>
          <w:b/>
          <w:bCs/>
          <w:sz w:val="26"/>
          <w:szCs w:val="26"/>
        </w:rPr>
        <w:t>7,1 mld. Kč</w:t>
      </w:r>
      <w:r w:rsidRPr="00BA41DA">
        <w:rPr>
          <w:rFonts w:asciiTheme="minorHAnsi" w:hAnsiTheme="minorHAnsi" w:cstheme="minorHAnsi"/>
          <w:sz w:val="26"/>
          <w:szCs w:val="26"/>
        </w:rPr>
        <w:t xml:space="preserve"> (podíl na celkových sociálních příjmech domácností </w:t>
      </w:r>
      <w:r w:rsidRPr="00A54413">
        <w:rPr>
          <w:rFonts w:asciiTheme="minorHAnsi" w:hAnsiTheme="minorHAnsi" w:cstheme="minorHAnsi"/>
          <w:sz w:val="26"/>
          <w:szCs w:val="26"/>
        </w:rPr>
        <w:t xml:space="preserve">činil 2,0 %) s tím, že na </w:t>
      </w:r>
      <w:r w:rsidRPr="00A54413">
        <w:rPr>
          <w:rFonts w:asciiTheme="minorHAnsi" w:hAnsiTheme="minorHAnsi" w:cstheme="minorHAnsi"/>
          <w:b/>
          <w:bCs/>
          <w:sz w:val="26"/>
          <w:szCs w:val="26"/>
        </w:rPr>
        <w:t>dávky pomoci v hmotné nouzi</w:t>
      </w:r>
      <w:r w:rsidRPr="00A54413">
        <w:rPr>
          <w:rFonts w:asciiTheme="minorHAnsi" w:hAnsiTheme="minorHAnsi" w:cstheme="minorHAnsi"/>
          <w:sz w:val="26"/>
          <w:szCs w:val="26"/>
        </w:rPr>
        <w:t xml:space="preserve"> bylo čerpáno </w:t>
      </w:r>
      <w:r w:rsidRPr="00A54413">
        <w:rPr>
          <w:rFonts w:asciiTheme="minorHAnsi" w:hAnsiTheme="minorHAnsi" w:cstheme="minorHAnsi"/>
          <w:b/>
          <w:bCs/>
          <w:sz w:val="26"/>
          <w:szCs w:val="26"/>
        </w:rPr>
        <w:t>2,8 mld. Kč</w:t>
      </w:r>
      <w:r w:rsidRPr="00A54413">
        <w:rPr>
          <w:rFonts w:asciiTheme="minorHAnsi" w:hAnsiTheme="minorHAnsi" w:cstheme="minorHAnsi"/>
          <w:sz w:val="26"/>
          <w:szCs w:val="26"/>
        </w:rPr>
        <w:t xml:space="preserve"> (nárůst o </w:t>
      </w:r>
      <w:r>
        <w:rPr>
          <w:rFonts w:asciiTheme="minorHAnsi" w:hAnsiTheme="minorHAnsi" w:cstheme="minorHAnsi"/>
          <w:sz w:val="26"/>
          <w:szCs w:val="26"/>
        </w:rPr>
        <w:t>97,5</w:t>
      </w:r>
      <w:r w:rsidRPr="00A54413">
        <w:rPr>
          <w:rFonts w:asciiTheme="minorHAnsi" w:hAnsiTheme="minorHAnsi" w:cstheme="minorHAnsi"/>
          <w:sz w:val="26"/>
          <w:szCs w:val="26"/>
        </w:rPr>
        <w:t xml:space="preserve"> m</w:t>
      </w:r>
      <w:r>
        <w:rPr>
          <w:rFonts w:asciiTheme="minorHAnsi" w:hAnsiTheme="minorHAnsi" w:cstheme="minorHAnsi"/>
          <w:sz w:val="26"/>
          <w:szCs w:val="26"/>
        </w:rPr>
        <w:t>il</w:t>
      </w:r>
      <w:r w:rsidRPr="00A54413">
        <w:rPr>
          <w:rFonts w:asciiTheme="minorHAnsi" w:hAnsiTheme="minorHAnsi" w:cstheme="minorHAnsi"/>
          <w:sz w:val="26"/>
          <w:szCs w:val="26"/>
        </w:rPr>
        <w:t xml:space="preserve">. Kč, tj. o 3,6 %) a na </w:t>
      </w:r>
      <w:r w:rsidRPr="00A54413">
        <w:rPr>
          <w:rFonts w:asciiTheme="minorHAnsi" w:hAnsiTheme="minorHAnsi" w:cstheme="minorHAnsi"/>
          <w:b/>
          <w:bCs/>
          <w:sz w:val="26"/>
          <w:szCs w:val="26"/>
        </w:rPr>
        <w:t>humanitární pomoc občanům Ukrajiny 4,3 mld. Kč</w:t>
      </w:r>
      <w:r w:rsidRPr="00A54413">
        <w:rPr>
          <w:rFonts w:asciiTheme="minorHAnsi" w:hAnsiTheme="minorHAnsi" w:cstheme="minorHAnsi"/>
          <w:sz w:val="26"/>
          <w:szCs w:val="26"/>
        </w:rPr>
        <w:t xml:space="preserve"> – viz</w:t>
      </w:r>
      <w:r w:rsidR="00044BD5">
        <w:rPr>
          <w:rFonts w:asciiTheme="minorHAnsi" w:hAnsiTheme="minorHAnsi" w:cstheme="minorHAnsi"/>
          <w:sz w:val="26"/>
          <w:szCs w:val="26"/>
        </w:rPr>
        <w:t> </w:t>
      </w:r>
      <w:r w:rsidRPr="00A54413">
        <w:rPr>
          <w:rFonts w:asciiTheme="minorHAnsi" w:hAnsiTheme="minorHAnsi" w:cstheme="minorHAnsi"/>
          <w:sz w:val="26"/>
          <w:szCs w:val="26"/>
        </w:rPr>
        <w:t>tabulky č. 8, 18 a 19 v příloze. Vývoj výdajů na jednotlivé dávky pomoci v hmotné nouzi ukazuje následující graf:</w:t>
      </w:r>
    </w:p>
    <w:p w14:paraId="42603DE8" w14:textId="77777777" w:rsidR="00ED4155" w:rsidRPr="00BA35BC" w:rsidRDefault="00ED4155" w:rsidP="00ED4155">
      <w:pPr>
        <w:spacing w:line="360" w:lineRule="auto"/>
        <w:jc w:val="both"/>
        <w:rPr>
          <w:rFonts w:asciiTheme="minorHAnsi" w:hAnsiTheme="minorHAnsi" w:cstheme="minorHAnsi"/>
          <w:sz w:val="26"/>
          <w:szCs w:val="26"/>
        </w:rPr>
      </w:pPr>
      <w:r w:rsidRPr="00774F76">
        <w:rPr>
          <w:rFonts w:ascii="Calibri" w:eastAsia="Calibri" w:hAnsi="Calibri"/>
          <w:noProof/>
          <w:sz w:val="22"/>
          <w:szCs w:val="22"/>
          <w:lang w:eastAsia="en-US"/>
        </w:rPr>
        <w:drawing>
          <wp:inline distT="0" distB="0" distL="0" distR="0" wp14:anchorId="4E4272EB" wp14:editId="663F7CA2">
            <wp:extent cx="5759450" cy="372223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722231"/>
                    </a:xfrm>
                    <a:prstGeom prst="rect">
                      <a:avLst/>
                    </a:prstGeom>
                    <a:noFill/>
                  </pic:spPr>
                </pic:pic>
              </a:graphicData>
            </a:graphic>
          </wp:inline>
        </w:drawing>
      </w:r>
    </w:p>
    <w:p w14:paraId="0133CFF7" w14:textId="60AF755F" w:rsidR="00ED4155" w:rsidRDefault="00ED4155" w:rsidP="00ED4155">
      <w:pPr>
        <w:spacing w:line="360" w:lineRule="auto"/>
        <w:jc w:val="both"/>
        <w:rPr>
          <w:rFonts w:asciiTheme="minorHAnsi" w:hAnsiTheme="minorHAnsi" w:cstheme="minorHAnsi"/>
          <w:sz w:val="22"/>
          <w:szCs w:val="22"/>
        </w:rPr>
      </w:pPr>
      <w:r w:rsidRPr="00774F76">
        <w:rPr>
          <w:rFonts w:asciiTheme="minorHAnsi" w:hAnsiTheme="minorHAnsi" w:cstheme="minorHAnsi"/>
          <w:sz w:val="22"/>
          <w:szCs w:val="22"/>
        </w:rPr>
        <w:t>Zpracováno z údajů MPSV (jednotné výplatní místo – JVM)</w:t>
      </w:r>
    </w:p>
    <w:p w14:paraId="46369D45" w14:textId="511CEDA5" w:rsidR="00BA35BC" w:rsidRDefault="00BA35BC" w:rsidP="00ED4155">
      <w:pPr>
        <w:spacing w:line="360" w:lineRule="auto"/>
        <w:jc w:val="both"/>
        <w:rPr>
          <w:rFonts w:asciiTheme="minorHAnsi" w:hAnsiTheme="minorHAnsi" w:cstheme="minorHAnsi"/>
          <w:sz w:val="22"/>
          <w:szCs w:val="22"/>
        </w:rPr>
      </w:pPr>
    </w:p>
    <w:p w14:paraId="5DD5BE2A" w14:textId="77777777" w:rsidR="0038102F" w:rsidRPr="00774F76" w:rsidRDefault="0038102F" w:rsidP="00ED4155">
      <w:pPr>
        <w:spacing w:line="360" w:lineRule="auto"/>
        <w:jc w:val="both"/>
        <w:rPr>
          <w:rFonts w:asciiTheme="minorHAnsi" w:hAnsiTheme="minorHAnsi" w:cstheme="minorHAnsi"/>
          <w:sz w:val="22"/>
          <w:szCs w:val="22"/>
        </w:rPr>
      </w:pPr>
    </w:p>
    <w:p w14:paraId="01139651" w14:textId="51DD8A80" w:rsidR="00ED4155" w:rsidRPr="00044BD5" w:rsidRDefault="00ED4155" w:rsidP="00ED4155">
      <w:pPr>
        <w:pStyle w:val="Odstavecseseznamem"/>
        <w:spacing w:line="360" w:lineRule="auto"/>
        <w:ind w:left="0"/>
        <w:jc w:val="both"/>
        <w:rPr>
          <w:rFonts w:asciiTheme="minorHAnsi" w:hAnsiTheme="minorHAnsi" w:cstheme="minorHAnsi"/>
          <w:sz w:val="26"/>
          <w:szCs w:val="26"/>
        </w:rPr>
      </w:pPr>
      <w:r w:rsidRPr="00044BD5">
        <w:rPr>
          <w:rFonts w:asciiTheme="minorHAnsi" w:hAnsiTheme="minorHAnsi" w:cstheme="minorHAnsi"/>
          <w:sz w:val="26"/>
          <w:szCs w:val="26"/>
        </w:rPr>
        <w:tab/>
        <w:t xml:space="preserve">Výdaje na </w:t>
      </w:r>
      <w:r w:rsidRPr="00044BD5">
        <w:rPr>
          <w:rFonts w:asciiTheme="minorHAnsi" w:hAnsiTheme="minorHAnsi" w:cstheme="minorHAnsi"/>
          <w:b/>
          <w:sz w:val="26"/>
          <w:szCs w:val="26"/>
        </w:rPr>
        <w:t>příspěvek na živobytí</w:t>
      </w:r>
      <w:r w:rsidRPr="00044BD5">
        <w:rPr>
          <w:rFonts w:asciiTheme="minorHAnsi" w:hAnsiTheme="minorHAnsi" w:cstheme="minorHAnsi"/>
          <w:sz w:val="26"/>
          <w:szCs w:val="26"/>
        </w:rPr>
        <w:t xml:space="preserve"> (jejichž podíl činil ve sledovaném období 22,2 % z úhrnného objemu prostředků na dávky pomoci v hmotné nouzi a humanitární pomoc občanům Ukrajiny) činily </w:t>
      </w:r>
      <w:r w:rsidRPr="00044BD5">
        <w:rPr>
          <w:rFonts w:asciiTheme="minorHAnsi" w:hAnsiTheme="minorHAnsi" w:cstheme="minorHAnsi"/>
          <w:b/>
          <w:sz w:val="26"/>
          <w:szCs w:val="26"/>
        </w:rPr>
        <w:t>1,6 mld. Kč</w:t>
      </w:r>
      <w:r w:rsidRPr="00044BD5">
        <w:rPr>
          <w:rFonts w:asciiTheme="minorHAnsi" w:hAnsiTheme="minorHAnsi" w:cstheme="minorHAnsi"/>
          <w:sz w:val="26"/>
          <w:szCs w:val="26"/>
        </w:rPr>
        <w:t xml:space="preserve"> a byly oproti 1.</w:t>
      </w:r>
      <w:r w:rsidR="00662B6E">
        <w:rPr>
          <w:rFonts w:asciiTheme="minorHAnsi" w:hAnsiTheme="minorHAnsi" w:cstheme="minorHAnsi"/>
          <w:sz w:val="26"/>
          <w:szCs w:val="26"/>
        </w:rPr>
        <w:t> </w:t>
      </w:r>
      <w:r w:rsidRPr="00044BD5">
        <w:rPr>
          <w:rFonts w:asciiTheme="minorHAnsi" w:hAnsiTheme="minorHAnsi" w:cstheme="minorHAnsi"/>
          <w:sz w:val="26"/>
          <w:szCs w:val="26"/>
        </w:rPr>
        <w:t>pololetí</w:t>
      </w:r>
      <w:r w:rsidR="00662B6E">
        <w:rPr>
          <w:rFonts w:asciiTheme="minorHAnsi" w:hAnsiTheme="minorHAnsi" w:cstheme="minorHAnsi"/>
          <w:sz w:val="26"/>
          <w:szCs w:val="26"/>
        </w:rPr>
        <w:t> </w:t>
      </w:r>
      <w:r w:rsidRPr="00044BD5">
        <w:rPr>
          <w:rFonts w:asciiTheme="minorHAnsi" w:hAnsiTheme="minorHAnsi" w:cstheme="minorHAnsi"/>
          <w:bCs/>
          <w:sz w:val="26"/>
          <w:szCs w:val="26"/>
        </w:rPr>
        <w:t>2021</w:t>
      </w:r>
      <w:r w:rsidRPr="00044BD5">
        <w:rPr>
          <w:rFonts w:asciiTheme="minorHAnsi" w:hAnsiTheme="minorHAnsi" w:cstheme="minorHAnsi"/>
          <w:b/>
          <w:sz w:val="26"/>
          <w:szCs w:val="26"/>
        </w:rPr>
        <w:t xml:space="preserve"> o</w:t>
      </w:r>
      <w:r w:rsidR="00662B6E">
        <w:rPr>
          <w:rFonts w:asciiTheme="minorHAnsi" w:hAnsiTheme="minorHAnsi" w:cstheme="minorHAnsi"/>
          <w:b/>
          <w:sz w:val="26"/>
          <w:szCs w:val="26"/>
        </w:rPr>
        <w:t> </w:t>
      </w:r>
      <w:r w:rsidRPr="00044BD5">
        <w:rPr>
          <w:rFonts w:asciiTheme="minorHAnsi" w:hAnsiTheme="minorHAnsi" w:cstheme="minorHAnsi"/>
          <w:b/>
          <w:sz w:val="26"/>
          <w:szCs w:val="26"/>
        </w:rPr>
        <w:t>135,0</w:t>
      </w:r>
      <w:r w:rsidR="00662B6E">
        <w:rPr>
          <w:rFonts w:asciiTheme="minorHAnsi" w:hAnsiTheme="minorHAnsi" w:cstheme="minorHAnsi"/>
          <w:b/>
          <w:sz w:val="26"/>
          <w:szCs w:val="26"/>
        </w:rPr>
        <w:t> </w:t>
      </w:r>
      <w:r w:rsidRPr="00044BD5">
        <w:rPr>
          <w:rFonts w:asciiTheme="minorHAnsi" w:hAnsiTheme="minorHAnsi" w:cstheme="minorHAnsi"/>
          <w:b/>
          <w:sz w:val="26"/>
          <w:szCs w:val="26"/>
        </w:rPr>
        <w:t>mil. Kč</w:t>
      </w:r>
      <w:r w:rsidRPr="00044BD5">
        <w:rPr>
          <w:rFonts w:asciiTheme="minorHAnsi" w:hAnsiTheme="minorHAnsi" w:cstheme="minorHAnsi"/>
          <w:sz w:val="26"/>
          <w:szCs w:val="26"/>
        </w:rPr>
        <w:t xml:space="preserve"> (</w:t>
      </w:r>
      <w:r w:rsidRPr="00044BD5">
        <w:rPr>
          <w:rFonts w:asciiTheme="minorHAnsi" w:hAnsiTheme="minorHAnsi" w:cstheme="minorHAnsi"/>
          <w:b/>
          <w:sz w:val="26"/>
          <w:szCs w:val="26"/>
        </w:rPr>
        <w:t>o 7,9 %</w:t>
      </w:r>
      <w:r w:rsidRPr="00044BD5">
        <w:rPr>
          <w:rFonts w:asciiTheme="minorHAnsi" w:hAnsiTheme="minorHAnsi" w:cstheme="minorHAnsi"/>
          <w:sz w:val="26"/>
          <w:szCs w:val="26"/>
        </w:rPr>
        <w:t xml:space="preserve">) </w:t>
      </w:r>
      <w:r w:rsidRPr="00044BD5">
        <w:rPr>
          <w:rFonts w:asciiTheme="minorHAnsi" w:hAnsiTheme="minorHAnsi" w:cstheme="minorHAnsi"/>
          <w:b/>
          <w:sz w:val="26"/>
          <w:szCs w:val="26"/>
        </w:rPr>
        <w:t>nižší</w:t>
      </w:r>
      <w:r w:rsidRPr="00044BD5">
        <w:rPr>
          <w:rFonts w:asciiTheme="minorHAnsi" w:hAnsiTheme="minorHAnsi" w:cstheme="minorHAnsi"/>
          <w:sz w:val="26"/>
          <w:szCs w:val="26"/>
        </w:rPr>
        <w:t xml:space="preserve">. Průměrný měsíční počet dávek se snížil o 6,4 tis. (9,6 %) na </w:t>
      </w:r>
      <w:r w:rsidRPr="00044BD5">
        <w:rPr>
          <w:rFonts w:asciiTheme="minorHAnsi" w:hAnsiTheme="minorHAnsi" w:cstheme="minorHAnsi"/>
          <w:b/>
          <w:sz w:val="26"/>
          <w:szCs w:val="26"/>
        </w:rPr>
        <w:t>60,3</w:t>
      </w:r>
      <w:r w:rsidR="00662B6E">
        <w:rPr>
          <w:rFonts w:asciiTheme="minorHAnsi" w:hAnsiTheme="minorHAnsi" w:cstheme="minorHAnsi"/>
          <w:b/>
          <w:sz w:val="26"/>
          <w:szCs w:val="26"/>
        </w:rPr>
        <w:t> </w:t>
      </w:r>
      <w:r w:rsidRPr="00044BD5">
        <w:rPr>
          <w:rFonts w:asciiTheme="minorHAnsi" w:hAnsiTheme="minorHAnsi" w:cstheme="minorHAnsi"/>
          <w:b/>
          <w:sz w:val="26"/>
          <w:szCs w:val="26"/>
        </w:rPr>
        <w:t>tis. dávek</w:t>
      </w:r>
      <w:r w:rsidRPr="00044BD5">
        <w:rPr>
          <w:rFonts w:asciiTheme="minorHAnsi" w:hAnsiTheme="minorHAnsi" w:cstheme="minorHAnsi"/>
          <w:sz w:val="26"/>
          <w:szCs w:val="26"/>
        </w:rPr>
        <w:t xml:space="preserve"> – viz tabulky č. 18 až 20 v příloze.</w:t>
      </w:r>
    </w:p>
    <w:p w14:paraId="63AB664D" w14:textId="77777777" w:rsidR="004A10B4" w:rsidRPr="00044BD5" w:rsidRDefault="004A10B4" w:rsidP="00ED4155">
      <w:pPr>
        <w:pStyle w:val="Odstavecseseznamem"/>
        <w:spacing w:line="360" w:lineRule="auto"/>
        <w:ind w:left="0"/>
        <w:jc w:val="both"/>
        <w:rPr>
          <w:rFonts w:asciiTheme="minorHAnsi" w:hAnsiTheme="minorHAnsi" w:cstheme="minorHAnsi"/>
          <w:sz w:val="26"/>
          <w:szCs w:val="26"/>
        </w:rPr>
      </w:pPr>
    </w:p>
    <w:p w14:paraId="5BF269C3" w14:textId="7C6256DD" w:rsidR="00ED4155" w:rsidRPr="00044BD5" w:rsidRDefault="00ED4155" w:rsidP="00ED4155">
      <w:pPr>
        <w:pStyle w:val="Odstavecseseznamem"/>
        <w:spacing w:line="360" w:lineRule="auto"/>
        <w:ind w:left="0"/>
        <w:jc w:val="both"/>
        <w:rPr>
          <w:rFonts w:asciiTheme="minorHAnsi" w:hAnsiTheme="minorHAnsi" w:cstheme="minorHAnsi"/>
          <w:b/>
          <w:sz w:val="26"/>
          <w:szCs w:val="26"/>
        </w:rPr>
      </w:pPr>
      <w:r w:rsidRPr="00044BD5">
        <w:rPr>
          <w:rFonts w:asciiTheme="minorHAnsi" w:hAnsiTheme="minorHAnsi" w:cstheme="minorHAnsi"/>
          <w:sz w:val="26"/>
          <w:szCs w:val="26"/>
        </w:rPr>
        <w:tab/>
      </w:r>
      <w:r w:rsidRPr="00044BD5">
        <w:rPr>
          <w:rFonts w:asciiTheme="minorHAnsi" w:hAnsiTheme="minorHAnsi" w:cstheme="minorHAnsi"/>
          <w:b/>
          <w:sz w:val="26"/>
          <w:szCs w:val="26"/>
        </w:rPr>
        <w:t>V červnu 2022:</w:t>
      </w:r>
    </w:p>
    <w:p w14:paraId="7DD03C65" w14:textId="77777777" w:rsidR="00ED4155" w:rsidRPr="00044BD5" w:rsidRDefault="00ED4155" w:rsidP="00ED4155">
      <w:pPr>
        <w:pStyle w:val="Odstavecseseznamem"/>
        <w:numPr>
          <w:ilvl w:val="0"/>
          <w:numId w:val="30"/>
        </w:numPr>
        <w:spacing w:after="120" w:line="276" w:lineRule="auto"/>
        <w:ind w:left="357" w:hanging="357"/>
        <w:jc w:val="both"/>
        <w:rPr>
          <w:rFonts w:asciiTheme="minorHAnsi" w:hAnsiTheme="minorHAnsi" w:cstheme="minorHAnsi"/>
          <w:sz w:val="26"/>
          <w:szCs w:val="26"/>
        </w:rPr>
      </w:pPr>
      <w:r w:rsidRPr="00044BD5">
        <w:rPr>
          <w:rFonts w:asciiTheme="minorHAnsi" w:hAnsiTheme="minorHAnsi" w:cstheme="minorHAnsi"/>
          <w:sz w:val="26"/>
          <w:szCs w:val="26"/>
        </w:rPr>
        <w:t>bylo vyplaceno 60,5 tis. příspěvků na živobytí, což bylo meziročně o 6,6 tis. (9,8 %) méně,</w:t>
      </w:r>
    </w:p>
    <w:p w14:paraId="38A9F7BC" w14:textId="77777777" w:rsidR="00ED4155" w:rsidRPr="00044BD5" w:rsidRDefault="00ED4155" w:rsidP="00ED4155">
      <w:pPr>
        <w:pStyle w:val="Odstavecseseznamem"/>
        <w:numPr>
          <w:ilvl w:val="0"/>
          <w:numId w:val="30"/>
        </w:numPr>
        <w:spacing w:after="120" w:line="276" w:lineRule="auto"/>
        <w:ind w:left="357" w:hanging="357"/>
        <w:jc w:val="both"/>
        <w:rPr>
          <w:rFonts w:asciiTheme="minorHAnsi" w:hAnsiTheme="minorHAnsi" w:cstheme="minorHAnsi"/>
          <w:sz w:val="26"/>
          <w:szCs w:val="26"/>
        </w:rPr>
      </w:pPr>
      <w:r w:rsidRPr="00044BD5">
        <w:rPr>
          <w:rFonts w:asciiTheme="minorHAnsi" w:hAnsiTheme="minorHAnsi" w:cstheme="minorHAnsi"/>
          <w:sz w:val="26"/>
          <w:szCs w:val="26"/>
        </w:rPr>
        <w:t>z celkového počtu dávek připadalo 51,1 % na domácnosti jednotlivců, 11,3 % domácností mělo 5 členů a více,</w:t>
      </w:r>
    </w:p>
    <w:p w14:paraId="6B91C9AD" w14:textId="77777777" w:rsidR="00ED4155" w:rsidRPr="00044BD5" w:rsidRDefault="00ED4155" w:rsidP="00ED4155">
      <w:pPr>
        <w:pStyle w:val="Odstavecseseznamem"/>
        <w:numPr>
          <w:ilvl w:val="0"/>
          <w:numId w:val="30"/>
        </w:numPr>
        <w:spacing w:after="480" w:line="276" w:lineRule="auto"/>
        <w:ind w:left="357" w:hanging="357"/>
        <w:jc w:val="both"/>
        <w:rPr>
          <w:rFonts w:asciiTheme="minorHAnsi" w:hAnsiTheme="minorHAnsi" w:cstheme="minorHAnsi"/>
          <w:sz w:val="26"/>
          <w:szCs w:val="26"/>
        </w:rPr>
      </w:pPr>
      <w:r w:rsidRPr="00044BD5">
        <w:rPr>
          <w:rFonts w:asciiTheme="minorHAnsi" w:hAnsiTheme="minorHAnsi" w:cstheme="minorHAnsi"/>
          <w:sz w:val="26"/>
          <w:szCs w:val="26"/>
        </w:rPr>
        <w:t>průměrná výše dávky činila 4 702 Kč (o 411 Kč více než v červnu 2021).</w:t>
      </w:r>
    </w:p>
    <w:p w14:paraId="0430D48B" w14:textId="77777777" w:rsidR="0038102F" w:rsidRDefault="0038102F" w:rsidP="00ED4155">
      <w:pPr>
        <w:spacing w:line="360" w:lineRule="auto"/>
        <w:jc w:val="both"/>
        <w:rPr>
          <w:rFonts w:asciiTheme="minorHAnsi" w:hAnsiTheme="minorHAnsi" w:cstheme="minorHAnsi"/>
          <w:sz w:val="26"/>
          <w:szCs w:val="26"/>
        </w:rPr>
      </w:pPr>
    </w:p>
    <w:p w14:paraId="52F2DEA5" w14:textId="6BED2852" w:rsidR="00ED4155" w:rsidRPr="00044BD5" w:rsidRDefault="00ED4155" w:rsidP="00ED4155">
      <w:pPr>
        <w:spacing w:line="360" w:lineRule="auto"/>
        <w:jc w:val="both"/>
        <w:rPr>
          <w:rFonts w:asciiTheme="minorHAnsi" w:hAnsiTheme="minorHAnsi" w:cstheme="minorHAnsi"/>
          <w:sz w:val="26"/>
          <w:szCs w:val="26"/>
        </w:rPr>
      </w:pPr>
      <w:r w:rsidRPr="00044BD5">
        <w:rPr>
          <w:rFonts w:asciiTheme="minorHAnsi" w:hAnsiTheme="minorHAnsi" w:cstheme="minorHAnsi"/>
          <w:sz w:val="26"/>
          <w:szCs w:val="26"/>
        </w:rPr>
        <w:tab/>
        <w:t xml:space="preserve">Na </w:t>
      </w:r>
      <w:r w:rsidRPr="00044BD5">
        <w:rPr>
          <w:rFonts w:asciiTheme="minorHAnsi" w:hAnsiTheme="minorHAnsi" w:cstheme="minorHAnsi"/>
          <w:b/>
          <w:sz w:val="26"/>
          <w:szCs w:val="26"/>
        </w:rPr>
        <w:t>doplatku na bydlení</w:t>
      </w:r>
      <w:r w:rsidRPr="00044BD5">
        <w:rPr>
          <w:rFonts w:asciiTheme="minorHAnsi" w:hAnsiTheme="minorHAnsi" w:cstheme="minorHAnsi"/>
          <w:sz w:val="26"/>
          <w:szCs w:val="26"/>
        </w:rPr>
        <w:t xml:space="preserve">, který představoval 12,5 % z úhrnu dávek pomoci v hmotné nouzi a humanitární pomoci občanům Ukrajiny, bylo vyplaceno </w:t>
      </w:r>
      <w:r w:rsidRPr="00044BD5">
        <w:rPr>
          <w:rFonts w:asciiTheme="minorHAnsi" w:hAnsiTheme="minorHAnsi" w:cstheme="minorHAnsi"/>
          <w:b/>
          <w:sz w:val="26"/>
          <w:szCs w:val="26"/>
        </w:rPr>
        <w:t>0,9 mld. Kč</w:t>
      </w:r>
      <w:r w:rsidRPr="00044BD5">
        <w:rPr>
          <w:rFonts w:asciiTheme="minorHAnsi" w:hAnsiTheme="minorHAnsi" w:cstheme="minorHAnsi"/>
          <w:sz w:val="26"/>
          <w:szCs w:val="26"/>
        </w:rPr>
        <w:t xml:space="preserve"> – </w:t>
      </w:r>
      <w:r w:rsidRPr="00044BD5">
        <w:rPr>
          <w:rFonts w:asciiTheme="minorHAnsi" w:hAnsiTheme="minorHAnsi" w:cstheme="minorHAnsi"/>
          <w:b/>
          <w:sz w:val="26"/>
          <w:szCs w:val="26"/>
        </w:rPr>
        <w:t>o 5,9 mil. Kč</w:t>
      </w:r>
      <w:r w:rsidRPr="00044BD5">
        <w:rPr>
          <w:rFonts w:asciiTheme="minorHAnsi" w:hAnsiTheme="minorHAnsi" w:cstheme="minorHAnsi"/>
          <w:sz w:val="26"/>
          <w:szCs w:val="26"/>
        </w:rPr>
        <w:t xml:space="preserve"> (</w:t>
      </w:r>
      <w:r w:rsidRPr="00044BD5">
        <w:rPr>
          <w:rFonts w:asciiTheme="minorHAnsi" w:hAnsiTheme="minorHAnsi" w:cstheme="minorHAnsi"/>
          <w:b/>
          <w:sz w:val="26"/>
          <w:szCs w:val="26"/>
        </w:rPr>
        <w:t>o 0,7 %</w:t>
      </w:r>
      <w:r w:rsidRPr="00044BD5">
        <w:rPr>
          <w:rFonts w:asciiTheme="minorHAnsi" w:hAnsiTheme="minorHAnsi" w:cstheme="minorHAnsi"/>
          <w:sz w:val="26"/>
          <w:szCs w:val="26"/>
        </w:rPr>
        <w:t xml:space="preserve">) </w:t>
      </w:r>
      <w:r w:rsidRPr="00044BD5">
        <w:rPr>
          <w:rFonts w:asciiTheme="minorHAnsi" w:hAnsiTheme="minorHAnsi" w:cstheme="minorHAnsi"/>
          <w:b/>
          <w:sz w:val="26"/>
          <w:szCs w:val="26"/>
        </w:rPr>
        <w:t>více</w:t>
      </w:r>
      <w:r w:rsidRPr="00044BD5">
        <w:rPr>
          <w:rFonts w:asciiTheme="minorHAnsi" w:hAnsiTheme="minorHAnsi" w:cstheme="minorHAnsi"/>
          <w:sz w:val="26"/>
          <w:szCs w:val="26"/>
        </w:rPr>
        <w:t xml:space="preserve"> než v 1. pololetí 2021. Průměrný měsíční počet dávek se snížil o 1,5 tis. (4,2 %) na </w:t>
      </w:r>
      <w:r w:rsidRPr="00044BD5">
        <w:rPr>
          <w:rFonts w:asciiTheme="minorHAnsi" w:hAnsiTheme="minorHAnsi" w:cstheme="minorHAnsi"/>
          <w:b/>
          <w:sz w:val="26"/>
          <w:szCs w:val="26"/>
        </w:rPr>
        <w:t>33,8 tis.</w:t>
      </w:r>
      <w:r w:rsidRPr="00044BD5">
        <w:rPr>
          <w:rFonts w:asciiTheme="minorHAnsi" w:hAnsiTheme="minorHAnsi" w:cstheme="minorHAnsi"/>
          <w:sz w:val="26"/>
          <w:szCs w:val="26"/>
        </w:rPr>
        <w:t>, jak ukazují tabulky č. 19 a 20 v příloze.</w:t>
      </w:r>
    </w:p>
    <w:p w14:paraId="4A542FE4" w14:textId="77777777" w:rsidR="00ED4155" w:rsidRPr="00044BD5" w:rsidRDefault="00ED4155" w:rsidP="00ED4155">
      <w:pPr>
        <w:spacing w:line="360" w:lineRule="auto"/>
        <w:jc w:val="both"/>
        <w:rPr>
          <w:rFonts w:asciiTheme="minorHAnsi" w:hAnsiTheme="minorHAnsi" w:cstheme="minorHAnsi"/>
          <w:sz w:val="26"/>
          <w:szCs w:val="26"/>
        </w:rPr>
      </w:pPr>
    </w:p>
    <w:p w14:paraId="1ABE1067" w14:textId="77777777" w:rsidR="00ED4155" w:rsidRPr="00044BD5" w:rsidRDefault="00ED4155" w:rsidP="00ED4155">
      <w:pPr>
        <w:spacing w:line="360" w:lineRule="auto"/>
        <w:jc w:val="both"/>
        <w:rPr>
          <w:rFonts w:asciiTheme="minorHAnsi" w:hAnsiTheme="minorHAnsi" w:cstheme="minorHAnsi"/>
          <w:b/>
          <w:sz w:val="26"/>
          <w:szCs w:val="26"/>
        </w:rPr>
      </w:pPr>
      <w:r w:rsidRPr="00044BD5">
        <w:rPr>
          <w:rFonts w:asciiTheme="minorHAnsi" w:hAnsiTheme="minorHAnsi" w:cstheme="minorHAnsi"/>
          <w:sz w:val="26"/>
          <w:szCs w:val="26"/>
        </w:rPr>
        <w:tab/>
      </w:r>
      <w:r w:rsidRPr="00044BD5">
        <w:rPr>
          <w:rFonts w:asciiTheme="minorHAnsi" w:hAnsiTheme="minorHAnsi" w:cstheme="minorHAnsi"/>
          <w:b/>
          <w:sz w:val="26"/>
          <w:szCs w:val="26"/>
        </w:rPr>
        <w:t>V červnu 2022:</w:t>
      </w:r>
    </w:p>
    <w:p w14:paraId="0887F957" w14:textId="0AF4A274" w:rsidR="00ED4155" w:rsidRPr="00044BD5" w:rsidRDefault="00ED4155" w:rsidP="00ED4155">
      <w:pPr>
        <w:pStyle w:val="Odstavecseseznamem"/>
        <w:numPr>
          <w:ilvl w:val="0"/>
          <w:numId w:val="31"/>
        </w:numPr>
        <w:spacing w:after="120" w:line="276" w:lineRule="auto"/>
        <w:ind w:left="357" w:hanging="357"/>
        <w:jc w:val="both"/>
        <w:rPr>
          <w:rFonts w:asciiTheme="minorHAnsi" w:hAnsiTheme="minorHAnsi" w:cstheme="minorHAnsi"/>
          <w:sz w:val="26"/>
          <w:szCs w:val="26"/>
        </w:rPr>
      </w:pPr>
      <w:r w:rsidRPr="00044BD5">
        <w:rPr>
          <w:rFonts w:asciiTheme="minorHAnsi" w:hAnsiTheme="minorHAnsi" w:cstheme="minorHAnsi"/>
          <w:sz w:val="26"/>
          <w:szCs w:val="26"/>
        </w:rPr>
        <w:t>bylo vyplaceno 33,6 tis. doplatků na bydlení – o</w:t>
      </w:r>
      <w:r w:rsidR="00662B6E">
        <w:rPr>
          <w:rFonts w:asciiTheme="minorHAnsi" w:hAnsiTheme="minorHAnsi" w:cstheme="minorHAnsi"/>
          <w:sz w:val="26"/>
          <w:szCs w:val="26"/>
        </w:rPr>
        <w:t> </w:t>
      </w:r>
      <w:r w:rsidRPr="00044BD5">
        <w:rPr>
          <w:rFonts w:asciiTheme="minorHAnsi" w:hAnsiTheme="minorHAnsi" w:cstheme="minorHAnsi"/>
          <w:sz w:val="26"/>
          <w:szCs w:val="26"/>
        </w:rPr>
        <w:t>2,4</w:t>
      </w:r>
      <w:r w:rsidR="00662B6E">
        <w:rPr>
          <w:rFonts w:asciiTheme="minorHAnsi" w:hAnsiTheme="minorHAnsi" w:cstheme="minorHAnsi"/>
          <w:sz w:val="26"/>
          <w:szCs w:val="26"/>
        </w:rPr>
        <w:t> </w:t>
      </w:r>
      <w:r w:rsidRPr="00044BD5">
        <w:rPr>
          <w:rFonts w:asciiTheme="minorHAnsi" w:hAnsiTheme="minorHAnsi" w:cstheme="minorHAnsi"/>
          <w:sz w:val="26"/>
          <w:szCs w:val="26"/>
        </w:rPr>
        <w:t>tis. (6,7</w:t>
      </w:r>
      <w:r w:rsidR="00662B6E">
        <w:rPr>
          <w:rFonts w:asciiTheme="minorHAnsi" w:hAnsiTheme="minorHAnsi" w:cstheme="minorHAnsi"/>
          <w:sz w:val="26"/>
          <w:szCs w:val="26"/>
        </w:rPr>
        <w:t> </w:t>
      </w:r>
      <w:r w:rsidRPr="00044BD5">
        <w:rPr>
          <w:rFonts w:asciiTheme="minorHAnsi" w:hAnsiTheme="minorHAnsi" w:cstheme="minorHAnsi"/>
          <w:sz w:val="26"/>
          <w:szCs w:val="26"/>
        </w:rPr>
        <w:t>%) více než v červnu 2021,</w:t>
      </w:r>
    </w:p>
    <w:p w14:paraId="637541BD" w14:textId="77777777" w:rsidR="00ED4155" w:rsidRPr="00044BD5" w:rsidRDefault="00ED4155" w:rsidP="00ED4155">
      <w:pPr>
        <w:pStyle w:val="Odstavecseseznamem"/>
        <w:numPr>
          <w:ilvl w:val="0"/>
          <w:numId w:val="31"/>
        </w:numPr>
        <w:spacing w:after="120" w:line="276" w:lineRule="auto"/>
        <w:ind w:left="357" w:hanging="357"/>
        <w:jc w:val="both"/>
        <w:rPr>
          <w:rFonts w:asciiTheme="minorHAnsi" w:hAnsiTheme="minorHAnsi" w:cstheme="minorHAnsi"/>
          <w:sz w:val="26"/>
          <w:szCs w:val="26"/>
        </w:rPr>
      </w:pPr>
      <w:r w:rsidRPr="00044BD5">
        <w:rPr>
          <w:rFonts w:asciiTheme="minorHAnsi" w:hAnsiTheme="minorHAnsi" w:cstheme="minorHAnsi"/>
          <w:sz w:val="26"/>
          <w:szCs w:val="26"/>
        </w:rPr>
        <w:t>z tohoto počtu připadla největší část – 51,1 % na domácnosti jednotlivců, na domácnosti s 5 a více členy 10,6 %,</w:t>
      </w:r>
    </w:p>
    <w:p w14:paraId="2467E646" w14:textId="320F5F0C" w:rsidR="00ED4155" w:rsidRPr="00044BD5" w:rsidRDefault="00ED4155" w:rsidP="00ED4155">
      <w:pPr>
        <w:pStyle w:val="Odstavecseseznamem"/>
        <w:numPr>
          <w:ilvl w:val="0"/>
          <w:numId w:val="31"/>
        </w:numPr>
        <w:spacing w:after="480" w:line="276" w:lineRule="auto"/>
        <w:ind w:left="357" w:hanging="357"/>
        <w:jc w:val="both"/>
        <w:rPr>
          <w:rFonts w:asciiTheme="minorHAnsi" w:hAnsiTheme="minorHAnsi" w:cstheme="minorHAnsi"/>
          <w:sz w:val="26"/>
          <w:szCs w:val="26"/>
        </w:rPr>
      </w:pPr>
      <w:r w:rsidRPr="00044BD5">
        <w:rPr>
          <w:rFonts w:asciiTheme="minorHAnsi" w:hAnsiTheme="minorHAnsi" w:cstheme="minorHAnsi"/>
          <w:sz w:val="26"/>
          <w:szCs w:val="26"/>
        </w:rPr>
        <w:t>průměrná výše dávky činila 4</w:t>
      </w:r>
      <w:r w:rsidR="00662B6E">
        <w:rPr>
          <w:rFonts w:asciiTheme="minorHAnsi" w:hAnsiTheme="minorHAnsi" w:cstheme="minorHAnsi"/>
          <w:sz w:val="26"/>
          <w:szCs w:val="26"/>
        </w:rPr>
        <w:t> </w:t>
      </w:r>
      <w:r w:rsidRPr="00044BD5">
        <w:rPr>
          <w:rFonts w:asciiTheme="minorHAnsi" w:hAnsiTheme="minorHAnsi" w:cstheme="minorHAnsi"/>
          <w:sz w:val="26"/>
          <w:szCs w:val="26"/>
        </w:rPr>
        <w:t>325</w:t>
      </w:r>
      <w:r w:rsidR="00662B6E">
        <w:rPr>
          <w:rFonts w:asciiTheme="minorHAnsi" w:hAnsiTheme="minorHAnsi" w:cstheme="minorHAnsi"/>
          <w:sz w:val="26"/>
          <w:szCs w:val="26"/>
        </w:rPr>
        <w:t> </w:t>
      </w:r>
      <w:r w:rsidRPr="00044BD5">
        <w:rPr>
          <w:rFonts w:asciiTheme="minorHAnsi" w:hAnsiTheme="minorHAnsi" w:cstheme="minorHAnsi"/>
          <w:sz w:val="26"/>
          <w:szCs w:val="26"/>
        </w:rPr>
        <w:t>Kč (o 232 Kč více než v červnu 2021).</w:t>
      </w:r>
    </w:p>
    <w:p w14:paraId="40F9D383" w14:textId="77777777" w:rsidR="00ED4155" w:rsidRPr="00044BD5" w:rsidRDefault="00ED4155" w:rsidP="00ED4155">
      <w:pPr>
        <w:spacing w:line="360" w:lineRule="auto"/>
        <w:jc w:val="both"/>
        <w:rPr>
          <w:rFonts w:asciiTheme="minorHAnsi" w:hAnsiTheme="minorHAnsi" w:cstheme="minorHAnsi"/>
          <w:sz w:val="26"/>
          <w:szCs w:val="26"/>
        </w:rPr>
      </w:pPr>
      <w:r w:rsidRPr="00044BD5">
        <w:rPr>
          <w:rFonts w:asciiTheme="minorHAnsi" w:hAnsiTheme="minorHAnsi" w:cstheme="minorHAnsi"/>
          <w:sz w:val="26"/>
          <w:szCs w:val="26"/>
        </w:rPr>
        <w:tab/>
      </w:r>
      <w:r w:rsidRPr="00044BD5">
        <w:rPr>
          <w:rFonts w:asciiTheme="minorHAnsi" w:hAnsiTheme="minorHAnsi" w:cstheme="minorHAnsi"/>
          <w:b/>
          <w:sz w:val="26"/>
          <w:szCs w:val="26"/>
        </w:rPr>
        <w:t>Výdaje na mimořádnou okamžitou pomoc</w:t>
      </w:r>
      <w:r w:rsidRPr="00044BD5">
        <w:rPr>
          <w:rFonts w:asciiTheme="minorHAnsi" w:hAnsiTheme="minorHAnsi" w:cstheme="minorHAnsi"/>
          <w:sz w:val="26"/>
          <w:szCs w:val="26"/>
        </w:rPr>
        <w:t xml:space="preserve"> se oproti srovnatelnému období rovněž </w:t>
      </w:r>
      <w:r w:rsidRPr="00044BD5">
        <w:rPr>
          <w:rFonts w:asciiTheme="minorHAnsi" w:hAnsiTheme="minorHAnsi" w:cstheme="minorHAnsi"/>
          <w:b/>
          <w:sz w:val="26"/>
          <w:szCs w:val="26"/>
        </w:rPr>
        <w:t>zvýšily</w:t>
      </w:r>
      <w:r w:rsidRPr="00044BD5">
        <w:rPr>
          <w:rFonts w:asciiTheme="minorHAnsi" w:hAnsiTheme="minorHAnsi" w:cstheme="minorHAnsi"/>
          <w:sz w:val="26"/>
          <w:szCs w:val="26"/>
        </w:rPr>
        <w:t xml:space="preserve">. Bylo na nich vyplaceno </w:t>
      </w:r>
      <w:r w:rsidRPr="00044BD5">
        <w:rPr>
          <w:rFonts w:asciiTheme="minorHAnsi" w:hAnsiTheme="minorHAnsi" w:cstheme="minorHAnsi"/>
          <w:b/>
          <w:sz w:val="26"/>
          <w:szCs w:val="26"/>
        </w:rPr>
        <w:t>322,5 mil. Kč</w:t>
      </w:r>
      <w:r w:rsidRPr="00044BD5">
        <w:rPr>
          <w:rFonts w:asciiTheme="minorHAnsi" w:hAnsiTheme="minorHAnsi" w:cstheme="minorHAnsi"/>
          <w:sz w:val="26"/>
          <w:szCs w:val="26"/>
        </w:rPr>
        <w:t xml:space="preserve">, tj. </w:t>
      </w:r>
      <w:r w:rsidRPr="00044BD5">
        <w:rPr>
          <w:rFonts w:asciiTheme="minorHAnsi" w:hAnsiTheme="minorHAnsi" w:cstheme="minorHAnsi"/>
          <w:b/>
          <w:sz w:val="26"/>
          <w:szCs w:val="26"/>
        </w:rPr>
        <w:t>o 236,3 % více</w:t>
      </w:r>
      <w:r w:rsidRPr="00044BD5">
        <w:rPr>
          <w:rFonts w:asciiTheme="minorHAnsi" w:hAnsiTheme="minorHAnsi" w:cstheme="minorHAnsi"/>
          <w:sz w:val="26"/>
          <w:szCs w:val="26"/>
        </w:rPr>
        <w:t xml:space="preserve"> než v 1. pololetí 2021. Uvedený nárůst byl způsoben poskytnutím této dávky občanům Ukrajiny. </w:t>
      </w:r>
      <w:r w:rsidRPr="00044BD5">
        <w:rPr>
          <w:rFonts w:asciiTheme="minorHAnsi" w:hAnsiTheme="minorHAnsi" w:cstheme="minorHAnsi"/>
          <w:sz w:val="26"/>
          <w:szCs w:val="26"/>
        </w:rPr>
        <w:lastRenderedPageBreak/>
        <w:t>Průměrný měsíční počet vyplacených dávek se zvýšil z </w:t>
      </w:r>
      <w:r w:rsidRPr="00044BD5">
        <w:rPr>
          <w:rFonts w:asciiTheme="minorHAnsi" w:hAnsiTheme="minorHAnsi" w:cstheme="minorHAnsi"/>
          <w:bCs/>
          <w:sz w:val="26"/>
          <w:szCs w:val="26"/>
        </w:rPr>
        <w:t>5,0 tis.</w:t>
      </w:r>
      <w:r w:rsidRPr="00044BD5">
        <w:rPr>
          <w:rFonts w:asciiTheme="minorHAnsi" w:hAnsiTheme="minorHAnsi" w:cstheme="minorHAnsi"/>
          <w:b/>
          <w:sz w:val="26"/>
          <w:szCs w:val="26"/>
        </w:rPr>
        <w:t xml:space="preserve"> na 16,4 tis.</w:t>
      </w:r>
      <w:r w:rsidRPr="00044BD5">
        <w:rPr>
          <w:rFonts w:asciiTheme="minorHAnsi" w:hAnsiTheme="minorHAnsi" w:cstheme="minorHAnsi"/>
          <w:sz w:val="26"/>
          <w:szCs w:val="26"/>
        </w:rPr>
        <w:t>, viz tabulky č. 19 a 20 v příloze.</w:t>
      </w:r>
    </w:p>
    <w:p w14:paraId="4B341863" w14:textId="77777777" w:rsidR="00ED4155" w:rsidRPr="00044BD5" w:rsidRDefault="00ED4155" w:rsidP="00ED4155">
      <w:pPr>
        <w:spacing w:after="240" w:line="360" w:lineRule="auto"/>
        <w:jc w:val="both"/>
        <w:rPr>
          <w:rFonts w:asciiTheme="minorHAnsi" w:hAnsiTheme="minorHAnsi" w:cstheme="minorHAnsi"/>
          <w:sz w:val="26"/>
          <w:szCs w:val="26"/>
        </w:rPr>
      </w:pPr>
    </w:p>
    <w:p w14:paraId="289878F7" w14:textId="77777777" w:rsidR="00ED4155" w:rsidRPr="00044BD5" w:rsidRDefault="00ED4155" w:rsidP="00ED4155">
      <w:pPr>
        <w:spacing w:line="360" w:lineRule="auto"/>
        <w:jc w:val="both"/>
        <w:rPr>
          <w:rFonts w:asciiTheme="minorHAnsi" w:hAnsiTheme="minorHAnsi" w:cstheme="minorHAnsi"/>
          <w:sz w:val="26"/>
          <w:szCs w:val="26"/>
        </w:rPr>
      </w:pPr>
      <w:r w:rsidRPr="00044BD5">
        <w:rPr>
          <w:rFonts w:asciiTheme="minorHAnsi" w:hAnsiTheme="minorHAnsi" w:cstheme="minorHAnsi"/>
          <w:sz w:val="26"/>
          <w:szCs w:val="26"/>
        </w:rPr>
        <w:tab/>
      </w:r>
      <w:r w:rsidRPr="00044BD5">
        <w:rPr>
          <w:rFonts w:asciiTheme="minorHAnsi" w:hAnsiTheme="minorHAnsi" w:cstheme="minorHAnsi"/>
          <w:b/>
          <w:sz w:val="26"/>
          <w:szCs w:val="26"/>
          <w:u w:val="single"/>
        </w:rPr>
        <w:t>Dávky pro osoby se zdravotním postižením</w:t>
      </w:r>
      <w:r w:rsidRPr="00044BD5">
        <w:rPr>
          <w:rFonts w:asciiTheme="minorHAnsi" w:hAnsiTheme="minorHAnsi" w:cstheme="minorHAnsi"/>
          <w:sz w:val="26"/>
          <w:szCs w:val="26"/>
        </w:rPr>
        <w:t xml:space="preserve"> se podílely na celkových sociálních příjmech pouze 0,4 %. Výdaje na tyto dávky činily </w:t>
      </w:r>
      <w:r w:rsidRPr="00044BD5">
        <w:rPr>
          <w:rFonts w:asciiTheme="minorHAnsi" w:hAnsiTheme="minorHAnsi" w:cstheme="minorHAnsi"/>
          <w:b/>
          <w:sz w:val="26"/>
          <w:szCs w:val="26"/>
        </w:rPr>
        <w:t>1,3 mld. Kč</w:t>
      </w:r>
      <w:r w:rsidRPr="00044BD5">
        <w:rPr>
          <w:rFonts w:asciiTheme="minorHAnsi" w:hAnsiTheme="minorHAnsi" w:cstheme="minorHAnsi"/>
          <w:sz w:val="26"/>
          <w:szCs w:val="26"/>
        </w:rPr>
        <w:t xml:space="preserve"> (</w:t>
      </w:r>
      <w:r w:rsidRPr="00044BD5">
        <w:rPr>
          <w:rFonts w:asciiTheme="minorHAnsi" w:hAnsiTheme="minorHAnsi" w:cstheme="minorHAnsi"/>
          <w:b/>
          <w:sz w:val="26"/>
          <w:szCs w:val="26"/>
        </w:rPr>
        <w:t>o 1,0 % více</w:t>
      </w:r>
      <w:r w:rsidRPr="00044BD5">
        <w:rPr>
          <w:rFonts w:asciiTheme="minorHAnsi" w:hAnsiTheme="minorHAnsi" w:cstheme="minorHAnsi"/>
          <w:sz w:val="26"/>
          <w:szCs w:val="26"/>
        </w:rPr>
        <w:t xml:space="preserve"> než v 1. pololetí 2021). Ve sledovaném období bylo vyplaceno 3,2 tis. příspěvků na zvláštní pomůcku v celkové výši </w:t>
      </w:r>
      <w:r w:rsidRPr="00044BD5">
        <w:rPr>
          <w:rFonts w:asciiTheme="minorHAnsi" w:hAnsiTheme="minorHAnsi" w:cstheme="minorHAnsi"/>
          <w:b/>
          <w:sz w:val="26"/>
          <w:szCs w:val="26"/>
        </w:rPr>
        <w:t>453,9 mil. Kč</w:t>
      </w:r>
      <w:r w:rsidRPr="00044BD5">
        <w:rPr>
          <w:rFonts w:asciiTheme="minorHAnsi" w:hAnsiTheme="minorHAnsi" w:cstheme="minorHAnsi"/>
          <w:sz w:val="26"/>
          <w:szCs w:val="26"/>
        </w:rPr>
        <w:t xml:space="preserve"> (o 4,4 % více). Průměrně bylo měsíčně vyplaceno 254,5 tis. příspěvků na mobilitu, jejich celková výše činila za sledované období </w:t>
      </w:r>
      <w:r w:rsidRPr="00044BD5">
        <w:rPr>
          <w:rFonts w:asciiTheme="minorHAnsi" w:hAnsiTheme="minorHAnsi" w:cstheme="minorHAnsi"/>
          <w:b/>
          <w:sz w:val="26"/>
          <w:szCs w:val="26"/>
        </w:rPr>
        <w:t>837,0 mil. Kč</w:t>
      </w:r>
      <w:r w:rsidRPr="00044BD5">
        <w:rPr>
          <w:rFonts w:asciiTheme="minorHAnsi" w:hAnsiTheme="minorHAnsi" w:cstheme="minorHAnsi"/>
          <w:sz w:val="26"/>
          <w:szCs w:val="26"/>
        </w:rPr>
        <w:t xml:space="preserve"> (o 0,8 % méně) – viz tabulku č. 21 v příloze. </w:t>
      </w:r>
      <w:r w:rsidRPr="00044BD5">
        <w:rPr>
          <w:rFonts w:asciiTheme="minorHAnsi" w:hAnsiTheme="minorHAnsi" w:cstheme="minorHAnsi"/>
          <w:b/>
          <w:sz w:val="26"/>
          <w:szCs w:val="26"/>
        </w:rPr>
        <w:t>V červnu 2022</w:t>
      </w:r>
      <w:r w:rsidRPr="00044BD5">
        <w:rPr>
          <w:rFonts w:asciiTheme="minorHAnsi" w:hAnsiTheme="minorHAnsi" w:cstheme="minorHAnsi"/>
          <w:sz w:val="26"/>
          <w:szCs w:val="26"/>
        </w:rPr>
        <w:t xml:space="preserve"> bylo vyplaceno </w:t>
      </w:r>
      <w:r w:rsidRPr="00044BD5">
        <w:rPr>
          <w:rFonts w:asciiTheme="minorHAnsi" w:hAnsiTheme="minorHAnsi" w:cstheme="minorHAnsi"/>
          <w:b/>
          <w:sz w:val="26"/>
          <w:szCs w:val="26"/>
        </w:rPr>
        <w:t>51,8 %</w:t>
      </w:r>
      <w:r w:rsidRPr="00044BD5">
        <w:rPr>
          <w:rFonts w:asciiTheme="minorHAnsi" w:hAnsiTheme="minorHAnsi" w:cstheme="minorHAnsi"/>
          <w:sz w:val="26"/>
          <w:szCs w:val="26"/>
        </w:rPr>
        <w:t xml:space="preserve"> příspěvků na mobilitu </w:t>
      </w:r>
      <w:r w:rsidRPr="00044BD5">
        <w:rPr>
          <w:rFonts w:asciiTheme="minorHAnsi" w:hAnsiTheme="minorHAnsi" w:cstheme="minorHAnsi"/>
          <w:b/>
          <w:sz w:val="26"/>
          <w:szCs w:val="26"/>
        </w:rPr>
        <w:t>ženám</w:t>
      </w:r>
      <w:r w:rsidRPr="00044BD5">
        <w:rPr>
          <w:rFonts w:asciiTheme="minorHAnsi" w:hAnsiTheme="minorHAnsi" w:cstheme="minorHAnsi"/>
          <w:sz w:val="26"/>
          <w:szCs w:val="26"/>
        </w:rPr>
        <w:t xml:space="preserve"> a 48,2 % mužům.</w:t>
      </w:r>
    </w:p>
    <w:p w14:paraId="581ADA3F" w14:textId="7797AEBE" w:rsidR="0072711F" w:rsidRDefault="0072711F" w:rsidP="0072711F">
      <w:r w:rsidRPr="0072711F">
        <w:br w:type="page"/>
      </w:r>
    </w:p>
    <w:p w14:paraId="74BB83CA" w14:textId="77777777" w:rsidR="001B6F34" w:rsidRPr="00710980" w:rsidRDefault="001B6F34" w:rsidP="001B6F34">
      <w:pPr>
        <w:spacing w:after="360"/>
        <w:rPr>
          <w:rFonts w:asciiTheme="minorHAnsi" w:hAnsiTheme="minorHAnsi" w:cs="Arial"/>
          <w:b/>
          <w:iCs/>
          <w:smallCaps/>
          <w:color w:val="1F497D"/>
          <w:sz w:val="40"/>
          <w:szCs w:val="44"/>
        </w:rPr>
      </w:pPr>
      <w:r w:rsidRPr="00710980">
        <w:rPr>
          <w:rFonts w:asciiTheme="minorHAnsi" w:hAnsiTheme="minorHAnsi" w:cs="Arial"/>
          <w:b/>
          <w:iCs/>
          <w:smallCaps/>
          <w:color w:val="1F497D"/>
          <w:sz w:val="40"/>
          <w:szCs w:val="44"/>
        </w:rPr>
        <w:lastRenderedPageBreak/>
        <w:t>2.</w:t>
      </w:r>
      <w:r w:rsidRPr="00710980">
        <w:rPr>
          <w:rFonts w:asciiTheme="minorHAnsi" w:hAnsiTheme="minorHAnsi" w:cs="Arial"/>
          <w:b/>
          <w:i/>
          <w:iCs/>
          <w:smallCaps/>
          <w:color w:val="1F497D"/>
          <w:sz w:val="40"/>
          <w:szCs w:val="44"/>
        </w:rPr>
        <w:t xml:space="preserve"> </w:t>
      </w:r>
      <w:r w:rsidRPr="00710980">
        <w:rPr>
          <w:rFonts w:asciiTheme="minorHAnsi" w:hAnsiTheme="minorHAnsi" w:cs="Arial"/>
          <w:b/>
          <w:iCs/>
          <w:smallCaps/>
          <w:color w:val="1F497D"/>
          <w:sz w:val="40"/>
          <w:szCs w:val="44"/>
        </w:rPr>
        <w:t>Spotřebitelské ceny a životní náklady</w:t>
      </w:r>
    </w:p>
    <w:p w14:paraId="58BBCF79" w14:textId="77777777" w:rsidR="001B6F34" w:rsidRDefault="001B6F34" w:rsidP="001B6F34">
      <w:pPr>
        <w:spacing w:after="240"/>
        <w:jc w:val="both"/>
        <w:rPr>
          <w:rFonts w:asciiTheme="minorHAnsi" w:hAnsiTheme="minorHAnsi" w:cstheme="minorHAnsi"/>
          <w:b/>
          <w:sz w:val="26"/>
          <w:szCs w:val="26"/>
        </w:rPr>
      </w:pPr>
    </w:p>
    <w:p w14:paraId="38132ECC" w14:textId="77777777" w:rsidR="001B6F34" w:rsidRPr="001B6F34" w:rsidRDefault="001B6F34" w:rsidP="001B6F34">
      <w:pPr>
        <w:spacing w:after="240" w:line="360" w:lineRule="auto"/>
        <w:jc w:val="both"/>
        <w:rPr>
          <w:rFonts w:asciiTheme="minorHAnsi" w:hAnsiTheme="minorHAnsi" w:cstheme="minorHAnsi"/>
          <w:b/>
          <w:sz w:val="26"/>
          <w:szCs w:val="26"/>
        </w:rPr>
      </w:pPr>
      <w:r w:rsidRPr="001B6F34">
        <w:rPr>
          <w:rFonts w:asciiTheme="minorHAnsi" w:hAnsiTheme="minorHAnsi" w:cstheme="minorHAnsi"/>
          <w:b/>
          <w:sz w:val="26"/>
          <w:szCs w:val="26"/>
        </w:rPr>
        <w:tab/>
        <w:t>Průměrná m</w:t>
      </w:r>
      <w:r w:rsidRPr="001B6F34">
        <w:rPr>
          <w:rFonts w:asciiTheme="minorHAnsi" w:hAnsiTheme="minorHAnsi" w:cstheme="minorHAnsi"/>
          <w:b/>
          <w:bCs/>
          <w:sz w:val="26"/>
          <w:szCs w:val="26"/>
        </w:rPr>
        <w:t>eziroční</w:t>
      </w:r>
      <w:r w:rsidRPr="001B6F34">
        <w:rPr>
          <w:rFonts w:asciiTheme="minorHAnsi" w:hAnsiTheme="minorHAnsi" w:cstheme="minorHAnsi"/>
          <w:sz w:val="26"/>
          <w:szCs w:val="26"/>
        </w:rPr>
        <w:t xml:space="preserve"> </w:t>
      </w:r>
      <w:r w:rsidRPr="001B6F34">
        <w:rPr>
          <w:rFonts w:asciiTheme="minorHAnsi" w:hAnsiTheme="minorHAnsi" w:cstheme="minorHAnsi"/>
          <w:b/>
          <w:sz w:val="26"/>
          <w:szCs w:val="26"/>
        </w:rPr>
        <w:t>míra cenové inflace v lednu – červnu 2022</w:t>
      </w:r>
      <w:r w:rsidRPr="001B6F34">
        <w:rPr>
          <w:rFonts w:asciiTheme="minorHAnsi" w:hAnsiTheme="minorHAnsi" w:cstheme="minorHAnsi"/>
          <w:sz w:val="26"/>
          <w:szCs w:val="26"/>
        </w:rPr>
        <w:t xml:space="preserve"> </w:t>
      </w:r>
      <w:r w:rsidRPr="001B6F34">
        <w:rPr>
          <w:rFonts w:asciiTheme="minorHAnsi" w:hAnsiTheme="minorHAnsi" w:cstheme="minorHAnsi"/>
          <w:b/>
          <w:sz w:val="26"/>
          <w:szCs w:val="26"/>
        </w:rPr>
        <w:t>činila</w:t>
      </w:r>
      <w:r w:rsidRPr="001B6F34">
        <w:rPr>
          <w:rFonts w:asciiTheme="minorHAnsi" w:hAnsiTheme="minorHAnsi" w:cstheme="minorHAnsi"/>
          <w:sz w:val="26"/>
          <w:szCs w:val="26"/>
        </w:rPr>
        <w:t xml:space="preserve"> </w:t>
      </w:r>
      <w:r w:rsidRPr="001B6F34">
        <w:rPr>
          <w:rFonts w:asciiTheme="minorHAnsi" w:hAnsiTheme="minorHAnsi" w:cstheme="minorHAnsi"/>
          <w:b/>
          <w:sz w:val="26"/>
          <w:szCs w:val="26"/>
        </w:rPr>
        <w:t xml:space="preserve">13,5 %, </w:t>
      </w:r>
      <w:r w:rsidRPr="001B6F34">
        <w:rPr>
          <w:rFonts w:asciiTheme="minorHAnsi" w:hAnsiTheme="minorHAnsi" w:cstheme="minorHAnsi"/>
          <w:bCs/>
          <w:sz w:val="26"/>
          <w:szCs w:val="26"/>
        </w:rPr>
        <w:t>překonala o 0,5 p. b. stejné období roku 1998,</w:t>
      </w:r>
      <w:r w:rsidRPr="001B6F34">
        <w:rPr>
          <w:rFonts w:asciiTheme="minorHAnsi" w:hAnsiTheme="minorHAnsi" w:cstheme="minorHAnsi"/>
          <w:b/>
          <w:sz w:val="26"/>
          <w:szCs w:val="26"/>
        </w:rPr>
        <w:t xml:space="preserve"> a dosáhla nejvyšší úrovně od roku 1993</w:t>
      </w:r>
      <w:r w:rsidRPr="001B6F34">
        <w:rPr>
          <w:rFonts w:asciiTheme="minorHAnsi" w:hAnsiTheme="minorHAnsi" w:cstheme="minorHAnsi"/>
          <w:bCs/>
          <w:sz w:val="26"/>
          <w:szCs w:val="26"/>
        </w:rPr>
        <w:t xml:space="preserve"> (21,8 %). Ž</w:t>
      </w:r>
      <w:r w:rsidRPr="001B6F34">
        <w:rPr>
          <w:rFonts w:asciiTheme="minorHAnsi" w:hAnsiTheme="minorHAnsi" w:cstheme="minorHAnsi"/>
          <w:sz w:val="26"/>
          <w:szCs w:val="26"/>
        </w:rPr>
        <w:t>ivotní náklady domácností důchodců rostly pomaleji (13,0 %) než náklady u domácností celkem.</w:t>
      </w:r>
      <w:r w:rsidRPr="001B6F34">
        <w:rPr>
          <w:rFonts w:asciiTheme="minorHAnsi" w:hAnsiTheme="minorHAnsi" w:cstheme="minorHAnsi"/>
          <w:b/>
          <w:sz w:val="26"/>
          <w:szCs w:val="26"/>
        </w:rPr>
        <w:t xml:space="preserve"> </w:t>
      </w:r>
      <w:r w:rsidRPr="001B6F34">
        <w:rPr>
          <w:rFonts w:asciiTheme="minorHAnsi" w:hAnsiTheme="minorHAnsi" w:cstheme="minorHAnsi"/>
          <w:bCs/>
          <w:sz w:val="26"/>
          <w:szCs w:val="26"/>
        </w:rPr>
        <w:t>V tomto období mělo nejvýraznější proinflační</w:t>
      </w:r>
      <w:r w:rsidRPr="001B6F34">
        <w:rPr>
          <w:rFonts w:asciiTheme="minorHAnsi" w:hAnsiTheme="minorHAnsi" w:cstheme="minorHAnsi"/>
          <w:sz w:val="26"/>
          <w:szCs w:val="26"/>
        </w:rPr>
        <w:t xml:space="preserve"> vliv zvýšení cen v oddíle zahrnujícím náklady domácností na </w:t>
      </w:r>
      <w:r w:rsidRPr="001B6F34">
        <w:rPr>
          <w:rFonts w:asciiTheme="minorHAnsi" w:hAnsiTheme="minorHAnsi" w:cstheme="minorHAnsi"/>
          <w:b/>
          <w:bCs/>
          <w:sz w:val="26"/>
          <w:szCs w:val="26"/>
        </w:rPr>
        <w:t>bydlení, vodu, energie, paliva</w:t>
      </w:r>
      <w:r w:rsidRPr="001B6F34">
        <w:rPr>
          <w:rFonts w:asciiTheme="minorHAnsi" w:hAnsiTheme="minorHAnsi" w:cstheme="minorHAnsi"/>
          <w:sz w:val="26"/>
          <w:szCs w:val="26"/>
        </w:rPr>
        <w:t xml:space="preserve">. Výrazný příspěvek měly rovněž oddíly </w:t>
      </w:r>
      <w:r w:rsidRPr="001B6F34">
        <w:rPr>
          <w:rFonts w:asciiTheme="minorHAnsi" w:hAnsiTheme="minorHAnsi" w:cstheme="minorHAnsi"/>
          <w:b/>
          <w:bCs/>
          <w:sz w:val="26"/>
          <w:szCs w:val="26"/>
        </w:rPr>
        <w:t>potraviny a nealkoholické nápoje</w:t>
      </w:r>
      <w:r w:rsidRPr="001B6F34">
        <w:rPr>
          <w:rFonts w:asciiTheme="minorHAnsi" w:hAnsiTheme="minorHAnsi" w:cstheme="minorHAnsi"/>
          <w:sz w:val="26"/>
          <w:szCs w:val="26"/>
        </w:rPr>
        <w:t xml:space="preserve"> a </w:t>
      </w:r>
      <w:r w:rsidRPr="001B6F34">
        <w:rPr>
          <w:rFonts w:asciiTheme="minorHAnsi" w:hAnsiTheme="minorHAnsi" w:cstheme="minorHAnsi"/>
          <w:b/>
          <w:bCs/>
          <w:sz w:val="26"/>
          <w:szCs w:val="26"/>
        </w:rPr>
        <w:t>doprava</w:t>
      </w:r>
      <w:r w:rsidRPr="001B6F34">
        <w:rPr>
          <w:rFonts w:asciiTheme="minorHAnsi" w:hAnsiTheme="minorHAnsi" w:cstheme="minorHAnsi"/>
          <w:sz w:val="26"/>
          <w:szCs w:val="26"/>
        </w:rPr>
        <w:t>.</w:t>
      </w:r>
    </w:p>
    <w:p w14:paraId="52F719C8" w14:textId="77777777" w:rsidR="001B6F34" w:rsidRPr="001B6F34" w:rsidRDefault="001B6F34" w:rsidP="001B6F34">
      <w:pPr>
        <w:spacing w:after="240" w:line="360" w:lineRule="auto"/>
        <w:jc w:val="both"/>
        <w:rPr>
          <w:rFonts w:asciiTheme="minorHAnsi" w:hAnsiTheme="minorHAnsi" w:cstheme="minorHAnsi"/>
          <w:b/>
          <w:sz w:val="26"/>
          <w:szCs w:val="26"/>
        </w:rPr>
      </w:pPr>
      <w:r w:rsidRPr="001B6F34">
        <w:rPr>
          <w:rFonts w:asciiTheme="minorHAnsi" w:hAnsiTheme="minorHAnsi" w:cstheme="minorHAnsi"/>
          <w:b/>
          <w:sz w:val="26"/>
          <w:szCs w:val="26"/>
        </w:rPr>
        <w:tab/>
      </w:r>
      <w:r w:rsidRPr="001B6F34">
        <w:rPr>
          <w:rFonts w:asciiTheme="minorHAnsi" w:hAnsiTheme="minorHAnsi" w:cstheme="minorHAnsi"/>
          <w:bCs/>
          <w:sz w:val="26"/>
          <w:szCs w:val="26"/>
        </w:rPr>
        <w:t>Vývoj cen pro domácnosti důchodců a domácnosti celkem za první pololetí let 2013 až 2022</w:t>
      </w:r>
      <w:r w:rsidRPr="001B6F34">
        <w:rPr>
          <w:rFonts w:asciiTheme="minorHAnsi" w:hAnsiTheme="minorHAnsi" w:cstheme="minorHAnsi"/>
          <w:sz w:val="26"/>
          <w:szCs w:val="26"/>
        </w:rPr>
        <w:t xml:space="preserve"> ukazuje následující graf. S výjimkou roku 2020 rostly za posledních šest let náklady domácnostem důchodců mírně pomaleji, než byl celkový průměr.</w:t>
      </w:r>
    </w:p>
    <w:p w14:paraId="6CA4E70B" w14:textId="77777777" w:rsidR="001B6F34" w:rsidRPr="0092651C" w:rsidRDefault="001B6F34" w:rsidP="001B6F34">
      <w:pPr>
        <w:spacing w:after="240"/>
        <w:jc w:val="both"/>
        <w:rPr>
          <w:rFonts w:asciiTheme="minorHAnsi" w:hAnsiTheme="minorHAnsi" w:cstheme="minorHAnsi"/>
          <w:noProof/>
          <w:sz w:val="26"/>
          <w:szCs w:val="26"/>
        </w:rPr>
      </w:pPr>
    </w:p>
    <w:p w14:paraId="0D408597" w14:textId="77777777" w:rsidR="001B6F34" w:rsidRPr="003F5581" w:rsidRDefault="001B6F34" w:rsidP="001B6F34">
      <w:pPr>
        <w:spacing w:line="360" w:lineRule="auto"/>
        <w:jc w:val="center"/>
        <w:rPr>
          <w:noProof/>
        </w:rPr>
      </w:pPr>
      <w:r>
        <w:rPr>
          <w:noProof/>
        </w:rPr>
        <w:drawing>
          <wp:inline distT="0" distB="0" distL="0" distR="0" wp14:anchorId="3154F1D1" wp14:editId="22CDB2FF">
            <wp:extent cx="5760720" cy="3801745"/>
            <wp:effectExtent l="0" t="0" r="0" b="8255"/>
            <wp:docPr id="9" name="Obrázek 2">
              <a:extLst xmlns:a="http://schemas.openxmlformats.org/drawingml/2006/main">
                <a:ext uri="{FF2B5EF4-FFF2-40B4-BE49-F238E27FC236}">
                  <a16:creationId xmlns:a16="http://schemas.microsoft.com/office/drawing/2014/main" id="{53215B46-B0C9-42D2-B264-F1475E968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53215B46-B0C9-42D2-B264-F1475E968F8D}"/>
                        </a:ext>
                      </a:extLst>
                    </pic:cNvPr>
                    <pic:cNvPicPr>
                      <a:picLocks noChangeAspect="1"/>
                    </pic:cNvPicPr>
                  </pic:nvPicPr>
                  <pic:blipFill>
                    <a:blip r:embed="rId23"/>
                    <a:stretch>
                      <a:fillRect/>
                    </a:stretch>
                  </pic:blipFill>
                  <pic:spPr>
                    <a:xfrm>
                      <a:off x="0" y="0"/>
                      <a:ext cx="5760720" cy="3801745"/>
                    </a:xfrm>
                    <a:prstGeom prst="rect">
                      <a:avLst/>
                    </a:prstGeom>
                  </pic:spPr>
                </pic:pic>
              </a:graphicData>
            </a:graphic>
          </wp:inline>
        </w:drawing>
      </w:r>
    </w:p>
    <w:p w14:paraId="7F51973E" w14:textId="77777777" w:rsidR="001B6F34" w:rsidRPr="00C67B8E" w:rsidRDefault="001B6F34" w:rsidP="001B6F34">
      <w:pPr>
        <w:spacing w:before="120" w:line="360" w:lineRule="auto"/>
        <w:jc w:val="both"/>
        <w:rPr>
          <w:rFonts w:asciiTheme="minorHAnsi" w:hAnsiTheme="minorHAnsi" w:cstheme="minorHAnsi"/>
          <w:bCs/>
          <w:sz w:val="22"/>
          <w:szCs w:val="22"/>
        </w:rPr>
      </w:pPr>
      <w:r w:rsidRPr="00C67B8E">
        <w:rPr>
          <w:rFonts w:asciiTheme="minorHAnsi" w:hAnsiTheme="minorHAnsi" w:cstheme="minorHAnsi"/>
          <w:bCs/>
          <w:sz w:val="22"/>
          <w:szCs w:val="22"/>
        </w:rPr>
        <w:t>Zpracováno z údajů ČSÚ</w:t>
      </w:r>
    </w:p>
    <w:p w14:paraId="782417DC" w14:textId="77777777" w:rsidR="001B6F34" w:rsidRDefault="001B6F34" w:rsidP="001B6F34">
      <w:pPr>
        <w:spacing w:after="120" w:line="360" w:lineRule="auto"/>
        <w:jc w:val="both"/>
        <w:rPr>
          <w:rFonts w:asciiTheme="minorHAnsi" w:hAnsiTheme="minorHAnsi" w:cstheme="minorHAnsi"/>
          <w:b/>
          <w:sz w:val="26"/>
          <w:szCs w:val="26"/>
        </w:rPr>
      </w:pPr>
    </w:p>
    <w:p w14:paraId="1BB45A52" w14:textId="77777777" w:rsidR="001B6F34" w:rsidRPr="001B6F34" w:rsidRDefault="001B6F34" w:rsidP="001B6F34">
      <w:pPr>
        <w:spacing w:after="120" w:line="360" w:lineRule="auto"/>
        <w:jc w:val="both"/>
        <w:rPr>
          <w:rFonts w:asciiTheme="minorHAnsi" w:hAnsiTheme="minorHAnsi" w:cstheme="minorHAnsi"/>
          <w:sz w:val="26"/>
          <w:szCs w:val="26"/>
        </w:rPr>
      </w:pPr>
      <w:r w:rsidRPr="001B6F34">
        <w:rPr>
          <w:rFonts w:asciiTheme="minorHAnsi" w:hAnsiTheme="minorHAnsi" w:cstheme="minorHAnsi"/>
          <w:b/>
          <w:sz w:val="26"/>
          <w:szCs w:val="26"/>
        </w:rPr>
        <w:lastRenderedPageBreak/>
        <w:tab/>
      </w:r>
      <w:r w:rsidRPr="001B6F34">
        <w:rPr>
          <w:rFonts w:asciiTheme="minorHAnsi" w:hAnsiTheme="minorHAnsi" w:cstheme="minorHAnsi"/>
          <w:sz w:val="26"/>
          <w:szCs w:val="26"/>
        </w:rPr>
        <w:t xml:space="preserve">Oproti 4. čtvrtletí roku 2021 (index 106,1 %) se v 1. čtvrtletí tohoto roku tempo </w:t>
      </w:r>
      <w:r w:rsidRPr="001B6F34">
        <w:rPr>
          <w:rFonts w:asciiTheme="minorHAnsi" w:hAnsiTheme="minorHAnsi" w:cstheme="minorHAnsi"/>
          <w:b/>
          <w:bCs/>
          <w:sz w:val="26"/>
          <w:szCs w:val="26"/>
        </w:rPr>
        <w:t>meziročního</w:t>
      </w:r>
      <w:r w:rsidRPr="001B6F34">
        <w:rPr>
          <w:rFonts w:asciiTheme="minorHAnsi" w:hAnsiTheme="minorHAnsi" w:cstheme="minorHAnsi"/>
          <w:sz w:val="26"/>
          <w:szCs w:val="26"/>
        </w:rPr>
        <w:t xml:space="preserve"> růstu spotřebitelských cen výrazně zvýšilo (index 111,2 %) a tento trend pokračoval i ve 2. čtvrtletí, kdy došlo k nárůstu o 4,6 p. b. (index 115,8 %). Popsaný vývoj nejvíce ovlivnilo zrychlení růstu cen v oddíle bydlení, což bylo způsobeno vyššími náklady na </w:t>
      </w:r>
      <w:r w:rsidRPr="001B6F34">
        <w:rPr>
          <w:rFonts w:asciiTheme="minorHAnsi" w:hAnsiTheme="minorHAnsi" w:cstheme="minorHAnsi"/>
          <w:b/>
          <w:bCs/>
          <w:sz w:val="26"/>
          <w:szCs w:val="26"/>
        </w:rPr>
        <w:t>imputované nájemné</w:t>
      </w:r>
      <w:r w:rsidRPr="001B6F34">
        <w:rPr>
          <w:rFonts w:asciiTheme="minorHAnsi" w:hAnsiTheme="minorHAnsi" w:cstheme="minorHAnsi"/>
          <w:sz w:val="26"/>
          <w:szCs w:val="26"/>
        </w:rPr>
        <w:t xml:space="preserve"> (náklady vlastnického bydlení) a na </w:t>
      </w:r>
      <w:r w:rsidRPr="001B6F34">
        <w:rPr>
          <w:rFonts w:asciiTheme="minorHAnsi" w:hAnsiTheme="minorHAnsi" w:cstheme="minorHAnsi"/>
          <w:b/>
          <w:bCs/>
          <w:sz w:val="26"/>
          <w:szCs w:val="26"/>
        </w:rPr>
        <w:t>energie, plyn a ostatní paliva</w:t>
      </w:r>
      <w:r w:rsidRPr="001B6F34">
        <w:rPr>
          <w:rFonts w:asciiTheme="minorHAnsi" w:hAnsiTheme="minorHAnsi" w:cstheme="minorHAnsi"/>
          <w:sz w:val="26"/>
          <w:szCs w:val="26"/>
        </w:rPr>
        <w:t xml:space="preserve">. Druhý nejvyšší vliv měl v průběhu prvního pololetí růst cen </w:t>
      </w:r>
      <w:r w:rsidRPr="001B6F34">
        <w:rPr>
          <w:rFonts w:asciiTheme="minorHAnsi" w:hAnsiTheme="minorHAnsi" w:cstheme="minorHAnsi"/>
          <w:b/>
          <w:bCs/>
          <w:sz w:val="26"/>
          <w:szCs w:val="26"/>
        </w:rPr>
        <w:t>potravin</w:t>
      </w:r>
      <w:r w:rsidRPr="001B6F34">
        <w:rPr>
          <w:rFonts w:asciiTheme="minorHAnsi" w:hAnsiTheme="minorHAnsi" w:cstheme="minorHAnsi"/>
          <w:sz w:val="26"/>
          <w:szCs w:val="26"/>
        </w:rPr>
        <w:t>, kdy se jednalo zejména o pekárenské výrobky</w:t>
      </w:r>
      <w:r w:rsidRPr="001B6F34">
        <w:rPr>
          <w:rFonts w:asciiTheme="minorHAnsi" w:hAnsiTheme="minorHAnsi" w:cstheme="minorHAnsi"/>
          <w:sz w:val="26"/>
          <w:szCs w:val="26"/>
          <w:lang w:val="en-GB"/>
        </w:rPr>
        <w:t xml:space="preserve">, </w:t>
      </w:r>
      <w:proofErr w:type="spellStart"/>
      <w:r w:rsidRPr="001B6F34">
        <w:rPr>
          <w:rFonts w:asciiTheme="minorHAnsi" w:hAnsiTheme="minorHAnsi" w:cstheme="minorHAnsi"/>
          <w:sz w:val="26"/>
          <w:szCs w:val="26"/>
          <w:lang w:val="en-GB"/>
        </w:rPr>
        <w:t>obiloviny</w:t>
      </w:r>
      <w:proofErr w:type="spellEnd"/>
      <w:r w:rsidRPr="001B6F34">
        <w:rPr>
          <w:rFonts w:asciiTheme="minorHAnsi" w:hAnsiTheme="minorHAnsi" w:cstheme="minorHAnsi"/>
          <w:sz w:val="26"/>
          <w:szCs w:val="26"/>
          <w:lang w:val="en-GB"/>
        </w:rPr>
        <w:t xml:space="preserve">, </w:t>
      </w:r>
      <w:r w:rsidRPr="001B6F34">
        <w:rPr>
          <w:rFonts w:asciiTheme="minorHAnsi" w:hAnsiTheme="minorHAnsi" w:cstheme="minorHAnsi"/>
          <w:sz w:val="26"/>
          <w:szCs w:val="26"/>
        </w:rPr>
        <w:t xml:space="preserve">mléko, sýry vejce, oleje a tuky. Třetím nejvýznamnějším faktorem byl oddíl </w:t>
      </w:r>
      <w:r w:rsidRPr="001B6F34">
        <w:rPr>
          <w:rFonts w:asciiTheme="minorHAnsi" w:hAnsiTheme="minorHAnsi" w:cstheme="minorHAnsi"/>
          <w:b/>
          <w:bCs/>
          <w:sz w:val="26"/>
          <w:szCs w:val="26"/>
        </w:rPr>
        <w:t>doprava</w:t>
      </w:r>
      <w:r w:rsidRPr="001B6F34">
        <w:rPr>
          <w:rFonts w:asciiTheme="minorHAnsi" w:hAnsiTheme="minorHAnsi" w:cstheme="minorHAnsi"/>
          <w:sz w:val="26"/>
          <w:szCs w:val="26"/>
        </w:rPr>
        <w:t xml:space="preserve">, kde se staly hlavním důvodem především rostoucí náklady na </w:t>
      </w:r>
      <w:r w:rsidRPr="001B6F34">
        <w:rPr>
          <w:rFonts w:asciiTheme="minorHAnsi" w:hAnsiTheme="minorHAnsi" w:cstheme="minorHAnsi"/>
          <w:b/>
          <w:bCs/>
          <w:sz w:val="26"/>
          <w:szCs w:val="26"/>
        </w:rPr>
        <w:t>provoz osobních dopravních prostředků</w:t>
      </w:r>
      <w:r w:rsidRPr="001B6F34">
        <w:rPr>
          <w:rFonts w:asciiTheme="minorHAnsi" w:hAnsiTheme="minorHAnsi" w:cstheme="minorHAnsi"/>
          <w:sz w:val="26"/>
          <w:szCs w:val="26"/>
        </w:rPr>
        <w:t>.</w:t>
      </w:r>
    </w:p>
    <w:p w14:paraId="70F9B7F4" w14:textId="77777777" w:rsidR="001B6F34" w:rsidRPr="001B6F34" w:rsidRDefault="001B6F34" w:rsidP="001B6F34">
      <w:pPr>
        <w:spacing w:line="360" w:lineRule="auto"/>
        <w:jc w:val="both"/>
        <w:rPr>
          <w:rFonts w:asciiTheme="minorHAnsi" w:hAnsiTheme="minorHAnsi" w:cstheme="minorHAnsi"/>
          <w:sz w:val="26"/>
          <w:szCs w:val="26"/>
        </w:rPr>
      </w:pPr>
      <w:r w:rsidRPr="001B6F34">
        <w:rPr>
          <w:rFonts w:asciiTheme="minorHAnsi" w:hAnsiTheme="minorHAnsi" w:cstheme="minorHAnsi"/>
          <w:sz w:val="26"/>
          <w:szCs w:val="26"/>
        </w:rPr>
        <w:tab/>
      </w:r>
      <w:r w:rsidRPr="001B6F34">
        <w:rPr>
          <w:rFonts w:asciiTheme="minorHAnsi" w:hAnsiTheme="minorHAnsi" w:cstheme="minorHAnsi"/>
          <w:b/>
          <w:sz w:val="26"/>
          <w:szCs w:val="26"/>
        </w:rPr>
        <w:t>Meziroční růst</w:t>
      </w:r>
      <w:r w:rsidRPr="001B6F34">
        <w:rPr>
          <w:rFonts w:asciiTheme="minorHAnsi" w:hAnsiTheme="minorHAnsi" w:cstheme="minorHAnsi"/>
          <w:sz w:val="26"/>
          <w:szCs w:val="26"/>
        </w:rPr>
        <w:t xml:space="preserve"> úhrnného indexu </w:t>
      </w:r>
      <w:r w:rsidRPr="001B6F34">
        <w:rPr>
          <w:rFonts w:asciiTheme="minorHAnsi" w:hAnsiTheme="minorHAnsi" w:cstheme="minorHAnsi"/>
          <w:b/>
          <w:sz w:val="26"/>
          <w:szCs w:val="26"/>
        </w:rPr>
        <w:t>spotřebitelských cen</w:t>
      </w:r>
      <w:r w:rsidRPr="001B6F34">
        <w:rPr>
          <w:rFonts w:asciiTheme="minorHAnsi" w:hAnsiTheme="minorHAnsi" w:cstheme="minorHAnsi"/>
          <w:sz w:val="26"/>
          <w:szCs w:val="26"/>
        </w:rPr>
        <w:t xml:space="preserve"> </w:t>
      </w:r>
      <w:r w:rsidRPr="001B6F34">
        <w:rPr>
          <w:rFonts w:asciiTheme="minorHAnsi" w:hAnsiTheme="minorHAnsi" w:cstheme="minorHAnsi"/>
          <w:b/>
          <w:sz w:val="26"/>
          <w:szCs w:val="26"/>
        </w:rPr>
        <w:t>byl</w:t>
      </w:r>
      <w:r w:rsidRPr="001B6F34">
        <w:rPr>
          <w:rFonts w:asciiTheme="minorHAnsi" w:hAnsiTheme="minorHAnsi" w:cstheme="minorHAnsi"/>
          <w:sz w:val="26"/>
          <w:szCs w:val="26"/>
        </w:rPr>
        <w:t xml:space="preserve"> v celém hodnoceném období i v jeho čtvrtletích </w:t>
      </w:r>
      <w:r w:rsidRPr="001B6F34">
        <w:rPr>
          <w:rFonts w:asciiTheme="minorHAnsi" w:hAnsiTheme="minorHAnsi" w:cstheme="minorHAnsi"/>
          <w:b/>
          <w:sz w:val="26"/>
          <w:szCs w:val="26"/>
        </w:rPr>
        <w:t>ovlivněn</w:t>
      </w:r>
      <w:r w:rsidRPr="001B6F34">
        <w:rPr>
          <w:rFonts w:asciiTheme="minorHAnsi" w:hAnsiTheme="minorHAnsi" w:cstheme="minorHAnsi"/>
          <w:sz w:val="26"/>
          <w:szCs w:val="26"/>
        </w:rPr>
        <w:t xml:space="preserve"> jednotlivými agregovanými oddíly spotřebního koše </w:t>
      </w:r>
      <w:r w:rsidRPr="001B6F34">
        <w:rPr>
          <w:rFonts w:asciiTheme="minorHAnsi" w:hAnsiTheme="minorHAnsi" w:cstheme="minorHAnsi"/>
          <w:b/>
          <w:sz w:val="26"/>
          <w:szCs w:val="26"/>
        </w:rPr>
        <w:t>následovně</w:t>
      </w:r>
      <w:r w:rsidRPr="001B6F34">
        <w:rPr>
          <w:rFonts w:asciiTheme="minorHAnsi" w:hAnsiTheme="minorHAnsi" w:cstheme="minorHAnsi"/>
          <w:b/>
          <w:bCs/>
          <w:sz w:val="26"/>
          <w:szCs w:val="26"/>
        </w:rPr>
        <w:t>:</w:t>
      </w:r>
    </w:p>
    <w:tbl>
      <w:tblPr>
        <w:tblW w:w="9039" w:type="dxa"/>
        <w:tblCellMar>
          <w:left w:w="70" w:type="dxa"/>
          <w:right w:w="70" w:type="dxa"/>
        </w:tblCellMar>
        <w:tblLook w:val="04A0" w:firstRow="1" w:lastRow="0" w:firstColumn="1" w:lastColumn="0" w:noHBand="0" w:noVBand="1"/>
      </w:tblPr>
      <w:tblGrid>
        <w:gridCol w:w="4339"/>
        <w:gridCol w:w="1566"/>
        <w:gridCol w:w="1566"/>
        <w:gridCol w:w="1568"/>
      </w:tblGrid>
      <w:tr w:rsidR="001B6F34" w:rsidRPr="00823037" w14:paraId="0A65D841" w14:textId="77777777" w:rsidTr="0007287E">
        <w:trPr>
          <w:trHeight w:val="74"/>
        </w:trPr>
        <w:tc>
          <w:tcPr>
            <w:tcW w:w="4339" w:type="dxa"/>
            <w:tcBorders>
              <w:top w:val="nil"/>
              <w:left w:val="nil"/>
              <w:bottom w:val="nil"/>
              <w:right w:val="nil"/>
            </w:tcBorders>
            <w:shd w:val="clear" w:color="000000" w:fill="FFFFFF"/>
            <w:noWrap/>
            <w:vAlign w:val="bottom"/>
            <w:hideMark/>
          </w:tcPr>
          <w:p w14:paraId="37130660" w14:textId="77777777" w:rsidR="001B6F34" w:rsidRPr="00823037" w:rsidRDefault="001B6F34" w:rsidP="0007287E">
            <w:pPr>
              <w:rPr>
                <w:rFonts w:ascii="Calibri" w:hAnsi="Calibri" w:cs="Calibri"/>
                <w:color w:val="000000"/>
                <w:sz w:val="22"/>
                <w:szCs w:val="22"/>
              </w:rPr>
            </w:pPr>
            <w:r w:rsidRPr="00823037">
              <w:rPr>
                <w:rFonts w:ascii="Calibri" w:hAnsi="Calibri" w:cs="Calibri"/>
                <w:color w:val="000000"/>
                <w:sz w:val="22"/>
                <w:szCs w:val="22"/>
              </w:rPr>
              <w:t> </w:t>
            </w:r>
          </w:p>
        </w:tc>
        <w:tc>
          <w:tcPr>
            <w:tcW w:w="1566" w:type="dxa"/>
            <w:tcBorders>
              <w:top w:val="nil"/>
              <w:left w:val="nil"/>
              <w:bottom w:val="nil"/>
              <w:right w:val="nil"/>
            </w:tcBorders>
            <w:shd w:val="clear" w:color="000000" w:fill="FFFFFF"/>
            <w:noWrap/>
            <w:vAlign w:val="bottom"/>
            <w:hideMark/>
          </w:tcPr>
          <w:p w14:paraId="6FE858BB" w14:textId="77777777" w:rsidR="001B6F34" w:rsidRPr="00823037" w:rsidRDefault="001B6F34" w:rsidP="0007287E">
            <w:pPr>
              <w:rPr>
                <w:rFonts w:ascii="Calibri" w:hAnsi="Calibri" w:cs="Calibri"/>
                <w:color w:val="000000"/>
                <w:sz w:val="22"/>
                <w:szCs w:val="22"/>
              </w:rPr>
            </w:pPr>
            <w:r w:rsidRPr="00823037">
              <w:rPr>
                <w:rFonts w:ascii="Calibri" w:hAnsi="Calibri" w:cs="Calibri"/>
                <w:color w:val="000000"/>
                <w:sz w:val="22"/>
                <w:szCs w:val="22"/>
              </w:rPr>
              <w:t> </w:t>
            </w:r>
          </w:p>
        </w:tc>
        <w:tc>
          <w:tcPr>
            <w:tcW w:w="1566" w:type="dxa"/>
            <w:tcBorders>
              <w:top w:val="nil"/>
              <w:left w:val="nil"/>
              <w:bottom w:val="nil"/>
              <w:right w:val="nil"/>
            </w:tcBorders>
            <w:shd w:val="clear" w:color="000000" w:fill="FFFFFF"/>
            <w:noWrap/>
            <w:vAlign w:val="bottom"/>
            <w:hideMark/>
          </w:tcPr>
          <w:p w14:paraId="3FA0DF31" w14:textId="77777777" w:rsidR="001B6F34" w:rsidRPr="00823037" w:rsidRDefault="001B6F34" w:rsidP="0007287E">
            <w:pPr>
              <w:rPr>
                <w:rFonts w:ascii="Calibri" w:hAnsi="Calibri" w:cs="Calibri"/>
                <w:color w:val="000000"/>
                <w:sz w:val="22"/>
                <w:szCs w:val="22"/>
              </w:rPr>
            </w:pPr>
            <w:r w:rsidRPr="00823037">
              <w:rPr>
                <w:rFonts w:ascii="Calibri" w:hAnsi="Calibri" w:cs="Calibri"/>
                <w:color w:val="000000"/>
                <w:sz w:val="22"/>
                <w:szCs w:val="22"/>
              </w:rPr>
              <w:t> </w:t>
            </w:r>
          </w:p>
        </w:tc>
        <w:tc>
          <w:tcPr>
            <w:tcW w:w="1568" w:type="dxa"/>
            <w:tcBorders>
              <w:top w:val="nil"/>
              <w:left w:val="nil"/>
              <w:bottom w:val="nil"/>
              <w:right w:val="nil"/>
            </w:tcBorders>
            <w:shd w:val="clear" w:color="000000" w:fill="FFFFFF"/>
            <w:noWrap/>
            <w:vAlign w:val="bottom"/>
            <w:hideMark/>
          </w:tcPr>
          <w:p w14:paraId="199F2BF3" w14:textId="77777777" w:rsidR="001B6F34" w:rsidRPr="00823037" w:rsidRDefault="001B6F34" w:rsidP="0007287E">
            <w:pPr>
              <w:rPr>
                <w:rFonts w:ascii="Calibri" w:hAnsi="Calibri" w:cs="Calibri"/>
                <w:color w:val="000000"/>
                <w:sz w:val="22"/>
                <w:szCs w:val="22"/>
              </w:rPr>
            </w:pPr>
            <w:r w:rsidRPr="00823037">
              <w:rPr>
                <w:rFonts w:ascii="Calibri" w:hAnsi="Calibri" w:cs="Calibri"/>
                <w:color w:val="000000"/>
                <w:sz w:val="22"/>
                <w:szCs w:val="22"/>
              </w:rPr>
              <w:t> </w:t>
            </w:r>
          </w:p>
        </w:tc>
      </w:tr>
      <w:tr w:rsidR="001B6F34" w:rsidRPr="00823037" w14:paraId="4D194183" w14:textId="77777777" w:rsidTr="0007287E">
        <w:trPr>
          <w:trHeight w:val="737"/>
        </w:trPr>
        <w:tc>
          <w:tcPr>
            <w:tcW w:w="4339" w:type="dxa"/>
            <w:vMerge w:val="restart"/>
            <w:tcBorders>
              <w:top w:val="single" w:sz="12" w:space="0" w:color="auto"/>
              <w:left w:val="single" w:sz="12" w:space="0" w:color="auto"/>
              <w:right w:val="nil"/>
            </w:tcBorders>
            <w:shd w:val="clear" w:color="auto" w:fill="auto"/>
            <w:vAlign w:val="center"/>
            <w:hideMark/>
          </w:tcPr>
          <w:p w14:paraId="0025FA54" w14:textId="77777777" w:rsidR="001B6F34" w:rsidRDefault="001B6F34" w:rsidP="0007287E">
            <w:pPr>
              <w:spacing w:line="360" w:lineRule="auto"/>
              <w:jc w:val="center"/>
              <w:rPr>
                <w:rFonts w:ascii="Calibri" w:hAnsi="Calibri" w:cs="Calibri"/>
                <w:b/>
                <w:bCs/>
                <w:color w:val="000000"/>
                <w:sz w:val="20"/>
              </w:rPr>
            </w:pPr>
            <w:r w:rsidRPr="00823037">
              <w:rPr>
                <w:rFonts w:ascii="Calibri" w:hAnsi="Calibri" w:cs="Calibri"/>
                <w:b/>
                <w:bCs/>
                <w:color w:val="000000"/>
                <w:sz w:val="20"/>
              </w:rPr>
              <w:t xml:space="preserve">Úhrnný meziroční nárůst spotřebitelských cen </w:t>
            </w:r>
          </w:p>
          <w:p w14:paraId="4C010B48" w14:textId="77777777" w:rsidR="001B6F34" w:rsidRPr="00823037" w:rsidRDefault="001B6F34" w:rsidP="0007287E">
            <w:pPr>
              <w:spacing w:line="360" w:lineRule="auto"/>
              <w:jc w:val="center"/>
              <w:rPr>
                <w:rFonts w:ascii="Calibri" w:hAnsi="Calibri" w:cs="Calibri"/>
                <w:b/>
                <w:bCs/>
                <w:color w:val="000000"/>
                <w:sz w:val="20"/>
              </w:rPr>
            </w:pPr>
            <w:r w:rsidRPr="00823037">
              <w:rPr>
                <w:rFonts w:ascii="Calibri" w:hAnsi="Calibri" w:cs="Calibri"/>
                <w:b/>
                <w:bCs/>
                <w:color w:val="000000"/>
                <w:sz w:val="20"/>
              </w:rPr>
              <w:t>(v %)</w:t>
            </w:r>
          </w:p>
        </w:tc>
        <w:tc>
          <w:tcPr>
            <w:tcW w:w="1566" w:type="dxa"/>
            <w:vMerge w:val="restart"/>
            <w:tcBorders>
              <w:top w:val="single" w:sz="12" w:space="0" w:color="auto"/>
              <w:left w:val="single" w:sz="12" w:space="0" w:color="auto"/>
              <w:right w:val="single" w:sz="12" w:space="0" w:color="auto"/>
            </w:tcBorders>
            <w:shd w:val="clear" w:color="auto" w:fill="DAEEF3" w:themeFill="accent5" w:themeFillTint="33"/>
            <w:noWrap/>
            <w:vAlign w:val="center"/>
            <w:hideMark/>
          </w:tcPr>
          <w:p w14:paraId="5F1AADC9" w14:textId="77777777" w:rsidR="001B6F34" w:rsidRPr="00823037" w:rsidRDefault="001B6F34" w:rsidP="0007287E">
            <w:pPr>
              <w:spacing w:line="360" w:lineRule="auto"/>
              <w:jc w:val="center"/>
              <w:rPr>
                <w:rFonts w:ascii="Calibri" w:hAnsi="Calibri" w:cs="Calibri"/>
                <w:b/>
                <w:bCs/>
                <w:sz w:val="20"/>
              </w:rPr>
            </w:pPr>
            <w:r w:rsidRPr="00823037">
              <w:rPr>
                <w:rFonts w:ascii="Calibri" w:hAnsi="Calibri" w:cs="Calibri"/>
                <w:b/>
                <w:bCs/>
                <w:sz w:val="20"/>
              </w:rPr>
              <w:t>1. pololetí</w:t>
            </w:r>
          </w:p>
        </w:tc>
        <w:tc>
          <w:tcPr>
            <w:tcW w:w="3134" w:type="dxa"/>
            <w:gridSpan w:val="2"/>
            <w:tcBorders>
              <w:top w:val="single" w:sz="12" w:space="0" w:color="auto"/>
              <w:left w:val="single" w:sz="12" w:space="0" w:color="auto"/>
              <w:bottom w:val="single" w:sz="12" w:space="0" w:color="auto"/>
              <w:right w:val="single" w:sz="12" w:space="0" w:color="000000"/>
            </w:tcBorders>
            <w:shd w:val="clear" w:color="auto" w:fill="DAEEF3" w:themeFill="accent5" w:themeFillTint="33"/>
            <w:vAlign w:val="center"/>
            <w:hideMark/>
          </w:tcPr>
          <w:p w14:paraId="1D89DE13" w14:textId="77777777" w:rsidR="001B6F34" w:rsidRPr="00823037" w:rsidRDefault="001B6F34" w:rsidP="0007287E">
            <w:pPr>
              <w:spacing w:line="360" w:lineRule="auto"/>
              <w:jc w:val="center"/>
              <w:rPr>
                <w:rFonts w:ascii="Calibri" w:hAnsi="Calibri" w:cs="Calibri"/>
                <w:b/>
                <w:bCs/>
                <w:color w:val="000000"/>
                <w:sz w:val="20"/>
              </w:rPr>
            </w:pPr>
            <w:r>
              <w:rPr>
                <w:rFonts w:ascii="Calibri" w:hAnsi="Calibri" w:cs="Calibri"/>
                <w:b/>
                <w:bCs/>
                <w:color w:val="000000"/>
                <w:sz w:val="20"/>
              </w:rPr>
              <w:t>Z toho:</w:t>
            </w:r>
          </w:p>
        </w:tc>
      </w:tr>
      <w:tr w:rsidR="001B6F34" w:rsidRPr="00823037" w14:paraId="6E04513C" w14:textId="77777777" w:rsidTr="0007287E">
        <w:trPr>
          <w:trHeight w:val="366"/>
        </w:trPr>
        <w:tc>
          <w:tcPr>
            <w:tcW w:w="4339" w:type="dxa"/>
            <w:vMerge/>
            <w:tcBorders>
              <w:left w:val="single" w:sz="12" w:space="0" w:color="auto"/>
              <w:right w:val="nil"/>
            </w:tcBorders>
            <w:shd w:val="clear" w:color="auto" w:fill="auto"/>
            <w:vAlign w:val="center"/>
          </w:tcPr>
          <w:p w14:paraId="5CF32AC9" w14:textId="77777777" w:rsidR="001B6F34" w:rsidRPr="00823037" w:rsidRDefault="001B6F34" w:rsidP="0007287E">
            <w:pPr>
              <w:spacing w:line="360" w:lineRule="auto"/>
              <w:jc w:val="center"/>
              <w:rPr>
                <w:rFonts w:ascii="Calibri" w:hAnsi="Calibri" w:cs="Calibri"/>
                <w:b/>
                <w:bCs/>
                <w:color w:val="000000"/>
                <w:sz w:val="20"/>
              </w:rPr>
            </w:pPr>
          </w:p>
        </w:tc>
        <w:tc>
          <w:tcPr>
            <w:tcW w:w="1566" w:type="dxa"/>
            <w:vMerge/>
            <w:tcBorders>
              <w:left w:val="single" w:sz="12" w:space="0" w:color="auto"/>
              <w:bottom w:val="nil"/>
              <w:right w:val="single" w:sz="12" w:space="0" w:color="auto"/>
            </w:tcBorders>
            <w:shd w:val="clear" w:color="auto" w:fill="DAEEF3" w:themeFill="accent5" w:themeFillTint="33"/>
            <w:noWrap/>
            <w:vAlign w:val="center"/>
          </w:tcPr>
          <w:p w14:paraId="77BD45F2" w14:textId="77777777" w:rsidR="001B6F34" w:rsidRPr="00823037" w:rsidRDefault="001B6F34" w:rsidP="0007287E">
            <w:pPr>
              <w:spacing w:line="360" w:lineRule="auto"/>
              <w:jc w:val="center"/>
              <w:rPr>
                <w:rFonts w:ascii="Calibri" w:hAnsi="Calibri" w:cs="Calibri"/>
                <w:b/>
                <w:bCs/>
                <w:sz w:val="20"/>
              </w:rPr>
            </w:pPr>
          </w:p>
        </w:tc>
        <w:tc>
          <w:tcPr>
            <w:tcW w:w="1566"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33314874" w14:textId="77777777" w:rsidR="001B6F34" w:rsidRPr="00823037" w:rsidRDefault="001B6F34" w:rsidP="0007287E">
            <w:pPr>
              <w:spacing w:line="360" w:lineRule="auto"/>
              <w:jc w:val="center"/>
              <w:rPr>
                <w:rFonts w:ascii="Calibri" w:hAnsi="Calibri" w:cs="Calibri"/>
                <w:b/>
                <w:bCs/>
                <w:color w:val="000000"/>
                <w:sz w:val="20"/>
              </w:rPr>
            </w:pPr>
            <w:r w:rsidRPr="00823037">
              <w:rPr>
                <w:rFonts w:ascii="Calibri" w:hAnsi="Calibri" w:cs="Calibri"/>
                <w:b/>
                <w:bCs/>
                <w:color w:val="000000"/>
                <w:sz w:val="20"/>
              </w:rPr>
              <w:t>1. čtvrtletí</w:t>
            </w:r>
          </w:p>
          <w:p w14:paraId="04B56795" w14:textId="77777777" w:rsidR="001B6F34" w:rsidRPr="00823037" w:rsidRDefault="001B6F34" w:rsidP="0007287E">
            <w:pPr>
              <w:spacing w:line="360" w:lineRule="auto"/>
              <w:ind w:right="510"/>
              <w:jc w:val="right"/>
              <w:rPr>
                <w:rFonts w:ascii="Calibri" w:hAnsi="Calibri" w:cs="Calibri"/>
                <w:b/>
                <w:bCs/>
                <w:color w:val="000000"/>
                <w:sz w:val="20"/>
              </w:rPr>
            </w:pPr>
            <w:r w:rsidRPr="00876955">
              <w:rPr>
                <w:rFonts w:ascii="Calibri" w:hAnsi="Calibri" w:cs="Calibri"/>
                <w:b/>
                <w:bCs/>
                <w:sz w:val="20"/>
              </w:rPr>
              <w:t>+</w:t>
            </w:r>
            <w:r>
              <w:rPr>
                <w:rFonts w:ascii="Calibri" w:hAnsi="Calibri" w:cs="Calibri"/>
                <w:b/>
                <w:bCs/>
                <w:sz w:val="20"/>
              </w:rPr>
              <w:t>11,2</w:t>
            </w:r>
          </w:p>
        </w:tc>
        <w:tc>
          <w:tcPr>
            <w:tcW w:w="1568" w:type="dxa"/>
            <w:vMerge w:val="restart"/>
            <w:tcBorders>
              <w:top w:val="single" w:sz="12" w:space="0" w:color="auto"/>
              <w:left w:val="single" w:sz="4" w:space="0" w:color="auto"/>
              <w:right w:val="single" w:sz="12" w:space="0" w:color="000000"/>
            </w:tcBorders>
            <w:shd w:val="clear" w:color="auto" w:fill="DAEEF3" w:themeFill="accent5" w:themeFillTint="33"/>
            <w:vAlign w:val="center"/>
          </w:tcPr>
          <w:p w14:paraId="3E535FA6" w14:textId="77777777" w:rsidR="001B6F34" w:rsidRPr="00823037" w:rsidRDefault="001B6F34" w:rsidP="0007287E">
            <w:pPr>
              <w:spacing w:line="360" w:lineRule="auto"/>
              <w:jc w:val="center"/>
              <w:rPr>
                <w:rFonts w:ascii="Calibri" w:hAnsi="Calibri" w:cs="Calibri"/>
                <w:b/>
                <w:bCs/>
                <w:color w:val="000000"/>
                <w:sz w:val="20"/>
              </w:rPr>
            </w:pPr>
            <w:r w:rsidRPr="00823037">
              <w:rPr>
                <w:rFonts w:ascii="Calibri" w:hAnsi="Calibri" w:cs="Calibri"/>
                <w:b/>
                <w:bCs/>
                <w:color w:val="000000"/>
                <w:sz w:val="20"/>
              </w:rPr>
              <w:t>2. čtvrtletí</w:t>
            </w:r>
          </w:p>
          <w:p w14:paraId="1F8936B4" w14:textId="77777777" w:rsidR="001B6F34" w:rsidRPr="00823037" w:rsidRDefault="001B6F34" w:rsidP="0007287E">
            <w:pPr>
              <w:spacing w:line="360" w:lineRule="auto"/>
              <w:ind w:right="510"/>
              <w:jc w:val="right"/>
              <w:rPr>
                <w:rFonts w:ascii="Calibri" w:hAnsi="Calibri" w:cs="Calibri"/>
                <w:b/>
                <w:bCs/>
                <w:color w:val="000000"/>
                <w:sz w:val="20"/>
              </w:rPr>
            </w:pPr>
            <w:r w:rsidRPr="00876955">
              <w:rPr>
                <w:rFonts w:ascii="Calibri" w:hAnsi="Calibri" w:cs="Calibri"/>
                <w:b/>
                <w:bCs/>
                <w:sz w:val="20"/>
              </w:rPr>
              <w:t>+</w:t>
            </w:r>
            <w:r>
              <w:rPr>
                <w:rFonts w:ascii="Calibri" w:hAnsi="Calibri" w:cs="Calibri"/>
                <w:b/>
                <w:bCs/>
                <w:sz w:val="20"/>
              </w:rPr>
              <w:t>15,8</w:t>
            </w:r>
          </w:p>
        </w:tc>
      </w:tr>
      <w:tr w:rsidR="001B6F34" w:rsidRPr="00823037" w14:paraId="2C74D3C8" w14:textId="77777777" w:rsidTr="0007287E">
        <w:trPr>
          <w:trHeight w:val="80"/>
        </w:trPr>
        <w:tc>
          <w:tcPr>
            <w:tcW w:w="4339" w:type="dxa"/>
            <w:vMerge/>
            <w:tcBorders>
              <w:left w:val="single" w:sz="12" w:space="0" w:color="auto"/>
              <w:bottom w:val="nil"/>
              <w:right w:val="nil"/>
            </w:tcBorders>
            <w:vAlign w:val="center"/>
            <w:hideMark/>
          </w:tcPr>
          <w:p w14:paraId="36AD4D54" w14:textId="77777777" w:rsidR="001B6F34" w:rsidRPr="00823037" w:rsidRDefault="001B6F34" w:rsidP="0007287E">
            <w:pPr>
              <w:spacing w:line="360" w:lineRule="auto"/>
              <w:rPr>
                <w:rFonts w:ascii="Calibri" w:hAnsi="Calibri" w:cs="Calibri"/>
                <w:b/>
                <w:bCs/>
                <w:color w:val="000000"/>
                <w:sz w:val="20"/>
              </w:rPr>
            </w:pPr>
          </w:p>
        </w:tc>
        <w:tc>
          <w:tcPr>
            <w:tcW w:w="1566" w:type="dxa"/>
            <w:tcBorders>
              <w:top w:val="nil"/>
              <w:left w:val="single" w:sz="12" w:space="0" w:color="auto"/>
              <w:bottom w:val="single" w:sz="12" w:space="0" w:color="auto"/>
              <w:right w:val="single" w:sz="12" w:space="0" w:color="auto"/>
            </w:tcBorders>
            <w:shd w:val="clear" w:color="auto" w:fill="DAEEF3" w:themeFill="accent5" w:themeFillTint="33"/>
            <w:vAlign w:val="center"/>
            <w:hideMark/>
          </w:tcPr>
          <w:p w14:paraId="317C63F6" w14:textId="77777777" w:rsidR="001B6F34" w:rsidRPr="00823037" w:rsidRDefault="001B6F34" w:rsidP="0007287E">
            <w:pPr>
              <w:spacing w:line="360" w:lineRule="auto"/>
              <w:ind w:right="510"/>
              <w:jc w:val="right"/>
              <w:rPr>
                <w:rFonts w:ascii="Calibri" w:hAnsi="Calibri" w:cs="Calibri"/>
                <w:b/>
                <w:bCs/>
                <w:sz w:val="20"/>
              </w:rPr>
            </w:pPr>
            <w:r w:rsidRPr="00876955">
              <w:rPr>
                <w:rFonts w:ascii="Calibri" w:hAnsi="Calibri" w:cs="Calibri"/>
                <w:b/>
                <w:bCs/>
                <w:sz w:val="20"/>
              </w:rPr>
              <w:t>+</w:t>
            </w:r>
            <w:r>
              <w:rPr>
                <w:rFonts w:ascii="Calibri" w:hAnsi="Calibri" w:cs="Calibri"/>
                <w:b/>
                <w:bCs/>
                <w:sz w:val="20"/>
              </w:rPr>
              <w:t>13</w:t>
            </w:r>
            <w:r w:rsidRPr="00876955">
              <w:rPr>
                <w:rFonts w:ascii="Calibri" w:hAnsi="Calibri" w:cs="Calibri"/>
                <w:b/>
                <w:bCs/>
                <w:sz w:val="20"/>
              </w:rPr>
              <w:t>,</w:t>
            </w:r>
            <w:r>
              <w:rPr>
                <w:rFonts w:ascii="Calibri" w:hAnsi="Calibri" w:cs="Calibri"/>
                <w:b/>
                <w:bCs/>
                <w:sz w:val="20"/>
              </w:rPr>
              <w:t>5</w:t>
            </w:r>
          </w:p>
        </w:tc>
        <w:tc>
          <w:tcPr>
            <w:tcW w:w="1566" w:type="dxa"/>
            <w:vMerge/>
            <w:tcBorders>
              <w:left w:val="single" w:sz="12" w:space="0" w:color="auto"/>
              <w:bottom w:val="single" w:sz="12" w:space="0" w:color="auto"/>
              <w:right w:val="single" w:sz="4" w:space="0" w:color="auto"/>
            </w:tcBorders>
            <w:shd w:val="clear" w:color="000000" w:fill="D9D9D9"/>
            <w:vAlign w:val="center"/>
            <w:hideMark/>
          </w:tcPr>
          <w:p w14:paraId="0C13A30C" w14:textId="77777777" w:rsidR="001B6F34" w:rsidRPr="00823037" w:rsidRDefault="001B6F34" w:rsidP="0007287E">
            <w:pPr>
              <w:spacing w:line="360" w:lineRule="auto"/>
              <w:ind w:right="510"/>
              <w:jc w:val="right"/>
              <w:rPr>
                <w:rFonts w:ascii="Calibri" w:hAnsi="Calibri" w:cs="Calibri"/>
                <w:b/>
                <w:bCs/>
                <w:sz w:val="20"/>
              </w:rPr>
            </w:pPr>
          </w:p>
        </w:tc>
        <w:tc>
          <w:tcPr>
            <w:tcW w:w="1568" w:type="dxa"/>
            <w:vMerge/>
            <w:tcBorders>
              <w:left w:val="single" w:sz="4" w:space="0" w:color="auto"/>
              <w:bottom w:val="single" w:sz="12" w:space="0" w:color="auto"/>
              <w:right w:val="single" w:sz="12" w:space="0" w:color="000000"/>
            </w:tcBorders>
            <w:shd w:val="clear" w:color="000000" w:fill="D9D9D9"/>
            <w:vAlign w:val="center"/>
            <w:hideMark/>
          </w:tcPr>
          <w:p w14:paraId="6862AC31" w14:textId="77777777" w:rsidR="001B6F34" w:rsidRPr="00823037" w:rsidRDefault="001B6F34" w:rsidP="0007287E">
            <w:pPr>
              <w:spacing w:line="360" w:lineRule="auto"/>
              <w:ind w:right="510"/>
              <w:jc w:val="right"/>
              <w:rPr>
                <w:rFonts w:ascii="Calibri" w:hAnsi="Calibri" w:cs="Calibri"/>
                <w:b/>
                <w:bCs/>
                <w:sz w:val="20"/>
              </w:rPr>
            </w:pPr>
          </w:p>
        </w:tc>
      </w:tr>
      <w:tr w:rsidR="001B6F34" w:rsidRPr="00823037" w14:paraId="51B02D36" w14:textId="77777777" w:rsidTr="0007287E">
        <w:trPr>
          <w:trHeight w:val="305"/>
        </w:trPr>
        <w:tc>
          <w:tcPr>
            <w:tcW w:w="4339" w:type="dxa"/>
            <w:tcBorders>
              <w:top w:val="single" w:sz="12" w:space="0" w:color="auto"/>
              <w:left w:val="single" w:sz="12" w:space="0" w:color="auto"/>
              <w:bottom w:val="nil"/>
              <w:right w:val="single" w:sz="12" w:space="0" w:color="auto"/>
            </w:tcBorders>
            <w:shd w:val="clear" w:color="auto" w:fill="DAEEF3" w:themeFill="accent5" w:themeFillTint="33"/>
            <w:vAlign w:val="center"/>
            <w:hideMark/>
          </w:tcPr>
          <w:p w14:paraId="18ED5C6D" w14:textId="77777777" w:rsidR="001B6F34" w:rsidRPr="00823037" w:rsidRDefault="001B6F34" w:rsidP="0007287E">
            <w:pPr>
              <w:spacing w:line="360" w:lineRule="auto"/>
              <w:rPr>
                <w:rFonts w:ascii="Calibri" w:hAnsi="Calibri" w:cs="Calibri"/>
                <w:b/>
                <w:bCs/>
                <w:color w:val="000000"/>
                <w:sz w:val="20"/>
              </w:rPr>
            </w:pPr>
            <w:r w:rsidRPr="00823037">
              <w:rPr>
                <w:rFonts w:ascii="Calibri" w:hAnsi="Calibri" w:cs="Calibri"/>
                <w:b/>
                <w:bCs/>
                <w:color w:val="000000"/>
                <w:sz w:val="20"/>
              </w:rPr>
              <w:t>V tom:</w:t>
            </w:r>
          </w:p>
        </w:tc>
        <w:tc>
          <w:tcPr>
            <w:tcW w:w="1566" w:type="dxa"/>
            <w:tcBorders>
              <w:top w:val="nil"/>
              <w:left w:val="nil"/>
              <w:bottom w:val="nil"/>
              <w:right w:val="single" w:sz="12" w:space="0" w:color="auto"/>
            </w:tcBorders>
            <w:shd w:val="clear" w:color="auto" w:fill="auto"/>
            <w:vAlign w:val="center"/>
            <w:hideMark/>
          </w:tcPr>
          <w:p w14:paraId="64FF80FC" w14:textId="77777777" w:rsidR="001B6F34" w:rsidRPr="00823037" w:rsidRDefault="001B6F34" w:rsidP="0007287E">
            <w:pPr>
              <w:spacing w:line="360" w:lineRule="auto"/>
              <w:ind w:right="510"/>
              <w:jc w:val="right"/>
              <w:rPr>
                <w:rFonts w:ascii="Calibri" w:hAnsi="Calibri" w:cs="Calibri"/>
                <w:b/>
                <w:bCs/>
                <w:sz w:val="20"/>
              </w:rPr>
            </w:pPr>
            <w:r w:rsidRPr="00823037">
              <w:rPr>
                <w:rFonts w:ascii="Calibri" w:hAnsi="Calibri" w:cs="Calibri"/>
                <w:b/>
                <w:bCs/>
                <w:sz w:val="20"/>
              </w:rPr>
              <w:t> </w:t>
            </w:r>
          </w:p>
        </w:tc>
        <w:tc>
          <w:tcPr>
            <w:tcW w:w="1566" w:type="dxa"/>
            <w:tcBorders>
              <w:top w:val="nil"/>
              <w:left w:val="single" w:sz="12" w:space="0" w:color="auto"/>
              <w:bottom w:val="nil"/>
              <w:right w:val="single" w:sz="4" w:space="0" w:color="auto"/>
            </w:tcBorders>
            <w:shd w:val="clear" w:color="auto" w:fill="auto"/>
            <w:vAlign w:val="center"/>
            <w:hideMark/>
          </w:tcPr>
          <w:p w14:paraId="39043703" w14:textId="77777777" w:rsidR="001B6F34" w:rsidRPr="00823037" w:rsidRDefault="001B6F34" w:rsidP="0007287E">
            <w:pPr>
              <w:spacing w:line="360" w:lineRule="auto"/>
              <w:ind w:right="510"/>
              <w:jc w:val="right"/>
              <w:rPr>
                <w:rFonts w:ascii="Calibri" w:hAnsi="Calibri" w:cs="Calibri"/>
                <w:b/>
                <w:bCs/>
                <w:sz w:val="20"/>
              </w:rPr>
            </w:pPr>
            <w:r w:rsidRPr="00823037">
              <w:rPr>
                <w:rFonts w:ascii="Calibri" w:hAnsi="Calibri" w:cs="Calibri"/>
                <w:b/>
                <w:bCs/>
                <w:sz w:val="20"/>
              </w:rPr>
              <w:t> </w:t>
            </w:r>
          </w:p>
        </w:tc>
        <w:tc>
          <w:tcPr>
            <w:tcW w:w="1568" w:type="dxa"/>
            <w:tcBorders>
              <w:top w:val="nil"/>
              <w:left w:val="nil"/>
              <w:bottom w:val="nil"/>
              <w:right w:val="single" w:sz="12" w:space="0" w:color="auto"/>
            </w:tcBorders>
            <w:shd w:val="clear" w:color="auto" w:fill="auto"/>
            <w:vAlign w:val="center"/>
            <w:hideMark/>
          </w:tcPr>
          <w:p w14:paraId="71BF4468" w14:textId="77777777" w:rsidR="001B6F34" w:rsidRPr="00823037" w:rsidRDefault="001B6F34" w:rsidP="0007287E">
            <w:pPr>
              <w:spacing w:line="360" w:lineRule="auto"/>
              <w:ind w:right="510"/>
              <w:jc w:val="right"/>
              <w:rPr>
                <w:rFonts w:ascii="Calibri" w:hAnsi="Calibri" w:cs="Calibri"/>
                <w:b/>
                <w:bCs/>
                <w:sz w:val="20"/>
              </w:rPr>
            </w:pPr>
            <w:r w:rsidRPr="00823037">
              <w:rPr>
                <w:rFonts w:ascii="Calibri" w:hAnsi="Calibri" w:cs="Calibri"/>
                <w:b/>
                <w:bCs/>
                <w:sz w:val="20"/>
              </w:rPr>
              <w:t> </w:t>
            </w:r>
          </w:p>
        </w:tc>
      </w:tr>
      <w:tr w:rsidR="001B6F34" w:rsidRPr="00823037" w14:paraId="02F6D288"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6EC34BF4"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Potraviny, nealkoholické nápoje</w:t>
            </w:r>
          </w:p>
        </w:tc>
        <w:tc>
          <w:tcPr>
            <w:tcW w:w="1566" w:type="dxa"/>
            <w:tcBorders>
              <w:top w:val="nil"/>
              <w:left w:val="nil"/>
              <w:bottom w:val="single" w:sz="4" w:space="0" w:color="auto"/>
              <w:right w:val="single" w:sz="12" w:space="0" w:color="auto"/>
            </w:tcBorders>
            <w:shd w:val="clear" w:color="auto" w:fill="auto"/>
            <w:vAlign w:val="center"/>
            <w:hideMark/>
          </w:tcPr>
          <w:p w14:paraId="5545B997"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+10,6</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6EEDA9B3"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6,7</w:t>
            </w:r>
          </w:p>
        </w:tc>
        <w:tc>
          <w:tcPr>
            <w:tcW w:w="1568" w:type="dxa"/>
            <w:tcBorders>
              <w:top w:val="nil"/>
              <w:left w:val="nil"/>
              <w:bottom w:val="single" w:sz="4" w:space="0" w:color="auto"/>
              <w:right w:val="single" w:sz="12" w:space="0" w:color="auto"/>
            </w:tcBorders>
            <w:shd w:val="clear" w:color="auto" w:fill="auto"/>
            <w:vAlign w:val="center"/>
            <w:hideMark/>
          </w:tcPr>
          <w:p w14:paraId="2E941BAF"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+14,6</w:t>
            </w:r>
          </w:p>
        </w:tc>
      </w:tr>
      <w:tr w:rsidR="001B6F34" w:rsidRPr="00823037" w14:paraId="01FEFD69"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51F76999"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Alkoholické nápoje, tabák </w:t>
            </w:r>
          </w:p>
        </w:tc>
        <w:tc>
          <w:tcPr>
            <w:tcW w:w="1566" w:type="dxa"/>
            <w:tcBorders>
              <w:top w:val="nil"/>
              <w:left w:val="nil"/>
              <w:bottom w:val="single" w:sz="4" w:space="0" w:color="auto"/>
              <w:right w:val="single" w:sz="12" w:space="0" w:color="auto"/>
            </w:tcBorders>
            <w:shd w:val="clear" w:color="auto" w:fill="auto"/>
            <w:vAlign w:val="center"/>
            <w:hideMark/>
          </w:tcPr>
          <w:p w14:paraId="1B9AE349"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6,3</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200E23B0"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7,1</w:t>
            </w:r>
          </w:p>
        </w:tc>
        <w:tc>
          <w:tcPr>
            <w:tcW w:w="1568" w:type="dxa"/>
            <w:tcBorders>
              <w:top w:val="nil"/>
              <w:left w:val="nil"/>
              <w:bottom w:val="single" w:sz="4" w:space="0" w:color="auto"/>
              <w:right w:val="single" w:sz="12" w:space="0" w:color="auto"/>
            </w:tcBorders>
            <w:shd w:val="clear" w:color="auto" w:fill="auto"/>
            <w:vAlign w:val="center"/>
            <w:hideMark/>
          </w:tcPr>
          <w:p w14:paraId="597BEB4E"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5,6</w:t>
            </w:r>
          </w:p>
        </w:tc>
      </w:tr>
      <w:tr w:rsidR="001B6F34" w:rsidRPr="00823037" w14:paraId="6D786CD6"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2E4C521A"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Odívání a obuv </w:t>
            </w:r>
          </w:p>
        </w:tc>
        <w:tc>
          <w:tcPr>
            <w:tcW w:w="1566" w:type="dxa"/>
            <w:tcBorders>
              <w:top w:val="nil"/>
              <w:left w:val="nil"/>
              <w:bottom w:val="single" w:sz="4" w:space="0" w:color="auto"/>
              <w:right w:val="single" w:sz="12" w:space="0" w:color="auto"/>
            </w:tcBorders>
            <w:shd w:val="clear" w:color="auto" w:fill="auto"/>
            <w:vAlign w:val="center"/>
            <w:hideMark/>
          </w:tcPr>
          <w:p w14:paraId="40F688B0"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+18,5</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4CE69F3A"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+16,9</w:t>
            </w:r>
          </w:p>
        </w:tc>
        <w:tc>
          <w:tcPr>
            <w:tcW w:w="1568" w:type="dxa"/>
            <w:tcBorders>
              <w:top w:val="nil"/>
              <w:left w:val="nil"/>
              <w:bottom w:val="single" w:sz="4" w:space="0" w:color="auto"/>
              <w:right w:val="single" w:sz="12" w:space="0" w:color="auto"/>
            </w:tcBorders>
            <w:shd w:val="clear" w:color="auto" w:fill="auto"/>
            <w:vAlign w:val="center"/>
            <w:hideMark/>
          </w:tcPr>
          <w:p w14:paraId="4677655D"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+20,0</w:t>
            </w:r>
          </w:p>
        </w:tc>
      </w:tr>
      <w:tr w:rsidR="001B6F34" w:rsidRPr="00823037" w14:paraId="25CB84C1"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3FF43598"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Bydlení, voda, energie, paliva </w:t>
            </w:r>
          </w:p>
        </w:tc>
        <w:tc>
          <w:tcPr>
            <w:tcW w:w="1566" w:type="dxa"/>
            <w:tcBorders>
              <w:top w:val="nil"/>
              <w:left w:val="nil"/>
              <w:bottom w:val="single" w:sz="4" w:space="0" w:color="auto"/>
              <w:right w:val="single" w:sz="12" w:space="0" w:color="auto"/>
            </w:tcBorders>
            <w:shd w:val="clear" w:color="auto" w:fill="auto"/>
            <w:vAlign w:val="center"/>
            <w:hideMark/>
          </w:tcPr>
          <w:p w14:paraId="16B8D8C5"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18,7</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4C60BB28"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16,0</w:t>
            </w:r>
          </w:p>
        </w:tc>
        <w:tc>
          <w:tcPr>
            <w:tcW w:w="1568" w:type="dxa"/>
            <w:tcBorders>
              <w:top w:val="nil"/>
              <w:left w:val="nil"/>
              <w:bottom w:val="single" w:sz="4" w:space="0" w:color="auto"/>
              <w:right w:val="single" w:sz="12" w:space="0" w:color="auto"/>
            </w:tcBorders>
            <w:shd w:val="clear" w:color="auto" w:fill="auto"/>
            <w:vAlign w:val="center"/>
            <w:hideMark/>
          </w:tcPr>
          <w:p w14:paraId="35F8D336"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21,4</w:t>
            </w:r>
          </w:p>
        </w:tc>
      </w:tr>
      <w:tr w:rsidR="001B6F34" w:rsidRPr="00823037" w14:paraId="524548ED"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0BB09431"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Bytové vybavení, zařízení domácnosti, opravy </w:t>
            </w:r>
          </w:p>
        </w:tc>
        <w:tc>
          <w:tcPr>
            <w:tcW w:w="1566" w:type="dxa"/>
            <w:tcBorders>
              <w:top w:val="nil"/>
              <w:left w:val="nil"/>
              <w:bottom w:val="single" w:sz="4" w:space="0" w:color="auto"/>
              <w:right w:val="single" w:sz="12" w:space="0" w:color="auto"/>
            </w:tcBorders>
            <w:shd w:val="clear" w:color="auto" w:fill="auto"/>
            <w:vAlign w:val="center"/>
            <w:hideMark/>
          </w:tcPr>
          <w:p w14:paraId="1031D87F"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10,4</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634B388E"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9,2</w:t>
            </w:r>
          </w:p>
        </w:tc>
        <w:tc>
          <w:tcPr>
            <w:tcW w:w="1568" w:type="dxa"/>
            <w:tcBorders>
              <w:top w:val="nil"/>
              <w:left w:val="nil"/>
              <w:bottom w:val="single" w:sz="4" w:space="0" w:color="auto"/>
              <w:right w:val="single" w:sz="12" w:space="0" w:color="auto"/>
            </w:tcBorders>
            <w:shd w:val="clear" w:color="auto" w:fill="auto"/>
            <w:vAlign w:val="center"/>
            <w:hideMark/>
          </w:tcPr>
          <w:p w14:paraId="57C5972C"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11,7</w:t>
            </w:r>
          </w:p>
        </w:tc>
      </w:tr>
      <w:tr w:rsidR="001B6F34" w:rsidRPr="00823037" w14:paraId="01937137"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470B930D"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Zdraví</w:t>
            </w:r>
          </w:p>
        </w:tc>
        <w:tc>
          <w:tcPr>
            <w:tcW w:w="1566" w:type="dxa"/>
            <w:tcBorders>
              <w:top w:val="nil"/>
              <w:left w:val="nil"/>
              <w:bottom w:val="single" w:sz="4" w:space="0" w:color="auto"/>
              <w:right w:val="single" w:sz="12" w:space="0" w:color="auto"/>
            </w:tcBorders>
            <w:shd w:val="clear" w:color="auto" w:fill="auto"/>
            <w:vAlign w:val="center"/>
            <w:hideMark/>
          </w:tcPr>
          <w:p w14:paraId="2215233B"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7,6</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1FF5492E"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6,8</w:t>
            </w:r>
          </w:p>
        </w:tc>
        <w:tc>
          <w:tcPr>
            <w:tcW w:w="1568" w:type="dxa"/>
            <w:tcBorders>
              <w:top w:val="nil"/>
              <w:left w:val="nil"/>
              <w:bottom w:val="single" w:sz="4" w:space="0" w:color="auto"/>
              <w:right w:val="single" w:sz="12" w:space="0" w:color="auto"/>
            </w:tcBorders>
            <w:shd w:val="clear" w:color="auto" w:fill="auto"/>
            <w:vAlign w:val="center"/>
            <w:hideMark/>
          </w:tcPr>
          <w:p w14:paraId="20052CC6"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8,4</w:t>
            </w:r>
          </w:p>
        </w:tc>
      </w:tr>
      <w:tr w:rsidR="001B6F34" w:rsidRPr="00823037" w14:paraId="7E12D028"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106AF0D3"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Doprava </w:t>
            </w:r>
          </w:p>
        </w:tc>
        <w:tc>
          <w:tcPr>
            <w:tcW w:w="1566" w:type="dxa"/>
            <w:tcBorders>
              <w:top w:val="nil"/>
              <w:left w:val="nil"/>
              <w:bottom w:val="single" w:sz="4" w:space="0" w:color="auto"/>
              <w:right w:val="single" w:sz="12" w:space="0" w:color="auto"/>
            </w:tcBorders>
            <w:shd w:val="clear" w:color="auto" w:fill="auto"/>
            <w:vAlign w:val="center"/>
            <w:hideMark/>
          </w:tcPr>
          <w:p w14:paraId="71A577B6"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+20,0</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73EE7B23"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17,2</w:t>
            </w:r>
          </w:p>
        </w:tc>
        <w:tc>
          <w:tcPr>
            <w:tcW w:w="1568" w:type="dxa"/>
            <w:tcBorders>
              <w:top w:val="nil"/>
              <w:left w:val="nil"/>
              <w:bottom w:val="single" w:sz="4" w:space="0" w:color="auto"/>
              <w:right w:val="single" w:sz="12" w:space="0" w:color="auto"/>
            </w:tcBorders>
            <w:shd w:val="clear" w:color="auto" w:fill="auto"/>
            <w:vAlign w:val="center"/>
            <w:hideMark/>
          </w:tcPr>
          <w:p w14:paraId="1EF6D33F"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+22,7</w:t>
            </w:r>
          </w:p>
        </w:tc>
      </w:tr>
      <w:tr w:rsidR="001B6F34" w:rsidRPr="00823037" w14:paraId="5879E085"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32C8782E"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Pošty a telekomunikace </w:t>
            </w:r>
          </w:p>
        </w:tc>
        <w:tc>
          <w:tcPr>
            <w:tcW w:w="1566" w:type="dxa"/>
            <w:tcBorders>
              <w:top w:val="nil"/>
              <w:left w:val="nil"/>
              <w:bottom w:val="single" w:sz="4" w:space="0" w:color="auto"/>
              <w:right w:val="single" w:sz="12" w:space="0" w:color="auto"/>
            </w:tcBorders>
            <w:shd w:val="clear" w:color="auto" w:fill="auto"/>
            <w:vAlign w:val="center"/>
            <w:hideMark/>
          </w:tcPr>
          <w:p w14:paraId="4FB75B0C"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-0,1</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482CA923"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0,0</w:t>
            </w:r>
          </w:p>
        </w:tc>
        <w:tc>
          <w:tcPr>
            <w:tcW w:w="1568" w:type="dxa"/>
            <w:tcBorders>
              <w:top w:val="nil"/>
              <w:left w:val="nil"/>
              <w:bottom w:val="single" w:sz="4" w:space="0" w:color="auto"/>
              <w:right w:val="single" w:sz="12" w:space="0" w:color="auto"/>
            </w:tcBorders>
            <w:shd w:val="clear" w:color="auto" w:fill="auto"/>
            <w:vAlign w:val="center"/>
            <w:hideMark/>
          </w:tcPr>
          <w:p w14:paraId="74616C05" w14:textId="77777777" w:rsidR="001B6F34" w:rsidRPr="00823037" w:rsidRDefault="001B6F34" w:rsidP="0007287E">
            <w:pPr>
              <w:spacing w:line="360" w:lineRule="auto"/>
              <w:ind w:right="510"/>
              <w:jc w:val="right"/>
              <w:rPr>
                <w:rFonts w:ascii="Calibri" w:hAnsi="Calibri" w:cs="Calibri"/>
                <w:sz w:val="20"/>
              </w:rPr>
            </w:pPr>
            <w:r>
              <w:rPr>
                <w:rFonts w:ascii="Calibri" w:hAnsi="Calibri" w:cs="Calibri"/>
                <w:sz w:val="20"/>
              </w:rPr>
              <w:t>-0,1</w:t>
            </w:r>
          </w:p>
        </w:tc>
      </w:tr>
      <w:tr w:rsidR="001B6F34" w:rsidRPr="00823037" w14:paraId="212A06F9"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56A72CF3"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Rekreace a kultura</w:t>
            </w:r>
          </w:p>
        </w:tc>
        <w:tc>
          <w:tcPr>
            <w:tcW w:w="1566" w:type="dxa"/>
            <w:tcBorders>
              <w:top w:val="nil"/>
              <w:left w:val="nil"/>
              <w:bottom w:val="single" w:sz="4" w:space="0" w:color="auto"/>
              <w:right w:val="single" w:sz="12" w:space="0" w:color="auto"/>
            </w:tcBorders>
            <w:shd w:val="clear" w:color="auto" w:fill="auto"/>
            <w:vAlign w:val="center"/>
            <w:hideMark/>
          </w:tcPr>
          <w:p w14:paraId="66744FED"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9,9</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172B1549"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8,5</w:t>
            </w:r>
          </w:p>
        </w:tc>
        <w:tc>
          <w:tcPr>
            <w:tcW w:w="1568" w:type="dxa"/>
            <w:tcBorders>
              <w:top w:val="nil"/>
              <w:left w:val="nil"/>
              <w:bottom w:val="single" w:sz="4" w:space="0" w:color="auto"/>
              <w:right w:val="single" w:sz="12" w:space="0" w:color="auto"/>
            </w:tcBorders>
            <w:shd w:val="clear" w:color="auto" w:fill="auto"/>
            <w:vAlign w:val="center"/>
            <w:hideMark/>
          </w:tcPr>
          <w:p w14:paraId="6ADC515B"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11,3</w:t>
            </w:r>
          </w:p>
        </w:tc>
      </w:tr>
      <w:tr w:rsidR="001B6F34" w:rsidRPr="00823037" w14:paraId="7AE385DF"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645A3C1F"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Vzdělávání </w:t>
            </w:r>
          </w:p>
        </w:tc>
        <w:tc>
          <w:tcPr>
            <w:tcW w:w="1566" w:type="dxa"/>
            <w:tcBorders>
              <w:top w:val="nil"/>
              <w:left w:val="nil"/>
              <w:bottom w:val="single" w:sz="4" w:space="0" w:color="auto"/>
              <w:right w:val="single" w:sz="12" w:space="0" w:color="auto"/>
            </w:tcBorders>
            <w:shd w:val="clear" w:color="auto" w:fill="auto"/>
            <w:vAlign w:val="center"/>
            <w:hideMark/>
          </w:tcPr>
          <w:p w14:paraId="74C15DE8"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1,9</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393C75A8"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1,8</w:t>
            </w:r>
          </w:p>
        </w:tc>
        <w:tc>
          <w:tcPr>
            <w:tcW w:w="1568" w:type="dxa"/>
            <w:tcBorders>
              <w:top w:val="nil"/>
              <w:left w:val="nil"/>
              <w:bottom w:val="single" w:sz="4" w:space="0" w:color="auto"/>
              <w:right w:val="single" w:sz="12" w:space="0" w:color="auto"/>
            </w:tcBorders>
            <w:shd w:val="clear" w:color="auto" w:fill="auto"/>
            <w:vAlign w:val="center"/>
            <w:hideMark/>
          </w:tcPr>
          <w:p w14:paraId="5F7A88EB"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2,0</w:t>
            </w:r>
          </w:p>
        </w:tc>
      </w:tr>
      <w:tr w:rsidR="001B6F34" w:rsidRPr="00823037" w14:paraId="16794F64" w14:textId="77777777" w:rsidTr="0007287E">
        <w:trPr>
          <w:trHeight w:val="305"/>
        </w:trPr>
        <w:tc>
          <w:tcPr>
            <w:tcW w:w="4339" w:type="dxa"/>
            <w:tcBorders>
              <w:top w:val="nil"/>
              <w:left w:val="single" w:sz="12" w:space="0" w:color="auto"/>
              <w:bottom w:val="single" w:sz="4" w:space="0" w:color="auto"/>
              <w:right w:val="single" w:sz="12" w:space="0" w:color="auto"/>
            </w:tcBorders>
            <w:shd w:val="clear" w:color="auto" w:fill="DAEEF3" w:themeFill="accent5" w:themeFillTint="33"/>
            <w:vAlign w:val="center"/>
            <w:hideMark/>
          </w:tcPr>
          <w:p w14:paraId="0593A870"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Stravování a ubytování</w:t>
            </w:r>
          </w:p>
        </w:tc>
        <w:tc>
          <w:tcPr>
            <w:tcW w:w="1566" w:type="dxa"/>
            <w:tcBorders>
              <w:top w:val="nil"/>
              <w:left w:val="nil"/>
              <w:bottom w:val="single" w:sz="4" w:space="0" w:color="auto"/>
              <w:right w:val="single" w:sz="12" w:space="0" w:color="auto"/>
            </w:tcBorders>
            <w:shd w:val="clear" w:color="auto" w:fill="auto"/>
            <w:vAlign w:val="center"/>
            <w:hideMark/>
          </w:tcPr>
          <w:p w14:paraId="0CB17DDF"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16,9</w:t>
            </w:r>
          </w:p>
        </w:tc>
        <w:tc>
          <w:tcPr>
            <w:tcW w:w="1566" w:type="dxa"/>
            <w:tcBorders>
              <w:top w:val="nil"/>
              <w:left w:val="single" w:sz="12" w:space="0" w:color="auto"/>
              <w:bottom w:val="single" w:sz="4" w:space="0" w:color="auto"/>
              <w:right w:val="single" w:sz="4" w:space="0" w:color="auto"/>
            </w:tcBorders>
            <w:shd w:val="clear" w:color="auto" w:fill="auto"/>
            <w:vAlign w:val="center"/>
            <w:hideMark/>
          </w:tcPr>
          <w:p w14:paraId="10369BCC"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12,3</w:t>
            </w:r>
          </w:p>
        </w:tc>
        <w:tc>
          <w:tcPr>
            <w:tcW w:w="1568" w:type="dxa"/>
            <w:tcBorders>
              <w:top w:val="nil"/>
              <w:left w:val="nil"/>
              <w:bottom w:val="single" w:sz="4" w:space="0" w:color="auto"/>
              <w:right w:val="single" w:sz="12" w:space="0" w:color="auto"/>
            </w:tcBorders>
            <w:shd w:val="clear" w:color="auto" w:fill="auto"/>
            <w:vAlign w:val="center"/>
            <w:hideMark/>
          </w:tcPr>
          <w:p w14:paraId="1A03950A"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21,4</w:t>
            </w:r>
          </w:p>
        </w:tc>
      </w:tr>
      <w:tr w:rsidR="001B6F34" w:rsidRPr="00823037" w14:paraId="3B50EBD2" w14:textId="77777777" w:rsidTr="0007287E">
        <w:trPr>
          <w:trHeight w:val="305"/>
        </w:trPr>
        <w:tc>
          <w:tcPr>
            <w:tcW w:w="4339" w:type="dxa"/>
            <w:tcBorders>
              <w:top w:val="nil"/>
              <w:left w:val="single" w:sz="12" w:space="0" w:color="auto"/>
              <w:bottom w:val="single" w:sz="18" w:space="0" w:color="auto"/>
              <w:right w:val="single" w:sz="12" w:space="0" w:color="auto"/>
            </w:tcBorders>
            <w:shd w:val="clear" w:color="auto" w:fill="DAEEF3" w:themeFill="accent5" w:themeFillTint="33"/>
            <w:vAlign w:val="center"/>
            <w:hideMark/>
          </w:tcPr>
          <w:p w14:paraId="46E76FFE" w14:textId="77777777" w:rsidR="001B6F34" w:rsidRPr="00823037" w:rsidRDefault="001B6F34" w:rsidP="0007287E">
            <w:pPr>
              <w:spacing w:line="360" w:lineRule="auto"/>
              <w:ind w:left="1418" w:hanging="1134"/>
              <w:rPr>
                <w:rFonts w:ascii="Calibri" w:hAnsi="Calibri" w:cs="Calibri"/>
                <w:color w:val="000000"/>
                <w:sz w:val="20"/>
              </w:rPr>
            </w:pPr>
            <w:r w:rsidRPr="00823037">
              <w:rPr>
                <w:rFonts w:ascii="Calibri" w:hAnsi="Calibri" w:cs="Calibri"/>
                <w:color w:val="000000"/>
                <w:sz w:val="20"/>
              </w:rPr>
              <w:t xml:space="preserve">Ostatní zboží a služby </w:t>
            </w:r>
          </w:p>
        </w:tc>
        <w:tc>
          <w:tcPr>
            <w:tcW w:w="1566" w:type="dxa"/>
            <w:tcBorders>
              <w:top w:val="nil"/>
              <w:left w:val="nil"/>
              <w:bottom w:val="single" w:sz="18" w:space="0" w:color="auto"/>
              <w:right w:val="single" w:sz="12" w:space="0" w:color="auto"/>
            </w:tcBorders>
            <w:shd w:val="clear" w:color="auto" w:fill="auto"/>
            <w:vAlign w:val="center"/>
            <w:hideMark/>
          </w:tcPr>
          <w:p w14:paraId="37C033BF"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8,1</w:t>
            </w:r>
          </w:p>
        </w:tc>
        <w:tc>
          <w:tcPr>
            <w:tcW w:w="1566" w:type="dxa"/>
            <w:tcBorders>
              <w:top w:val="nil"/>
              <w:left w:val="single" w:sz="12" w:space="0" w:color="auto"/>
              <w:bottom w:val="single" w:sz="18" w:space="0" w:color="auto"/>
              <w:right w:val="single" w:sz="4" w:space="0" w:color="auto"/>
            </w:tcBorders>
            <w:shd w:val="clear" w:color="auto" w:fill="auto"/>
            <w:vAlign w:val="center"/>
            <w:hideMark/>
          </w:tcPr>
          <w:p w14:paraId="638E035F"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6,6</w:t>
            </w:r>
          </w:p>
        </w:tc>
        <w:tc>
          <w:tcPr>
            <w:tcW w:w="1568" w:type="dxa"/>
            <w:tcBorders>
              <w:top w:val="nil"/>
              <w:left w:val="nil"/>
              <w:bottom w:val="single" w:sz="18" w:space="0" w:color="auto"/>
              <w:right w:val="single" w:sz="12" w:space="0" w:color="auto"/>
            </w:tcBorders>
            <w:shd w:val="clear" w:color="auto" w:fill="auto"/>
            <w:vAlign w:val="center"/>
            <w:hideMark/>
          </w:tcPr>
          <w:p w14:paraId="5A243D4F" w14:textId="77777777" w:rsidR="001B6F34" w:rsidRPr="00823037" w:rsidRDefault="001B6F34" w:rsidP="0007287E">
            <w:pPr>
              <w:spacing w:line="360" w:lineRule="auto"/>
              <w:ind w:right="510"/>
              <w:jc w:val="right"/>
              <w:rPr>
                <w:rFonts w:ascii="Calibri" w:hAnsi="Calibri" w:cs="Calibri"/>
                <w:sz w:val="20"/>
              </w:rPr>
            </w:pPr>
            <w:r w:rsidRPr="00876955">
              <w:rPr>
                <w:rFonts w:ascii="Calibri" w:hAnsi="Calibri" w:cs="Calibri"/>
                <w:sz w:val="20"/>
              </w:rPr>
              <w:t>+</w:t>
            </w:r>
            <w:r>
              <w:rPr>
                <w:rFonts w:ascii="Calibri" w:hAnsi="Calibri" w:cs="Calibri"/>
                <w:sz w:val="20"/>
              </w:rPr>
              <w:t>9,7</w:t>
            </w:r>
          </w:p>
        </w:tc>
      </w:tr>
    </w:tbl>
    <w:p w14:paraId="2A73B540" w14:textId="77777777" w:rsidR="001B6F34" w:rsidRDefault="001B6F34" w:rsidP="001B6F34">
      <w:pPr>
        <w:spacing w:before="120" w:line="360" w:lineRule="auto"/>
        <w:jc w:val="both"/>
        <w:rPr>
          <w:rFonts w:asciiTheme="minorHAnsi" w:hAnsiTheme="minorHAnsi" w:cstheme="minorHAnsi"/>
          <w:bCs/>
          <w:sz w:val="22"/>
          <w:szCs w:val="22"/>
        </w:rPr>
      </w:pPr>
      <w:r w:rsidRPr="00C67B8E">
        <w:rPr>
          <w:rFonts w:asciiTheme="minorHAnsi" w:hAnsiTheme="minorHAnsi" w:cstheme="minorHAnsi"/>
          <w:bCs/>
          <w:sz w:val="22"/>
          <w:szCs w:val="22"/>
        </w:rPr>
        <w:t>Zpracováno z údajů ČSÚ</w:t>
      </w:r>
    </w:p>
    <w:p w14:paraId="33FD298C" w14:textId="77777777" w:rsidR="001B6F34" w:rsidRPr="00C67B8E" w:rsidRDefault="001B6F34" w:rsidP="001B6F34">
      <w:pPr>
        <w:spacing w:before="120" w:line="360" w:lineRule="auto"/>
        <w:jc w:val="both"/>
        <w:rPr>
          <w:rFonts w:asciiTheme="minorHAnsi" w:hAnsiTheme="minorHAnsi" w:cstheme="minorHAnsi"/>
          <w:bCs/>
          <w:i/>
          <w:sz w:val="22"/>
          <w:szCs w:val="22"/>
        </w:rPr>
      </w:pPr>
    </w:p>
    <w:p w14:paraId="122FBCC6" w14:textId="77777777" w:rsidR="001B6F34" w:rsidRPr="00823ED2" w:rsidRDefault="001B6F34" w:rsidP="001B6F34">
      <w:pPr>
        <w:spacing w:after="240" w:line="360" w:lineRule="auto"/>
        <w:jc w:val="both"/>
        <w:rPr>
          <w:rFonts w:asciiTheme="minorHAnsi" w:hAnsiTheme="minorHAnsi" w:cstheme="minorHAnsi"/>
          <w:bCs/>
          <w:sz w:val="26"/>
          <w:szCs w:val="26"/>
        </w:rPr>
      </w:pPr>
      <w:r w:rsidRPr="00823ED2">
        <w:rPr>
          <w:rFonts w:asciiTheme="minorHAnsi" w:hAnsiTheme="minorHAnsi" w:cstheme="minorHAnsi"/>
          <w:bCs/>
          <w:sz w:val="26"/>
          <w:szCs w:val="26"/>
        </w:rPr>
        <w:lastRenderedPageBreak/>
        <w:tab/>
        <w:t xml:space="preserve">U </w:t>
      </w:r>
      <w:r w:rsidRPr="00823ED2">
        <w:rPr>
          <w:rFonts w:asciiTheme="minorHAnsi" w:hAnsiTheme="minorHAnsi" w:cstheme="minorHAnsi"/>
          <w:b/>
          <w:sz w:val="26"/>
          <w:szCs w:val="26"/>
        </w:rPr>
        <w:t>domácností důchodců</w:t>
      </w:r>
      <w:r w:rsidRPr="00823ED2">
        <w:rPr>
          <w:rFonts w:asciiTheme="minorHAnsi" w:hAnsiTheme="minorHAnsi" w:cstheme="minorHAnsi"/>
          <w:bCs/>
          <w:sz w:val="26"/>
          <w:szCs w:val="26"/>
        </w:rPr>
        <w:t xml:space="preserve"> byly trendy v průběhu 1. pololetí podobné jako u domácností celkem, </w:t>
      </w:r>
      <w:r w:rsidRPr="00823ED2">
        <w:rPr>
          <w:rFonts w:asciiTheme="minorHAnsi" w:hAnsiTheme="minorHAnsi" w:cstheme="minorHAnsi"/>
          <w:b/>
          <w:sz w:val="26"/>
          <w:szCs w:val="26"/>
        </w:rPr>
        <w:t>meziroční index</w:t>
      </w:r>
      <w:r w:rsidRPr="00823ED2">
        <w:rPr>
          <w:rFonts w:asciiTheme="minorHAnsi" w:hAnsiTheme="minorHAnsi" w:cstheme="minorHAnsi"/>
          <w:bCs/>
          <w:sz w:val="26"/>
          <w:szCs w:val="26"/>
        </w:rPr>
        <w:t xml:space="preserve"> (průměr meziročních indexů za leden–červen 2022) byl však o 0,5 p. b. nižší a </w:t>
      </w:r>
      <w:r w:rsidRPr="00823ED2">
        <w:rPr>
          <w:rFonts w:asciiTheme="minorHAnsi" w:hAnsiTheme="minorHAnsi" w:cstheme="minorHAnsi"/>
          <w:b/>
          <w:sz w:val="26"/>
          <w:szCs w:val="26"/>
        </w:rPr>
        <w:t>dosáhl úrovně 113,0 %.</w:t>
      </w:r>
      <w:r w:rsidRPr="00823ED2">
        <w:rPr>
          <w:rFonts w:asciiTheme="minorHAnsi" w:hAnsiTheme="minorHAnsi" w:cstheme="minorHAnsi"/>
          <w:bCs/>
          <w:sz w:val="26"/>
          <w:szCs w:val="26"/>
        </w:rPr>
        <w:t xml:space="preserve"> Oproti průměrné domácnosti byla </w:t>
      </w:r>
      <w:r w:rsidRPr="00531996">
        <w:rPr>
          <w:rFonts w:asciiTheme="minorHAnsi" w:hAnsiTheme="minorHAnsi" w:cstheme="minorHAnsi"/>
          <w:bCs/>
          <w:sz w:val="26"/>
          <w:szCs w:val="26"/>
        </w:rPr>
        <w:t>vyšší dynamika</w:t>
      </w:r>
      <w:r w:rsidRPr="00823ED2">
        <w:rPr>
          <w:rFonts w:asciiTheme="minorHAnsi" w:hAnsiTheme="minorHAnsi" w:cstheme="minorHAnsi"/>
          <w:bCs/>
          <w:sz w:val="26"/>
          <w:szCs w:val="26"/>
        </w:rPr>
        <w:t xml:space="preserve"> růstu nákladů zejména </w:t>
      </w:r>
      <w:r w:rsidRPr="00A92DFC">
        <w:rPr>
          <w:rFonts w:asciiTheme="minorHAnsi" w:hAnsiTheme="minorHAnsi" w:cstheme="minorHAnsi"/>
          <w:bCs/>
          <w:sz w:val="26"/>
          <w:szCs w:val="26"/>
        </w:rPr>
        <w:t>u</w:t>
      </w:r>
      <w:r w:rsidRPr="00A92DFC">
        <w:rPr>
          <w:rFonts w:asciiTheme="minorHAnsi" w:hAnsiTheme="minorHAnsi" w:cstheme="minorHAnsi"/>
          <w:b/>
          <w:sz w:val="26"/>
          <w:szCs w:val="26"/>
        </w:rPr>
        <w:t xml:space="preserve"> elektrické </w:t>
      </w:r>
      <w:r>
        <w:rPr>
          <w:rFonts w:asciiTheme="minorHAnsi" w:hAnsiTheme="minorHAnsi" w:cstheme="minorHAnsi"/>
          <w:b/>
          <w:sz w:val="26"/>
          <w:szCs w:val="26"/>
        </w:rPr>
        <w:t xml:space="preserve">a tepelné </w:t>
      </w:r>
      <w:r w:rsidRPr="00A92DFC">
        <w:rPr>
          <w:rFonts w:asciiTheme="minorHAnsi" w:hAnsiTheme="minorHAnsi" w:cstheme="minorHAnsi"/>
          <w:b/>
          <w:sz w:val="26"/>
          <w:szCs w:val="26"/>
        </w:rPr>
        <w:t>energie, plynu</w:t>
      </w:r>
      <w:r>
        <w:rPr>
          <w:rFonts w:asciiTheme="minorHAnsi" w:hAnsiTheme="minorHAnsi" w:cstheme="minorHAnsi"/>
          <w:b/>
          <w:sz w:val="26"/>
          <w:szCs w:val="26"/>
        </w:rPr>
        <w:t xml:space="preserve"> a ostatních paliv</w:t>
      </w:r>
      <w:r w:rsidRPr="00A92DFC">
        <w:rPr>
          <w:rFonts w:asciiTheme="minorHAnsi" w:hAnsiTheme="minorHAnsi" w:cstheme="minorHAnsi"/>
          <w:b/>
          <w:sz w:val="26"/>
          <w:szCs w:val="26"/>
        </w:rPr>
        <w:t xml:space="preserve">, dopravních služeb </w:t>
      </w:r>
      <w:r w:rsidRPr="00823ED2">
        <w:rPr>
          <w:rFonts w:asciiTheme="minorHAnsi" w:hAnsiTheme="minorHAnsi" w:cstheme="minorHAnsi"/>
          <w:bCs/>
          <w:sz w:val="26"/>
          <w:szCs w:val="26"/>
        </w:rPr>
        <w:t xml:space="preserve">(vlivem snížení slev na jízdné pro seniory od dubna 2022) a </w:t>
      </w:r>
      <w:r w:rsidRPr="00A92DFC">
        <w:rPr>
          <w:rFonts w:asciiTheme="minorHAnsi" w:hAnsiTheme="minorHAnsi" w:cstheme="minorHAnsi"/>
          <w:b/>
          <w:sz w:val="26"/>
          <w:szCs w:val="26"/>
        </w:rPr>
        <w:t>stravovacích služeb.</w:t>
      </w:r>
      <w:r w:rsidRPr="00823ED2">
        <w:rPr>
          <w:rFonts w:asciiTheme="minorHAnsi" w:hAnsiTheme="minorHAnsi" w:cstheme="minorHAnsi"/>
          <w:bCs/>
          <w:sz w:val="26"/>
          <w:szCs w:val="26"/>
        </w:rPr>
        <w:t xml:space="preserve"> </w:t>
      </w:r>
      <w:r w:rsidRPr="00531996">
        <w:rPr>
          <w:rFonts w:asciiTheme="minorHAnsi" w:hAnsiTheme="minorHAnsi" w:cstheme="minorHAnsi"/>
          <w:bCs/>
          <w:sz w:val="26"/>
          <w:szCs w:val="26"/>
        </w:rPr>
        <w:t>Nižší index cenového</w:t>
      </w:r>
      <w:r w:rsidRPr="00823ED2">
        <w:rPr>
          <w:rFonts w:asciiTheme="minorHAnsi" w:hAnsiTheme="minorHAnsi" w:cstheme="minorHAnsi"/>
          <w:bCs/>
          <w:sz w:val="26"/>
          <w:szCs w:val="26"/>
        </w:rPr>
        <w:t xml:space="preserve"> růstu byl v tomto období zaznamenán </w:t>
      </w:r>
      <w:r>
        <w:rPr>
          <w:rFonts w:asciiTheme="minorHAnsi" w:hAnsiTheme="minorHAnsi" w:cstheme="minorHAnsi"/>
          <w:bCs/>
          <w:sz w:val="26"/>
          <w:szCs w:val="26"/>
        </w:rPr>
        <w:t>hlavně</w:t>
      </w:r>
      <w:r w:rsidRPr="00823ED2">
        <w:rPr>
          <w:rFonts w:asciiTheme="minorHAnsi" w:hAnsiTheme="minorHAnsi" w:cstheme="minorHAnsi"/>
          <w:bCs/>
          <w:sz w:val="26"/>
          <w:szCs w:val="26"/>
        </w:rPr>
        <w:t xml:space="preserve"> v případě </w:t>
      </w:r>
      <w:r w:rsidRPr="00A92DFC">
        <w:rPr>
          <w:rFonts w:asciiTheme="minorHAnsi" w:hAnsiTheme="minorHAnsi" w:cstheme="minorHAnsi"/>
          <w:b/>
          <w:sz w:val="26"/>
          <w:szCs w:val="26"/>
        </w:rPr>
        <w:t xml:space="preserve">odívání, obuvi </w:t>
      </w:r>
      <w:r w:rsidRPr="00A441F7">
        <w:rPr>
          <w:rFonts w:asciiTheme="minorHAnsi" w:hAnsiTheme="minorHAnsi" w:cstheme="minorHAnsi"/>
          <w:bCs/>
          <w:sz w:val="26"/>
          <w:szCs w:val="26"/>
        </w:rPr>
        <w:t>a</w:t>
      </w:r>
      <w:r w:rsidRPr="00A92DFC">
        <w:rPr>
          <w:rFonts w:asciiTheme="minorHAnsi" w:hAnsiTheme="minorHAnsi" w:cstheme="minorHAnsi"/>
          <w:b/>
          <w:sz w:val="26"/>
          <w:szCs w:val="26"/>
        </w:rPr>
        <w:t xml:space="preserve"> rekreačních a kulturních služeb.</w:t>
      </w:r>
      <w:r>
        <w:rPr>
          <w:rFonts w:asciiTheme="minorHAnsi" w:hAnsiTheme="minorHAnsi" w:cstheme="minorHAnsi"/>
          <w:bCs/>
          <w:sz w:val="26"/>
          <w:szCs w:val="26"/>
        </w:rPr>
        <w:t xml:space="preserve"> Přesto byl růst cen ve všech těchto cenových skupinách značný. Mírný </w:t>
      </w:r>
      <w:r w:rsidRPr="00531996">
        <w:rPr>
          <w:rFonts w:asciiTheme="minorHAnsi" w:hAnsiTheme="minorHAnsi" w:cstheme="minorHAnsi"/>
          <w:bCs/>
          <w:sz w:val="26"/>
          <w:szCs w:val="26"/>
        </w:rPr>
        <w:t>pokles cen</w:t>
      </w:r>
      <w:r>
        <w:rPr>
          <w:rFonts w:asciiTheme="minorHAnsi" w:hAnsiTheme="minorHAnsi" w:cstheme="minorHAnsi"/>
          <w:bCs/>
          <w:sz w:val="26"/>
          <w:szCs w:val="26"/>
        </w:rPr>
        <w:t xml:space="preserve"> byl zaznamenán pouze u </w:t>
      </w:r>
      <w:r w:rsidRPr="00A92DFC">
        <w:rPr>
          <w:rFonts w:asciiTheme="minorHAnsi" w:hAnsiTheme="minorHAnsi" w:cstheme="minorHAnsi"/>
          <w:b/>
          <w:sz w:val="26"/>
          <w:szCs w:val="26"/>
        </w:rPr>
        <w:t xml:space="preserve">poštovních služeb </w:t>
      </w:r>
      <w:r w:rsidRPr="0069469C">
        <w:rPr>
          <w:rFonts w:asciiTheme="minorHAnsi" w:hAnsiTheme="minorHAnsi" w:cstheme="minorHAnsi"/>
          <w:bCs/>
          <w:sz w:val="26"/>
          <w:szCs w:val="26"/>
        </w:rPr>
        <w:t>a</w:t>
      </w:r>
      <w:r w:rsidRPr="00A92DFC">
        <w:rPr>
          <w:rFonts w:asciiTheme="minorHAnsi" w:hAnsiTheme="minorHAnsi" w:cstheme="minorHAnsi"/>
          <w:b/>
          <w:sz w:val="26"/>
          <w:szCs w:val="26"/>
        </w:rPr>
        <w:t> telefonních a faxových služeb.</w:t>
      </w:r>
    </w:p>
    <w:p w14:paraId="4C69B465" w14:textId="77777777" w:rsidR="001B6F34" w:rsidRPr="00A92DFC" w:rsidRDefault="001B6F34" w:rsidP="001B6F34">
      <w:pPr>
        <w:spacing w:after="240" w:line="360" w:lineRule="auto"/>
        <w:jc w:val="both"/>
        <w:rPr>
          <w:rFonts w:asciiTheme="minorHAnsi" w:hAnsiTheme="minorHAnsi" w:cstheme="minorHAnsi"/>
          <w:bCs/>
          <w:sz w:val="26"/>
          <w:szCs w:val="26"/>
        </w:rPr>
      </w:pPr>
      <w:bookmarkStart w:id="7" w:name="_Hlk116389248"/>
      <w:r w:rsidRPr="00A92DFC">
        <w:rPr>
          <w:rFonts w:asciiTheme="minorHAnsi" w:hAnsiTheme="minorHAnsi" w:cstheme="minorHAnsi"/>
          <w:b/>
          <w:sz w:val="26"/>
          <w:szCs w:val="26"/>
        </w:rPr>
        <w:tab/>
      </w:r>
      <w:r w:rsidRPr="00A92DFC">
        <w:rPr>
          <w:rFonts w:asciiTheme="minorHAnsi" w:hAnsiTheme="minorHAnsi" w:cstheme="minorHAnsi"/>
          <w:bCs/>
          <w:sz w:val="26"/>
          <w:szCs w:val="26"/>
        </w:rPr>
        <w:t xml:space="preserve">Oproti loňskému 1. pololetí se prudce zvýšila i dynamika růstu životních nákladů </w:t>
      </w:r>
      <w:r w:rsidRPr="00A92DFC">
        <w:rPr>
          <w:rFonts w:asciiTheme="minorHAnsi" w:hAnsiTheme="minorHAnsi" w:cstheme="minorHAnsi"/>
          <w:b/>
          <w:bCs/>
          <w:sz w:val="26"/>
          <w:szCs w:val="26"/>
        </w:rPr>
        <w:t>domácností žijících v hl. m. Praze</w:t>
      </w:r>
      <w:r w:rsidRPr="00A92DFC">
        <w:rPr>
          <w:rFonts w:asciiTheme="minorHAnsi" w:hAnsiTheme="minorHAnsi" w:cstheme="minorHAnsi"/>
          <w:bCs/>
          <w:sz w:val="26"/>
          <w:szCs w:val="26"/>
        </w:rPr>
        <w:t xml:space="preserve"> (index </w:t>
      </w:r>
      <w:r w:rsidRPr="00A92DFC">
        <w:rPr>
          <w:rFonts w:asciiTheme="minorHAnsi" w:hAnsiTheme="minorHAnsi" w:cstheme="minorHAnsi"/>
          <w:b/>
          <w:bCs/>
          <w:sz w:val="26"/>
          <w:szCs w:val="26"/>
        </w:rPr>
        <w:t xml:space="preserve">112,7 %, </w:t>
      </w:r>
      <w:r w:rsidRPr="00A92DFC">
        <w:rPr>
          <w:rFonts w:asciiTheme="minorHAnsi" w:hAnsiTheme="minorHAnsi" w:cstheme="minorHAnsi"/>
          <w:bCs/>
          <w:sz w:val="26"/>
          <w:szCs w:val="26"/>
        </w:rPr>
        <w:t xml:space="preserve">tj. o 0,8 p. b. méně než u domácností celkem). Na rozdíl od celkového indexu pro domácnosti v ČR se obyvatelům Prahy meziročně výrazně </w:t>
      </w:r>
      <w:r w:rsidRPr="00531996">
        <w:rPr>
          <w:rFonts w:asciiTheme="minorHAnsi" w:hAnsiTheme="minorHAnsi" w:cstheme="minorHAnsi"/>
          <w:sz w:val="26"/>
          <w:szCs w:val="26"/>
        </w:rPr>
        <w:t>více zvýšily ceny</w:t>
      </w:r>
      <w:r w:rsidRPr="00A92DFC">
        <w:rPr>
          <w:rFonts w:asciiTheme="minorHAnsi" w:hAnsiTheme="minorHAnsi" w:cstheme="minorHAnsi"/>
          <w:b/>
          <w:bCs/>
          <w:sz w:val="26"/>
          <w:szCs w:val="26"/>
        </w:rPr>
        <w:t xml:space="preserve"> odívání a obuvi</w:t>
      </w:r>
      <w:r w:rsidRPr="00A92DFC">
        <w:rPr>
          <w:rFonts w:asciiTheme="minorHAnsi" w:hAnsiTheme="minorHAnsi" w:cstheme="minorHAnsi"/>
          <w:bCs/>
          <w:sz w:val="26"/>
          <w:szCs w:val="26"/>
        </w:rPr>
        <w:t xml:space="preserve"> (především ceny odívání) </w:t>
      </w:r>
      <w:r w:rsidRPr="00A92DFC">
        <w:rPr>
          <w:rFonts w:asciiTheme="minorHAnsi" w:hAnsiTheme="minorHAnsi" w:cstheme="minorHAnsi"/>
          <w:sz w:val="26"/>
          <w:szCs w:val="26"/>
        </w:rPr>
        <w:t xml:space="preserve">a </w:t>
      </w:r>
      <w:r w:rsidRPr="00531996">
        <w:rPr>
          <w:rFonts w:asciiTheme="minorHAnsi" w:hAnsiTheme="minorHAnsi" w:cstheme="minorHAnsi"/>
          <w:sz w:val="26"/>
          <w:szCs w:val="26"/>
        </w:rPr>
        <w:t xml:space="preserve">vyšší růst </w:t>
      </w:r>
      <w:r w:rsidRPr="00A92DFC">
        <w:rPr>
          <w:rFonts w:asciiTheme="minorHAnsi" w:hAnsiTheme="minorHAnsi" w:cstheme="minorHAnsi"/>
          <w:sz w:val="26"/>
          <w:szCs w:val="26"/>
        </w:rPr>
        <w:t>nákladů</w:t>
      </w:r>
      <w:r w:rsidRPr="00A92DFC">
        <w:rPr>
          <w:rFonts w:asciiTheme="minorHAnsi" w:hAnsiTheme="minorHAnsi" w:cstheme="minorHAnsi"/>
          <w:b/>
          <w:bCs/>
          <w:sz w:val="26"/>
          <w:szCs w:val="26"/>
        </w:rPr>
        <w:t xml:space="preserve"> </w:t>
      </w:r>
      <w:r w:rsidRPr="00A92DFC">
        <w:rPr>
          <w:rFonts w:asciiTheme="minorHAnsi" w:hAnsiTheme="minorHAnsi" w:cstheme="minorHAnsi"/>
          <w:sz w:val="26"/>
          <w:szCs w:val="26"/>
        </w:rPr>
        <w:t>byl zaznamenán například i u</w:t>
      </w:r>
      <w:r w:rsidRPr="00A92DFC">
        <w:rPr>
          <w:rFonts w:asciiTheme="minorHAnsi" w:hAnsiTheme="minorHAnsi" w:cstheme="minorHAnsi"/>
          <w:b/>
          <w:bCs/>
          <w:sz w:val="26"/>
          <w:szCs w:val="26"/>
        </w:rPr>
        <w:t xml:space="preserve"> imputovaného nájemného</w:t>
      </w:r>
      <w:r>
        <w:rPr>
          <w:rFonts w:asciiTheme="minorHAnsi" w:hAnsiTheme="minorHAnsi" w:cstheme="minorHAnsi"/>
          <w:b/>
          <w:bCs/>
          <w:sz w:val="26"/>
          <w:szCs w:val="26"/>
        </w:rPr>
        <w:t>, elektrické energie, plynných paliv</w:t>
      </w:r>
      <w:r w:rsidRPr="00A92DFC">
        <w:rPr>
          <w:rFonts w:asciiTheme="minorHAnsi" w:hAnsiTheme="minorHAnsi" w:cstheme="minorHAnsi"/>
          <w:b/>
          <w:bCs/>
          <w:sz w:val="26"/>
          <w:szCs w:val="26"/>
        </w:rPr>
        <w:t xml:space="preserve"> </w:t>
      </w:r>
      <w:r w:rsidRPr="00A441F7">
        <w:rPr>
          <w:rFonts w:asciiTheme="minorHAnsi" w:hAnsiTheme="minorHAnsi" w:cstheme="minorHAnsi"/>
          <w:sz w:val="26"/>
          <w:szCs w:val="26"/>
        </w:rPr>
        <w:t xml:space="preserve">a u </w:t>
      </w:r>
      <w:r w:rsidRPr="00A92DFC">
        <w:rPr>
          <w:rFonts w:asciiTheme="minorHAnsi" w:hAnsiTheme="minorHAnsi" w:cstheme="minorHAnsi"/>
          <w:b/>
          <w:bCs/>
          <w:sz w:val="26"/>
          <w:szCs w:val="26"/>
        </w:rPr>
        <w:t xml:space="preserve">rekreačních a kulturních služeb. </w:t>
      </w:r>
      <w:r w:rsidRPr="00A92DFC">
        <w:rPr>
          <w:rFonts w:asciiTheme="minorHAnsi" w:hAnsiTheme="minorHAnsi" w:cstheme="minorHAnsi"/>
          <w:bCs/>
          <w:sz w:val="26"/>
          <w:szCs w:val="26"/>
        </w:rPr>
        <w:t xml:space="preserve">Naopak </w:t>
      </w:r>
      <w:r w:rsidRPr="00531996">
        <w:rPr>
          <w:rFonts w:asciiTheme="minorHAnsi" w:hAnsiTheme="minorHAnsi" w:cstheme="minorHAnsi"/>
          <w:sz w:val="26"/>
          <w:szCs w:val="26"/>
        </w:rPr>
        <w:t>nižší</w:t>
      </w:r>
      <w:r w:rsidRPr="00A92DFC">
        <w:rPr>
          <w:rFonts w:asciiTheme="minorHAnsi" w:hAnsiTheme="minorHAnsi" w:cstheme="minorHAnsi"/>
          <w:b/>
          <w:bCs/>
          <w:sz w:val="26"/>
          <w:szCs w:val="26"/>
        </w:rPr>
        <w:t xml:space="preserve"> </w:t>
      </w:r>
      <w:r w:rsidRPr="00A92DFC">
        <w:rPr>
          <w:rFonts w:asciiTheme="minorHAnsi" w:hAnsiTheme="minorHAnsi" w:cstheme="minorHAnsi"/>
          <w:sz w:val="26"/>
          <w:szCs w:val="26"/>
        </w:rPr>
        <w:t>byl zejména</w:t>
      </w:r>
      <w:r w:rsidRPr="00A92DFC">
        <w:rPr>
          <w:rFonts w:asciiTheme="minorHAnsi" w:hAnsiTheme="minorHAnsi" w:cstheme="minorHAnsi"/>
          <w:b/>
          <w:bCs/>
          <w:sz w:val="26"/>
          <w:szCs w:val="26"/>
        </w:rPr>
        <w:t xml:space="preserve"> </w:t>
      </w:r>
      <w:r w:rsidRPr="00531996">
        <w:rPr>
          <w:rFonts w:asciiTheme="minorHAnsi" w:hAnsiTheme="minorHAnsi" w:cstheme="minorHAnsi"/>
          <w:sz w:val="26"/>
          <w:szCs w:val="26"/>
        </w:rPr>
        <w:t>růst cen</w:t>
      </w:r>
      <w:r w:rsidRPr="00A92DFC">
        <w:rPr>
          <w:rFonts w:asciiTheme="minorHAnsi" w:hAnsiTheme="minorHAnsi" w:cstheme="minorHAnsi"/>
          <w:b/>
          <w:bCs/>
          <w:sz w:val="26"/>
          <w:szCs w:val="26"/>
        </w:rPr>
        <w:t xml:space="preserve"> nájemného z</w:t>
      </w:r>
      <w:r>
        <w:rPr>
          <w:rFonts w:asciiTheme="minorHAnsi" w:hAnsiTheme="minorHAnsi" w:cstheme="minorHAnsi"/>
          <w:b/>
          <w:bCs/>
          <w:sz w:val="26"/>
          <w:szCs w:val="26"/>
        </w:rPr>
        <w:t xml:space="preserve"> </w:t>
      </w:r>
      <w:r w:rsidRPr="00A92DFC">
        <w:rPr>
          <w:rFonts w:asciiTheme="minorHAnsi" w:hAnsiTheme="minorHAnsi" w:cstheme="minorHAnsi"/>
          <w:b/>
          <w:bCs/>
          <w:sz w:val="26"/>
          <w:szCs w:val="26"/>
        </w:rPr>
        <w:t xml:space="preserve">bytu, </w:t>
      </w:r>
      <w:r>
        <w:rPr>
          <w:rFonts w:asciiTheme="minorHAnsi" w:hAnsiTheme="minorHAnsi" w:cstheme="minorHAnsi"/>
          <w:b/>
          <w:sz w:val="26"/>
          <w:szCs w:val="26"/>
        </w:rPr>
        <w:t xml:space="preserve">tepelné </w:t>
      </w:r>
      <w:r w:rsidRPr="00A92DFC">
        <w:rPr>
          <w:rFonts w:asciiTheme="minorHAnsi" w:hAnsiTheme="minorHAnsi" w:cstheme="minorHAnsi"/>
          <w:b/>
          <w:sz w:val="26"/>
          <w:szCs w:val="26"/>
        </w:rPr>
        <w:t xml:space="preserve">energie, </w:t>
      </w:r>
      <w:r w:rsidRPr="00A92DFC">
        <w:rPr>
          <w:rFonts w:asciiTheme="minorHAnsi" w:hAnsiTheme="minorHAnsi" w:cstheme="minorHAnsi"/>
          <w:b/>
          <w:bCs/>
          <w:sz w:val="26"/>
          <w:szCs w:val="26"/>
        </w:rPr>
        <w:t xml:space="preserve">dopravních služeb </w:t>
      </w:r>
      <w:r w:rsidRPr="00A441F7">
        <w:rPr>
          <w:rFonts w:asciiTheme="minorHAnsi" w:hAnsiTheme="minorHAnsi" w:cstheme="minorHAnsi"/>
          <w:sz w:val="26"/>
          <w:szCs w:val="26"/>
        </w:rPr>
        <w:t>a</w:t>
      </w:r>
      <w:r w:rsidRPr="00A92DFC">
        <w:rPr>
          <w:rFonts w:asciiTheme="minorHAnsi" w:hAnsiTheme="minorHAnsi" w:cstheme="minorHAnsi"/>
          <w:b/>
          <w:bCs/>
          <w:sz w:val="26"/>
          <w:szCs w:val="26"/>
        </w:rPr>
        <w:t xml:space="preserve"> nákladů na provoz osobních dopravních prostředků</w:t>
      </w:r>
      <w:r w:rsidRPr="00A92DFC">
        <w:rPr>
          <w:rFonts w:asciiTheme="minorHAnsi" w:hAnsiTheme="minorHAnsi" w:cstheme="minorHAnsi"/>
          <w:sz w:val="26"/>
          <w:szCs w:val="26"/>
        </w:rPr>
        <w:t xml:space="preserve"> </w:t>
      </w:r>
      <w:r w:rsidRPr="00A92DFC">
        <w:rPr>
          <w:rFonts w:asciiTheme="minorHAnsi" w:hAnsiTheme="minorHAnsi" w:cstheme="minorHAnsi"/>
          <w:bCs/>
          <w:sz w:val="26"/>
          <w:szCs w:val="26"/>
        </w:rPr>
        <w:t>– více ke struktuře růstu životních nákladů vykazovaných typů domácností uvádí tabulka č. 2</w:t>
      </w:r>
      <w:r>
        <w:rPr>
          <w:rFonts w:asciiTheme="minorHAnsi" w:hAnsiTheme="minorHAnsi" w:cstheme="minorHAnsi"/>
          <w:bCs/>
          <w:sz w:val="26"/>
          <w:szCs w:val="26"/>
        </w:rPr>
        <w:t>2</w:t>
      </w:r>
      <w:r w:rsidRPr="00A92DFC">
        <w:rPr>
          <w:rFonts w:asciiTheme="minorHAnsi" w:hAnsiTheme="minorHAnsi" w:cstheme="minorHAnsi"/>
          <w:bCs/>
          <w:sz w:val="26"/>
          <w:szCs w:val="26"/>
        </w:rPr>
        <w:t xml:space="preserve"> v příloze.</w:t>
      </w:r>
    </w:p>
    <w:bookmarkEnd w:id="7"/>
    <w:p w14:paraId="0E3A76F0" w14:textId="77777777" w:rsidR="001B6F34" w:rsidRPr="00F12738" w:rsidRDefault="001B6F34" w:rsidP="001B6F34">
      <w:pPr>
        <w:spacing w:after="120" w:line="360" w:lineRule="auto"/>
        <w:jc w:val="both"/>
        <w:rPr>
          <w:rFonts w:asciiTheme="minorHAnsi" w:hAnsiTheme="minorHAnsi" w:cstheme="minorHAnsi"/>
          <w:sz w:val="26"/>
          <w:szCs w:val="26"/>
        </w:rPr>
      </w:pPr>
      <w:r w:rsidRPr="00F12738">
        <w:rPr>
          <w:rFonts w:asciiTheme="minorHAnsi" w:hAnsiTheme="minorHAnsi" w:cstheme="minorHAnsi"/>
          <w:bCs/>
          <w:sz w:val="26"/>
          <w:szCs w:val="26"/>
        </w:rPr>
        <w:tab/>
      </w:r>
      <w:r w:rsidRPr="00F12738">
        <w:rPr>
          <w:rFonts w:asciiTheme="minorHAnsi" w:hAnsiTheme="minorHAnsi" w:cstheme="minorHAnsi"/>
          <w:b/>
          <w:sz w:val="26"/>
          <w:szCs w:val="26"/>
        </w:rPr>
        <w:t>K meziročnímu přírůstku</w:t>
      </w:r>
      <w:r w:rsidRPr="00F12738">
        <w:rPr>
          <w:rFonts w:asciiTheme="minorHAnsi" w:hAnsiTheme="minorHAnsi" w:cstheme="minorHAnsi"/>
          <w:sz w:val="26"/>
          <w:szCs w:val="26"/>
        </w:rPr>
        <w:t xml:space="preserve"> úhrnného indexu </w:t>
      </w:r>
      <w:r w:rsidRPr="00F12738">
        <w:rPr>
          <w:rFonts w:asciiTheme="minorHAnsi" w:hAnsiTheme="minorHAnsi" w:cstheme="minorHAnsi"/>
          <w:b/>
          <w:sz w:val="26"/>
          <w:szCs w:val="26"/>
        </w:rPr>
        <w:t>spotřebitelských cen</w:t>
      </w:r>
      <w:r w:rsidRPr="00F12738">
        <w:rPr>
          <w:rFonts w:asciiTheme="minorHAnsi" w:hAnsiTheme="minorHAnsi" w:cstheme="minorHAnsi"/>
          <w:sz w:val="26"/>
          <w:szCs w:val="26"/>
        </w:rPr>
        <w:t xml:space="preserve"> </w:t>
      </w:r>
      <w:r w:rsidRPr="00D44982">
        <w:rPr>
          <w:rFonts w:asciiTheme="minorHAnsi" w:hAnsiTheme="minorHAnsi" w:cstheme="minorHAnsi"/>
          <w:b/>
          <w:bCs/>
          <w:sz w:val="26"/>
          <w:szCs w:val="26"/>
        </w:rPr>
        <w:t>v červnu 2022</w:t>
      </w:r>
      <w:r w:rsidRPr="00F12738">
        <w:rPr>
          <w:rFonts w:asciiTheme="minorHAnsi" w:hAnsiTheme="minorHAnsi" w:cstheme="minorHAnsi"/>
          <w:sz w:val="26"/>
          <w:szCs w:val="26"/>
        </w:rPr>
        <w:t xml:space="preserve"> </w:t>
      </w:r>
      <w:r w:rsidRPr="00D44982">
        <w:rPr>
          <w:rFonts w:asciiTheme="minorHAnsi" w:hAnsiTheme="minorHAnsi" w:cstheme="minorHAnsi"/>
          <w:bCs/>
          <w:sz w:val="26"/>
          <w:szCs w:val="26"/>
        </w:rPr>
        <w:t>přispěly</w:t>
      </w:r>
      <w:r w:rsidRPr="00F12738">
        <w:rPr>
          <w:rFonts w:asciiTheme="minorHAnsi" w:hAnsiTheme="minorHAnsi" w:cstheme="minorHAnsi"/>
          <w:sz w:val="26"/>
          <w:szCs w:val="26"/>
        </w:rPr>
        <w:t xml:space="preserve"> (vzhledem k</w:t>
      </w:r>
      <w:r>
        <w:rPr>
          <w:rFonts w:asciiTheme="minorHAnsi" w:hAnsiTheme="minorHAnsi" w:cstheme="minorHAnsi"/>
          <w:sz w:val="26"/>
          <w:szCs w:val="26"/>
        </w:rPr>
        <w:t xml:space="preserve"> </w:t>
      </w:r>
      <w:r w:rsidRPr="00F12738">
        <w:rPr>
          <w:rFonts w:asciiTheme="minorHAnsi" w:hAnsiTheme="minorHAnsi" w:cstheme="minorHAnsi"/>
          <w:sz w:val="26"/>
          <w:szCs w:val="26"/>
        </w:rPr>
        <w:t xml:space="preserve">dříve uvedeným skutečnostem) jednotlivé </w:t>
      </w:r>
      <w:r>
        <w:rPr>
          <w:rFonts w:asciiTheme="minorHAnsi" w:hAnsiTheme="minorHAnsi" w:cstheme="minorHAnsi"/>
          <w:sz w:val="26"/>
          <w:szCs w:val="26"/>
        </w:rPr>
        <w:t>oddíly</w:t>
      </w:r>
      <w:r w:rsidRPr="00D44982">
        <w:rPr>
          <w:rFonts w:asciiTheme="minorHAnsi" w:hAnsiTheme="minorHAnsi" w:cstheme="minorHAnsi"/>
          <w:bCs/>
          <w:sz w:val="26"/>
          <w:szCs w:val="26"/>
        </w:rPr>
        <w:t xml:space="preserve"> spotřebního koše následovně</w:t>
      </w:r>
      <w:r w:rsidRPr="00F12738">
        <w:rPr>
          <w:rFonts w:asciiTheme="minorHAnsi" w:hAnsiTheme="minorHAnsi" w:cstheme="minorHAnsi"/>
          <w:sz w:val="26"/>
          <w:szCs w:val="26"/>
        </w:rPr>
        <w:t>:</w:t>
      </w:r>
    </w:p>
    <w:p w14:paraId="73F18C68" w14:textId="77777777" w:rsidR="001B6F34" w:rsidRPr="00F12738" w:rsidRDefault="001B6F34" w:rsidP="001B6F34">
      <w:pPr>
        <w:spacing w:after="160" w:line="259" w:lineRule="auto"/>
        <w:rPr>
          <w:rFonts w:asciiTheme="minorHAnsi" w:hAnsiTheme="minorHAnsi" w:cstheme="minorHAnsi"/>
          <w:sz w:val="26"/>
          <w:szCs w:val="26"/>
        </w:rPr>
      </w:pPr>
      <w:r w:rsidRPr="00F12738">
        <w:rPr>
          <w:rFonts w:asciiTheme="minorHAnsi" w:hAnsiTheme="minorHAnsi" w:cstheme="minorHAnsi"/>
          <w:sz w:val="26"/>
          <w:szCs w:val="26"/>
        </w:rPr>
        <w:br w:type="page"/>
      </w:r>
    </w:p>
    <w:tbl>
      <w:tblPr>
        <w:tblW w:w="7894" w:type="dxa"/>
        <w:jc w:val="center"/>
        <w:tblCellMar>
          <w:left w:w="70" w:type="dxa"/>
          <w:right w:w="70" w:type="dxa"/>
        </w:tblCellMar>
        <w:tblLook w:val="04A0" w:firstRow="1" w:lastRow="0" w:firstColumn="1" w:lastColumn="0" w:noHBand="0" w:noVBand="1"/>
      </w:tblPr>
      <w:tblGrid>
        <w:gridCol w:w="6431"/>
        <w:gridCol w:w="1463"/>
      </w:tblGrid>
      <w:tr w:rsidR="001B6F34" w:rsidRPr="003F5581" w14:paraId="0DAF6110" w14:textId="77777777" w:rsidTr="0007287E">
        <w:trPr>
          <w:trHeight w:val="438"/>
          <w:jc w:val="center"/>
        </w:trPr>
        <w:tc>
          <w:tcPr>
            <w:tcW w:w="6431"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14:paraId="14A46CF7" w14:textId="77777777" w:rsidR="001B6F34" w:rsidRPr="00CD332D" w:rsidRDefault="001B6F34" w:rsidP="0007287E">
            <w:pPr>
              <w:rPr>
                <w:rFonts w:asciiTheme="minorHAnsi" w:hAnsiTheme="minorHAnsi" w:cstheme="minorHAnsi"/>
                <w:b/>
                <w:bCs/>
                <w:sz w:val="22"/>
              </w:rPr>
            </w:pPr>
            <w:r w:rsidRPr="00CD332D">
              <w:rPr>
                <w:rFonts w:asciiTheme="minorHAnsi" w:hAnsiTheme="minorHAnsi" w:cstheme="minorHAnsi"/>
                <w:b/>
                <w:bCs/>
                <w:sz w:val="22"/>
                <w:szCs w:val="24"/>
              </w:rPr>
              <w:lastRenderedPageBreak/>
              <w:t xml:space="preserve"> Meziroční nárůst sp</w:t>
            </w:r>
            <w:r>
              <w:rPr>
                <w:rFonts w:asciiTheme="minorHAnsi" w:hAnsiTheme="minorHAnsi" w:cstheme="minorHAnsi"/>
                <w:b/>
                <w:bCs/>
                <w:sz w:val="22"/>
                <w:szCs w:val="24"/>
              </w:rPr>
              <w:t>otřebitelských cen v červnu 2022</w:t>
            </w:r>
          </w:p>
        </w:tc>
        <w:tc>
          <w:tcPr>
            <w:tcW w:w="1463"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02F50AE3" w14:textId="77777777" w:rsidR="001B6F34" w:rsidRPr="00CD332D" w:rsidRDefault="001B6F34" w:rsidP="0007287E">
            <w:pPr>
              <w:jc w:val="center"/>
              <w:rPr>
                <w:rFonts w:asciiTheme="minorHAnsi" w:hAnsiTheme="minorHAnsi" w:cstheme="minorHAnsi"/>
                <w:b/>
                <w:sz w:val="22"/>
              </w:rPr>
            </w:pPr>
            <w:r>
              <w:rPr>
                <w:rFonts w:asciiTheme="minorHAnsi" w:hAnsiTheme="minorHAnsi" w:cstheme="minorHAnsi"/>
                <w:b/>
                <w:sz w:val="22"/>
              </w:rPr>
              <w:t>17,2</w:t>
            </w:r>
            <w:r w:rsidRPr="00CD332D">
              <w:rPr>
                <w:rFonts w:asciiTheme="minorHAnsi" w:hAnsiTheme="minorHAnsi" w:cstheme="minorHAnsi"/>
                <w:b/>
                <w:sz w:val="22"/>
              </w:rPr>
              <w:t> %</w:t>
            </w:r>
          </w:p>
        </w:tc>
      </w:tr>
      <w:tr w:rsidR="001B6F34" w:rsidRPr="003F5581" w14:paraId="45D97AB6" w14:textId="77777777" w:rsidTr="0007287E">
        <w:trPr>
          <w:trHeight w:val="438"/>
          <w:jc w:val="center"/>
        </w:trPr>
        <w:tc>
          <w:tcPr>
            <w:tcW w:w="7894" w:type="dxa"/>
            <w:gridSpan w:val="2"/>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14:paraId="1C2B57F1" w14:textId="77777777" w:rsidR="001B6F34" w:rsidRPr="00CD332D" w:rsidRDefault="001B6F34" w:rsidP="0007287E">
            <w:pPr>
              <w:jc w:val="center"/>
              <w:rPr>
                <w:rFonts w:asciiTheme="minorHAnsi" w:hAnsiTheme="minorHAnsi" w:cstheme="minorHAnsi"/>
                <w:sz w:val="22"/>
              </w:rPr>
            </w:pPr>
            <w:r w:rsidRPr="00CD332D">
              <w:rPr>
                <w:rFonts w:asciiTheme="minorHAnsi" w:hAnsiTheme="minorHAnsi" w:cstheme="minorHAnsi"/>
                <w:b/>
                <w:bCs/>
                <w:i/>
                <w:sz w:val="22"/>
              </w:rPr>
              <w:t>Pořadí skupin podle výše vlivu (v procentních bodech):</w:t>
            </w:r>
          </w:p>
        </w:tc>
      </w:tr>
      <w:tr w:rsidR="001B6F34" w:rsidRPr="003F5581" w14:paraId="7404377A" w14:textId="77777777" w:rsidTr="0007287E">
        <w:trPr>
          <w:trHeight w:val="340"/>
          <w:jc w:val="center"/>
        </w:trPr>
        <w:tc>
          <w:tcPr>
            <w:tcW w:w="6431"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34580DE"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w:t>
            </w:r>
            <w:r w:rsidRPr="00CD332D">
              <w:rPr>
                <w:rFonts w:asciiTheme="minorHAnsi" w:hAnsiTheme="minorHAnsi" w:cstheme="minorHAnsi"/>
                <w:sz w:val="22"/>
              </w:rPr>
              <w:t>Bydlení, voda, energie, paliva</w:t>
            </w:r>
            <w:r w:rsidRPr="00CD332D">
              <w:rPr>
                <w:rFonts w:asciiTheme="minorHAnsi" w:hAnsiTheme="minorHAnsi" w:cstheme="minorHAnsi"/>
                <w:sz w:val="22"/>
                <w:szCs w:val="28"/>
              </w:rPr>
              <w:t xml:space="preserve"> </w:t>
            </w:r>
          </w:p>
        </w:tc>
        <w:tc>
          <w:tcPr>
            <w:tcW w:w="146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C6D9BF0"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w:t>
            </w:r>
            <w:r>
              <w:rPr>
                <w:rFonts w:asciiTheme="minorHAnsi" w:hAnsiTheme="minorHAnsi" w:cstheme="minorHAnsi"/>
                <w:sz w:val="22"/>
                <w:szCs w:val="28"/>
              </w:rPr>
              <w:t>5</w:t>
            </w:r>
            <w:r w:rsidRPr="00F46DE2">
              <w:rPr>
                <w:rFonts w:asciiTheme="minorHAnsi" w:hAnsiTheme="minorHAnsi" w:cstheme="minorHAnsi"/>
                <w:sz w:val="22"/>
                <w:szCs w:val="28"/>
              </w:rPr>
              <w:t>,</w:t>
            </w:r>
            <w:r>
              <w:rPr>
                <w:rFonts w:asciiTheme="minorHAnsi" w:hAnsiTheme="minorHAnsi" w:cstheme="minorHAnsi"/>
                <w:sz w:val="22"/>
                <w:szCs w:val="28"/>
              </w:rPr>
              <w:t>9</w:t>
            </w:r>
          </w:p>
        </w:tc>
      </w:tr>
      <w:tr w:rsidR="001B6F34" w:rsidRPr="003F5581" w14:paraId="155D4314" w14:textId="77777777" w:rsidTr="0007287E">
        <w:trPr>
          <w:trHeight w:val="340"/>
          <w:jc w:val="center"/>
        </w:trPr>
        <w:tc>
          <w:tcPr>
            <w:tcW w:w="6431" w:type="dxa"/>
            <w:tcBorders>
              <w:top w:val="nil"/>
              <w:left w:val="single" w:sz="12" w:space="0" w:color="auto"/>
              <w:bottom w:val="single" w:sz="4" w:space="0" w:color="auto"/>
              <w:right w:val="single" w:sz="12" w:space="0" w:color="auto"/>
            </w:tcBorders>
            <w:shd w:val="clear" w:color="auto" w:fill="auto"/>
            <w:vAlign w:val="center"/>
            <w:hideMark/>
          </w:tcPr>
          <w:p w14:paraId="60D135BC"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Potraviny</w:t>
            </w:r>
            <w:r>
              <w:rPr>
                <w:rFonts w:asciiTheme="minorHAnsi" w:hAnsiTheme="minorHAnsi" w:cstheme="minorHAnsi"/>
                <w:sz w:val="22"/>
                <w:szCs w:val="28"/>
              </w:rPr>
              <w:t xml:space="preserve"> a</w:t>
            </w:r>
            <w:r w:rsidRPr="00CD332D">
              <w:rPr>
                <w:rFonts w:asciiTheme="minorHAnsi" w:hAnsiTheme="minorHAnsi" w:cstheme="minorHAnsi"/>
                <w:sz w:val="22"/>
                <w:szCs w:val="28"/>
              </w:rPr>
              <w:t xml:space="preserve"> nealkoholické nápoje</w:t>
            </w:r>
            <w:r w:rsidRPr="00CD332D">
              <w:rPr>
                <w:rFonts w:asciiTheme="minorHAnsi" w:hAnsiTheme="minorHAnsi" w:cstheme="minorHAnsi"/>
                <w:sz w:val="22"/>
              </w:rPr>
              <w:t xml:space="preserve"> </w:t>
            </w:r>
          </w:p>
        </w:tc>
        <w:tc>
          <w:tcPr>
            <w:tcW w:w="1463" w:type="dxa"/>
            <w:tcBorders>
              <w:top w:val="nil"/>
              <w:left w:val="single" w:sz="12" w:space="0" w:color="auto"/>
              <w:bottom w:val="single" w:sz="4" w:space="0" w:color="auto"/>
              <w:right w:val="single" w:sz="12" w:space="0" w:color="auto"/>
            </w:tcBorders>
            <w:shd w:val="clear" w:color="auto" w:fill="auto"/>
            <w:vAlign w:val="center"/>
            <w:hideMark/>
          </w:tcPr>
          <w:p w14:paraId="55075539"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w:t>
            </w:r>
            <w:r>
              <w:rPr>
                <w:rFonts w:asciiTheme="minorHAnsi" w:hAnsiTheme="minorHAnsi" w:cstheme="minorHAnsi"/>
                <w:sz w:val="22"/>
                <w:szCs w:val="28"/>
              </w:rPr>
              <w:t>3,2</w:t>
            </w:r>
          </w:p>
        </w:tc>
      </w:tr>
      <w:tr w:rsidR="001B6F34" w:rsidRPr="003F5581" w14:paraId="14E2A0A5" w14:textId="77777777" w:rsidTr="0007287E">
        <w:trPr>
          <w:trHeight w:val="340"/>
          <w:jc w:val="center"/>
        </w:trPr>
        <w:tc>
          <w:tcPr>
            <w:tcW w:w="6431" w:type="dxa"/>
            <w:tcBorders>
              <w:top w:val="nil"/>
              <w:left w:val="single" w:sz="12" w:space="0" w:color="auto"/>
              <w:bottom w:val="single" w:sz="4" w:space="0" w:color="auto"/>
              <w:right w:val="single" w:sz="12" w:space="0" w:color="auto"/>
            </w:tcBorders>
            <w:shd w:val="clear" w:color="auto" w:fill="auto"/>
            <w:vAlign w:val="center"/>
            <w:hideMark/>
          </w:tcPr>
          <w:p w14:paraId="35E301CD"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Doprava</w:t>
            </w:r>
          </w:p>
        </w:tc>
        <w:tc>
          <w:tcPr>
            <w:tcW w:w="1463" w:type="dxa"/>
            <w:tcBorders>
              <w:top w:val="nil"/>
              <w:left w:val="single" w:sz="12" w:space="0" w:color="auto"/>
              <w:bottom w:val="single" w:sz="4" w:space="0" w:color="auto"/>
              <w:right w:val="single" w:sz="12" w:space="0" w:color="auto"/>
            </w:tcBorders>
            <w:shd w:val="clear" w:color="auto" w:fill="auto"/>
            <w:vAlign w:val="center"/>
            <w:hideMark/>
          </w:tcPr>
          <w:p w14:paraId="60C8DD67"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w:t>
            </w:r>
            <w:r>
              <w:rPr>
                <w:rFonts w:asciiTheme="minorHAnsi" w:hAnsiTheme="minorHAnsi" w:cstheme="minorHAnsi"/>
                <w:sz w:val="22"/>
                <w:szCs w:val="28"/>
              </w:rPr>
              <w:t>2,5</w:t>
            </w:r>
          </w:p>
        </w:tc>
      </w:tr>
      <w:tr w:rsidR="001B6F34" w:rsidRPr="003F5581" w14:paraId="5E7FCDD2" w14:textId="77777777" w:rsidTr="0007287E">
        <w:trPr>
          <w:trHeight w:val="340"/>
          <w:jc w:val="center"/>
        </w:trPr>
        <w:tc>
          <w:tcPr>
            <w:tcW w:w="6431" w:type="dxa"/>
            <w:tcBorders>
              <w:top w:val="nil"/>
              <w:left w:val="single" w:sz="12" w:space="0" w:color="auto"/>
              <w:bottom w:val="single" w:sz="4" w:space="0" w:color="auto"/>
              <w:right w:val="single" w:sz="12" w:space="0" w:color="auto"/>
            </w:tcBorders>
            <w:shd w:val="clear" w:color="auto" w:fill="auto"/>
            <w:vAlign w:val="center"/>
            <w:hideMark/>
          </w:tcPr>
          <w:p w14:paraId="5539A6D1"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Stravování a ubytování </w:t>
            </w:r>
          </w:p>
        </w:tc>
        <w:tc>
          <w:tcPr>
            <w:tcW w:w="1463" w:type="dxa"/>
            <w:tcBorders>
              <w:top w:val="nil"/>
              <w:left w:val="single" w:sz="12" w:space="0" w:color="auto"/>
              <w:bottom w:val="single" w:sz="4" w:space="0" w:color="auto"/>
              <w:right w:val="single" w:sz="12" w:space="0" w:color="auto"/>
            </w:tcBorders>
            <w:shd w:val="clear" w:color="auto" w:fill="auto"/>
            <w:vAlign w:val="center"/>
            <w:hideMark/>
          </w:tcPr>
          <w:p w14:paraId="1FC187B4"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w:t>
            </w:r>
            <w:r>
              <w:rPr>
                <w:rFonts w:asciiTheme="minorHAnsi" w:hAnsiTheme="minorHAnsi" w:cstheme="minorHAnsi"/>
                <w:sz w:val="22"/>
                <w:szCs w:val="28"/>
              </w:rPr>
              <w:t>1,4</w:t>
            </w:r>
          </w:p>
        </w:tc>
      </w:tr>
      <w:tr w:rsidR="001B6F34" w:rsidRPr="003F5581" w14:paraId="30A30E59" w14:textId="77777777" w:rsidTr="0007287E">
        <w:trPr>
          <w:trHeight w:val="340"/>
          <w:jc w:val="center"/>
        </w:trPr>
        <w:tc>
          <w:tcPr>
            <w:tcW w:w="6431" w:type="dxa"/>
            <w:tcBorders>
              <w:top w:val="nil"/>
              <w:left w:val="single" w:sz="12" w:space="0" w:color="auto"/>
              <w:bottom w:val="single" w:sz="4" w:space="0" w:color="auto"/>
              <w:right w:val="single" w:sz="12" w:space="0" w:color="auto"/>
            </w:tcBorders>
            <w:shd w:val="clear" w:color="auto" w:fill="auto"/>
            <w:vAlign w:val="center"/>
            <w:hideMark/>
          </w:tcPr>
          <w:p w14:paraId="6807CB6D"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Rekreace a kultura </w:t>
            </w:r>
          </w:p>
        </w:tc>
        <w:tc>
          <w:tcPr>
            <w:tcW w:w="1463" w:type="dxa"/>
            <w:tcBorders>
              <w:top w:val="nil"/>
              <w:left w:val="single" w:sz="12" w:space="0" w:color="auto"/>
              <w:bottom w:val="single" w:sz="4" w:space="0" w:color="auto"/>
              <w:right w:val="single" w:sz="12" w:space="0" w:color="auto"/>
            </w:tcBorders>
            <w:shd w:val="clear" w:color="auto" w:fill="auto"/>
            <w:vAlign w:val="center"/>
            <w:hideMark/>
          </w:tcPr>
          <w:p w14:paraId="0E140225"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w:t>
            </w:r>
            <w:r>
              <w:rPr>
                <w:rFonts w:asciiTheme="minorHAnsi" w:hAnsiTheme="minorHAnsi" w:cstheme="minorHAnsi"/>
                <w:sz w:val="22"/>
                <w:szCs w:val="28"/>
              </w:rPr>
              <w:t>1,1</w:t>
            </w:r>
          </w:p>
        </w:tc>
      </w:tr>
      <w:tr w:rsidR="001B6F34" w:rsidRPr="003F5581" w14:paraId="78C64A41" w14:textId="77777777" w:rsidTr="0007287E">
        <w:trPr>
          <w:trHeight w:val="340"/>
          <w:jc w:val="center"/>
        </w:trPr>
        <w:tc>
          <w:tcPr>
            <w:tcW w:w="6431"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A6A3C0D"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w:t>
            </w:r>
            <w:r w:rsidRPr="00CD332D">
              <w:rPr>
                <w:rFonts w:asciiTheme="minorHAnsi" w:hAnsiTheme="minorHAnsi" w:cstheme="minorHAnsi"/>
                <w:sz w:val="22"/>
              </w:rPr>
              <w:t>Odívání a obuv</w:t>
            </w:r>
          </w:p>
        </w:tc>
        <w:tc>
          <w:tcPr>
            <w:tcW w:w="146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88EC91D"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+0,</w:t>
            </w:r>
            <w:r>
              <w:rPr>
                <w:rFonts w:asciiTheme="minorHAnsi" w:hAnsiTheme="minorHAnsi" w:cstheme="minorHAnsi"/>
                <w:sz w:val="22"/>
                <w:szCs w:val="28"/>
              </w:rPr>
              <w:t>8</w:t>
            </w:r>
          </w:p>
        </w:tc>
      </w:tr>
      <w:tr w:rsidR="001B6F34" w:rsidRPr="003F5581" w14:paraId="70940350" w14:textId="77777777" w:rsidTr="0007287E">
        <w:trPr>
          <w:trHeight w:val="340"/>
          <w:jc w:val="center"/>
        </w:trPr>
        <w:tc>
          <w:tcPr>
            <w:tcW w:w="6431"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A1B8EF4"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Bytové vybavení, zařízení domácnosti, opravy </w:t>
            </w:r>
          </w:p>
        </w:tc>
        <w:tc>
          <w:tcPr>
            <w:tcW w:w="146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E4823D9"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rPr>
              <w:t>+0,</w:t>
            </w:r>
            <w:r>
              <w:rPr>
                <w:rFonts w:asciiTheme="minorHAnsi" w:hAnsiTheme="minorHAnsi" w:cstheme="minorHAnsi"/>
                <w:sz w:val="22"/>
              </w:rPr>
              <w:t>7</w:t>
            </w:r>
          </w:p>
        </w:tc>
      </w:tr>
      <w:tr w:rsidR="001B6F34" w:rsidRPr="003F5581" w14:paraId="7EBE2639" w14:textId="77777777" w:rsidTr="0007287E">
        <w:trPr>
          <w:trHeight w:val="340"/>
          <w:jc w:val="center"/>
        </w:trPr>
        <w:tc>
          <w:tcPr>
            <w:tcW w:w="6431"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94FF8D6"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Ostatní zboží a služby</w:t>
            </w:r>
          </w:p>
        </w:tc>
        <w:tc>
          <w:tcPr>
            <w:tcW w:w="146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C0A35C9"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rPr>
              <w:t>+0,</w:t>
            </w:r>
            <w:r>
              <w:rPr>
                <w:rFonts w:asciiTheme="minorHAnsi" w:hAnsiTheme="minorHAnsi" w:cstheme="minorHAnsi"/>
                <w:sz w:val="22"/>
              </w:rPr>
              <w:t>7</w:t>
            </w:r>
          </w:p>
        </w:tc>
      </w:tr>
      <w:tr w:rsidR="001B6F34" w:rsidRPr="003F5581" w14:paraId="0D5227C7" w14:textId="77777777" w:rsidTr="0007287E">
        <w:trPr>
          <w:trHeight w:val="340"/>
          <w:jc w:val="center"/>
        </w:trPr>
        <w:tc>
          <w:tcPr>
            <w:tcW w:w="6431" w:type="dxa"/>
            <w:tcBorders>
              <w:top w:val="single" w:sz="4" w:space="0" w:color="auto"/>
              <w:left w:val="single" w:sz="12" w:space="0" w:color="auto"/>
              <w:bottom w:val="single" w:sz="4" w:space="0" w:color="auto"/>
              <w:right w:val="single" w:sz="12" w:space="0" w:color="auto"/>
            </w:tcBorders>
            <w:shd w:val="clear" w:color="auto" w:fill="auto"/>
            <w:vAlign w:val="center"/>
          </w:tcPr>
          <w:p w14:paraId="5FCD607A"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rPr>
              <w:t xml:space="preserve"> </w:t>
            </w:r>
            <w:r w:rsidRPr="00CD332D">
              <w:rPr>
                <w:rFonts w:asciiTheme="minorHAnsi" w:hAnsiTheme="minorHAnsi" w:cstheme="minorHAnsi"/>
                <w:sz w:val="22"/>
                <w:szCs w:val="28"/>
              </w:rPr>
              <w:t xml:space="preserve">Alkoholické nápoje, tabák </w:t>
            </w:r>
          </w:p>
        </w:tc>
        <w:tc>
          <w:tcPr>
            <w:tcW w:w="1463" w:type="dxa"/>
            <w:tcBorders>
              <w:top w:val="single" w:sz="4" w:space="0" w:color="auto"/>
              <w:left w:val="single" w:sz="12" w:space="0" w:color="auto"/>
              <w:bottom w:val="single" w:sz="4" w:space="0" w:color="auto"/>
              <w:right w:val="single" w:sz="12" w:space="0" w:color="auto"/>
            </w:tcBorders>
            <w:shd w:val="clear" w:color="auto" w:fill="auto"/>
            <w:vAlign w:val="center"/>
          </w:tcPr>
          <w:p w14:paraId="64FB0741" w14:textId="77777777" w:rsidR="001B6F34" w:rsidRPr="00F46DE2" w:rsidRDefault="001B6F34" w:rsidP="0007287E">
            <w:pPr>
              <w:ind w:right="454"/>
              <w:jc w:val="right"/>
              <w:rPr>
                <w:rFonts w:asciiTheme="minorHAnsi" w:hAnsiTheme="minorHAnsi" w:cstheme="minorHAnsi"/>
                <w:sz w:val="22"/>
              </w:rPr>
            </w:pPr>
            <w:r>
              <w:rPr>
                <w:rFonts w:asciiTheme="minorHAnsi" w:hAnsiTheme="minorHAnsi" w:cstheme="minorHAnsi"/>
                <w:sz w:val="22"/>
              </w:rPr>
              <w:t>+</w:t>
            </w:r>
            <w:r w:rsidRPr="00F46DE2">
              <w:rPr>
                <w:rFonts w:asciiTheme="minorHAnsi" w:hAnsiTheme="minorHAnsi" w:cstheme="minorHAnsi"/>
                <w:sz w:val="22"/>
              </w:rPr>
              <w:t>0,</w:t>
            </w:r>
            <w:r>
              <w:rPr>
                <w:rFonts w:asciiTheme="minorHAnsi" w:hAnsiTheme="minorHAnsi" w:cstheme="minorHAnsi"/>
                <w:sz w:val="22"/>
              </w:rPr>
              <w:t>6</w:t>
            </w:r>
          </w:p>
        </w:tc>
      </w:tr>
      <w:tr w:rsidR="001B6F34" w:rsidRPr="003F5581" w14:paraId="0378C644" w14:textId="77777777" w:rsidTr="0007287E">
        <w:trPr>
          <w:trHeight w:val="340"/>
          <w:jc w:val="center"/>
        </w:trPr>
        <w:tc>
          <w:tcPr>
            <w:tcW w:w="6431" w:type="dxa"/>
            <w:tcBorders>
              <w:top w:val="single" w:sz="4" w:space="0" w:color="auto"/>
              <w:left w:val="single" w:sz="12" w:space="0" w:color="auto"/>
              <w:bottom w:val="single" w:sz="4" w:space="0" w:color="auto"/>
              <w:right w:val="single" w:sz="12" w:space="0" w:color="auto"/>
            </w:tcBorders>
            <w:shd w:val="clear" w:color="auto" w:fill="auto"/>
            <w:vAlign w:val="center"/>
          </w:tcPr>
          <w:p w14:paraId="23CCA4A2"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rPr>
              <w:t xml:space="preserve"> </w:t>
            </w:r>
            <w:r w:rsidRPr="00CD332D">
              <w:rPr>
                <w:rFonts w:asciiTheme="minorHAnsi" w:hAnsiTheme="minorHAnsi" w:cstheme="minorHAnsi"/>
                <w:sz w:val="22"/>
                <w:szCs w:val="28"/>
              </w:rPr>
              <w:t xml:space="preserve">Zdraví </w:t>
            </w:r>
          </w:p>
        </w:tc>
        <w:tc>
          <w:tcPr>
            <w:tcW w:w="1463" w:type="dxa"/>
            <w:tcBorders>
              <w:top w:val="single" w:sz="4" w:space="0" w:color="auto"/>
              <w:left w:val="single" w:sz="12" w:space="0" w:color="auto"/>
              <w:bottom w:val="single" w:sz="4" w:space="0" w:color="auto"/>
              <w:right w:val="single" w:sz="12" w:space="0" w:color="auto"/>
            </w:tcBorders>
            <w:shd w:val="clear" w:color="auto" w:fill="auto"/>
            <w:vAlign w:val="center"/>
          </w:tcPr>
          <w:p w14:paraId="7CD49C30" w14:textId="77777777" w:rsidR="001B6F34" w:rsidRPr="00F46DE2" w:rsidRDefault="001B6F34" w:rsidP="0007287E">
            <w:pPr>
              <w:ind w:right="454"/>
              <w:jc w:val="right"/>
              <w:rPr>
                <w:rFonts w:asciiTheme="minorHAnsi" w:hAnsiTheme="minorHAnsi" w:cstheme="minorHAnsi"/>
                <w:sz w:val="22"/>
              </w:rPr>
            </w:pPr>
            <w:r>
              <w:rPr>
                <w:rFonts w:asciiTheme="minorHAnsi" w:hAnsiTheme="minorHAnsi" w:cstheme="minorHAnsi"/>
                <w:sz w:val="22"/>
                <w:szCs w:val="28"/>
              </w:rPr>
              <w:t>+</w:t>
            </w:r>
            <w:r w:rsidRPr="00F46DE2">
              <w:rPr>
                <w:rFonts w:asciiTheme="minorHAnsi" w:hAnsiTheme="minorHAnsi" w:cstheme="minorHAnsi"/>
                <w:sz w:val="22"/>
                <w:szCs w:val="28"/>
              </w:rPr>
              <w:t>0,</w:t>
            </w:r>
            <w:r>
              <w:rPr>
                <w:rFonts w:asciiTheme="minorHAnsi" w:hAnsiTheme="minorHAnsi" w:cstheme="minorHAnsi"/>
                <w:sz w:val="22"/>
                <w:szCs w:val="28"/>
              </w:rPr>
              <w:t>3</w:t>
            </w:r>
          </w:p>
        </w:tc>
      </w:tr>
      <w:tr w:rsidR="001B6F34" w:rsidRPr="003F5581" w14:paraId="1C225A6F" w14:textId="77777777" w:rsidTr="0007287E">
        <w:trPr>
          <w:trHeight w:val="340"/>
          <w:jc w:val="center"/>
        </w:trPr>
        <w:tc>
          <w:tcPr>
            <w:tcW w:w="6431"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B5AD6AD" w14:textId="77777777" w:rsidR="001B6F34" w:rsidRPr="00CD332D" w:rsidRDefault="001B6F34" w:rsidP="0007287E">
            <w:pPr>
              <w:rPr>
                <w:rFonts w:asciiTheme="minorHAnsi" w:hAnsiTheme="minorHAnsi" w:cstheme="minorHAnsi"/>
                <w:sz w:val="22"/>
              </w:rPr>
            </w:pPr>
            <w:r w:rsidRPr="00CD332D">
              <w:rPr>
                <w:rFonts w:asciiTheme="minorHAnsi" w:hAnsiTheme="minorHAnsi" w:cstheme="minorHAnsi"/>
                <w:sz w:val="22"/>
                <w:szCs w:val="28"/>
              </w:rPr>
              <w:t xml:space="preserve"> Pošty a telekomunikace</w:t>
            </w:r>
            <w:r w:rsidRPr="00CD332D">
              <w:rPr>
                <w:rFonts w:asciiTheme="minorHAnsi" w:hAnsiTheme="minorHAnsi" w:cstheme="minorHAnsi"/>
                <w:sz w:val="22"/>
              </w:rPr>
              <w:t xml:space="preserve"> </w:t>
            </w:r>
          </w:p>
        </w:tc>
        <w:tc>
          <w:tcPr>
            <w:tcW w:w="146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6EA789F"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0,</w:t>
            </w:r>
            <w:r>
              <w:rPr>
                <w:rFonts w:asciiTheme="minorHAnsi" w:hAnsiTheme="minorHAnsi" w:cstheme="minorHAnsi"/>
                <w:sz w:val="22"/>
                <w:szCs w:val="28"/>
              </w:rPr>
              <w:t>0</w:t>
            </w:r>
          </w:p>
        </w:tc>
      </w:tr>
      <w:tr w:rsidR="001B6F34" w:rsidRPr="003F5581" w14:paraId="424C69DE" w14:textId="77777777" w:rsidTr="0007287E">
        <w:trPr>
          <w:trHeight w:val="340"/>
          <w:jc w:val="center"/>
        </w:trPr>
        <w:tc>
          <w:tcPr>
            <w:tcW w:w="6431" w:type="dxa"/>
            <w:tcBorders>
              <w:top w:val="single" w:sz="4" w:space="0" w:color="auto"/>
              <w:left w:val="single" w:sz="12" w:space="0" w:color="auto"/>
              <w:bottom w:val="single" w:sz="18" w:space="0" w:color="auto"/>
              <w:right w:val="single" w:sz="12" w:space="0" w:color="auto"/>
            </w:tcBorders>
            <w:shd w:val="clear" w:color="auto" w:fill="auto"/>
            <w:vAlign w:val="center"/>
            <w:hideMark/>
          </w:tcPr>
          <w:p w14:paraId="6CF412BD" w14:textId="77777777" w:rsidR="001B6F34" w:rsidRPr="00CD332D" w:rsidRDefault="001B6F34" w:rsidP="0007287E">
            <w:pPr>
              <w:rPr>
                <w:rFonts w:asciiTheme="minorHAnsi" w:hAnsiTheme="minorHAnsi" w:cstheme="minorHAnsi"/>
                <w:sz w:val="22"/>
              </w:rPr>
            </w:pPr>
            <w:r>
              <w:rPr>
                <w:rFonts w:asciiTheme="minorHAnsi" w:hAnsiTheme="minorHAnsi" w:cstheme="minorHAnsi"/>
                <w:sz w:val="22"/>
              </w:rPr>
              <w:t xml:space="preserve"> </w:t>
            </w:r>
            <w:r w:rsidRPr="00CD332D">
              <w:rPr>
                <w:rFonts w:asciiTheme="minorHAnsi" w:hAnsiTheme="minorHAnsi" w:cstheme="minorHAnsi"/>
                <w:sz w:val="22"/>
              </w:rPr>
              <w:t>Vzdělávání</w:t>
            </w:r>
          </w:p>
        </w:tc>
        <w:tc>
          <w:tcPr>
            <w:tcW w:w="1463" w:type="dxa"/>
            <w:tcBorders>
              <w:top w:val="single" w:sz="4" w:space="0" w:color="auto"/>
              <w:left w:val="single" w:sz="12" w:space="0" w:color="auto"/>
              <w:bottom w:val="single" w:sz="18" w:space="0" w:color="auto"/>
              <w:right w:val="single" w:sz="12" w:space="0" w:color="auto"/>
            </w:tcBorders>
            <w:shd w:val="clear" w:color="auto" w:fill="auto"/>
            <w:vAlign w:val="center"/>
            <w:hideMark/>
          </w:tcPr>
          <w:p w14:paraId="6A7FC243" w14:textId="77777777" w:rsidR="001B6F34" w:rsidRPr="00F46DE2" w:rsidRDefault="001B6F34" w:rsidP="0007287E">
            <w:pPr>
              <w:ind w:right="454"/>
              <w:jc w:val="right"/>
              <w:rPr>
                <w:rFonts w:asciiTheme="minorHAnsi" w:hAnsiTheme="minorHAnsi" w:cstheme="minorHAnsi"/>
                <w:sz w:val="22"/>
              </w:rPr>
            </w:pPr>
            <w:r w:rsidRPr="00F46DE2">
              <w:rPr>
                <w:rFonts w:asciiTheme="minorHAnsi" w:hAnsiTheme="minorHAnsi" w:cstheme="minorHAnsi"/>
                <w:sz w:val="22"/>
                <w:szCs w:val="28"/>
              </w:rPr>
              <w:t>0,</w:t>
            </w:r>
            <w:r>
              <w:rPr>
                <w:rFonts w:asciiTheme="minorHAnsi" w:hAnsiTheme="minorHAnsi" w:cstheme="minorHAnsi"/>
                <w:sz w:val="22"/>
                <w:szCs w:val="28"/>
              </w:rPr>
              <w:t>0</w:t>
            </w:r>
          </w:p>
        </w:tc>
      </w:tr>
    </w:tbl>
    <w:p w14:paraId="08864836" w14:textId="77777777" w:rsidR="001B6F34" w:rsidRPr="00CC793A" w:rsidRDefault="001B6F34" w:rsidP="001B6F34">
      <w:pPr>
        <w:spacing w:before="120" w:after="240" w:line="360" w:lineRule="auto"/>
        <w:ind w:firstLine="709"/>
        <w:jc w:val="both"/>
        <w:rPr>
          <w:rFonts w:asciiTheme="minorHAnsi" w:hAnsiTheme="minorHAnsi" w:cstheme="minorHAnsi"/>
          <w:sz w:val="22"/>
          <w:szCs w:val="22"/>
        </w:rPr>
      </w:pPr>
      <w:r w:rsidRPr="00CC793A">
        <w:rPr>
          <w:rFonts w:asciiTheme="minorHAnsi" w:hAnsiTheme="minorHAnsi" w:cstheme="minorHAnsi"/>
          <w:sz w:val="22"/>
          <w:szCs w:val="22"/>
        </w:rPr>
        <w:t>Zpracováno z údajů ČSÚ</w:t>
      </w:r>
    </w:p>
    <w:p w14:paraId="228CFBF0" w14:textId="6ADF133D" w:rsidR="001B6F34" w:rsidRDefault="001B6F34" w:rsidP="001B6F34">
      <w:pPr>
        <w:spacing w:after="240" w:line="360" w:lineRule="auto"/>
        <w:jc w:val="both"/>
        <w:rPr>
          <w:rFonts w:asciiTheme="minorHAnsi" w:hAnsiTheme="minorHAnsi" w:cstheme="minorHAnsi"/>
          <w:sz w:val="26"/>
          <w:szCs w:val="26"/>
        </w:rPr>
      </w:pPr>
      <w:r w:rsidRPr="003F40FF">
        <w:rPr>
          <w:rFonts w:asciiTheme="minorHAnsi" w:hAnsiTheme="minorHAnsi" w:cstheme="minorHAnsi"/>
          <w:b/>
          <w:sz w:val="26"/>
          <w:szCs w:val="26"/>
        </w:rPr>
        <w:tab/>
      </w:r>
      <w:r w:rsidRPr="00D44982">
        <w:rPr>
          <w:rFonts w:asciiTheme="minorHAnsi" w:hAnsiTheme="minorHAnsi" w:cstheme="minorHAnsi"/>
          <w:bCs/>
          <w:sz w:val="26"/>
          <w:szCs w:val="26"/>
        </w:rPr>
        <w:t>Největší</w:t>
      </w:r>
      <w:r w:rsidRPr="003F40FF">
        <w:rPr>
          <w:rFonts w:asciiTheme="minorHAnsi" w:hAnsiTheme="minorHAnsi" w:cstheme="minorHAnsi"/>
          <w:sz w:val="26"/>
          <w:szCs w:val="26"/>
        </w:rPr>
        <w:t xml:space="preserve"> </w:t>
      </w:r>
      <w:r w:rsidRPr="003F40FF">
        <w:rPr>
          <w:rFonts w:asciiTheme="minorHAnsi" w:hAnsiTheme="minorHAnsi" w:cstheme="minorHAnsi"/>
          <w:b/>
          <w:sz w:val="26"/>
          <w:szCs w:val="26"/>
        </w:rPr>
        <w:t>meziměsíční</w:t>
      </w:r>
      <w:r w:rsidRPr="003F40FF">
        <w:rPr>
          <w:rFonts w:asciiTheme="minorHAnsi" w:hAnsiTheme="minorHAnsi" w:cstheme="minorHAnsi"/>
          <w:sz w:val="26"/>
          <w:szCs w:val="26"/>
        </w:rPr>
        <w:t xml:space="preserve"> </w:t>
      </w:r>
      <w:r w:rsidRPr="00D44982">
        <w:rPr>
          <w:rFonts w:asciiTheme="minorHAnsi" w:hAnsiTheme="minorHAnsi" w:cstheme="minorHAnsi"/>
          <w:bCs/>
          <w:sz w:val="26"/>
          <w:szCs w:val="26"/>
        </w:rPr>
        <w:t>přírůstek</w:t>
      </w:r>
      <w:r w:rsidRPr="003F40FF">
        <w:rPr>
          <w:rFonts w:asciiTheme="minorHAnsi" w:hAnsiTheme="minorHAnsi" w:cstheme="minorHAnsi"/>
          <w:b/>
          <w:sz w:val="26"/>
          <w:szCs w:val="26"/>
        </w:rPr>
        <w:t xml:space="preserve"> </w:t>
      </w:r>
      <w:r w:rsidRPr="003F40FF">
        <w:rPr>
          <w:rFonts w:asciiTheme="minorHAnsi" w:hAnsiTheme="minorHAnsi" w:cstheme="minorHAnsi"/>
          <w:sz w:val="26"/>
          <w:szCs w:val="26"/>
        </w:rPr>
        <w:t xml:space="preserve">spotřebitelských </w:t>
      </w:r>
      <w:r w:rsidRPr="00D44982">
        <w:rPr>
          <w:rFonts w:asciiTheme="minorHAnsi" w:hAnsiTheme="minorHAnsi" w:cstheme="minorHAnsi"/>
          <w:sz w:val="26"/>
          <w:szCs w:val="26"/>
        </w:rPr>
        <w:t>cen byl vykázán v lednu</w:t>
      </w:r>
      <w:r w:rsidRPr="003F40FF">
        <w:rPr>
          <w:rFonts w:asciiTheme="minorHAnsi" w:hAnsiTheme="minorHAnsi" w:cstheme="minorHAnsi"/>
          <w:b/>
          <w:bCs/>
          <w:sz w:val="26"/>
          <w:szCs w:val="26"/>
        </w:rPr>
        <w:t xml:space="preserve"> </w:t>
      </w:r>
      <w:r w:rsidRPr="003F40FF">
        <w:rPr>
          <w:rFonts w:asciiTheme="minorHAnsi" w:hAnsiTheme="minorHAnsi" w:cstheme="minorHAnsi"/>
          <w:sz w:val="26"/>
          <w:szCs w:val="26"/>
        </w:rPr>
        <w:t>(o 4,4 %),</w:t>
      </w:r>
      <w:r w:rsidRPr="003F40FF">
        <w:rPr>
          <w:rFonts w:asciiTheme="minorHAnsi" w:hAnsiTheme="minorHAnsi" w:cstheme="minorHAnsi"/>
          <w:b/>
          <w:bCs/>
          <w:sz w:val="26"/>
          <w:szCs w:val="26"/>
        </w:rPr>
        <w:t xml:space="preserve"> </w:t>
      </w:r>
      <w:r w:rsidRPr="003F40FF">
        <w:rPr>
          <w:rFonts w:asciiTheme="minorHAnsi" w:hAnsiTheme="minorHAnsi" w:cstheme="minorHAnsi"/>
          <w:sz w:val="26"/>
          <w:szCs w:val="26"/>
        </w:rPr>
        <w:t xml:space="preserve">ve všech ostatních měsících překročil úroveň 1,0 %. V lednu se na nejvyšším </w:t>
      </w:r>
      <w:r>
        <w:rPr>
          <w:rFonts w:asciiTheme="minorHAnsi" w:hAnsiTheme="minorHAnsi" w:cstheme="minorHAnsi"/>
          <w:sz w:val="26"/>
          <w:szCs w:val="26"/>
        </w:rPr>
        <w:t xml:space="preserve">meziměsíčním </w:t>
      </w:r>
      <w:r w:rsidRPr="003F40FF">
        <w:rPr>
          <w:rFonts w:asciiTheme="minorHAnsi" w:hAnsiTheme="minorHAnsi" w:cstheme="minorHAnsi"/>
          <w:sz w:val="26"/>
          <w:szCs w:val="26"/>
        </w:rPr>
        <w:t xml:space="preserve">cenovém růstu od roku 1993 kromě sezónních vlivů v oddílech </w:t>
      </w:r>
      <w:r w:rsidRPr="003F40FF">
        <w:rPr>
          <w:rFonts w:asciiTheme="minorHAnsi" w:hAnsiTheme="minorHAnsi" w:cstheme="minorHAnsi"/>
          <w:b/>
          <w:bCs/>
          <w:sz w:val="26"/>
          <w:szCs w:val="26"/>
        </w:rPr>
        <w:t>potraviny a </w:t>
      </w:r>
      <w:r w:rsidRPr="001B6F34">
        <w:rPr>
          <w:rFonts w:asciiTheme="minorHAnsi" w:hAnsiTheme="minorHAnsi" w:cstheme="minorHAnsi"/>
          <w:b/>
          <w:bCs/>
          <w:sz w:val="26"/>
          <w:szCs w:val="26"/>
        </w:rPr>
        <w:t>nealkoholické nápoje</w:t>
      </w:r>
      <w:r w:rsidRPr="001B6F34">
        <w:rPr>
          <w:rFonts w:asciiTheme="minorHAnsi" w:hAnsiTheme="minorHAnsi" w:cstheme="minorHAnsi"/>
          <w:sz w:val="26"/>
          <w:szCs w:val="26"/>
        </w:rPr>
        <w:t xml:space="preserve"> a </w:t>
      </w:r>
      <w:r w:rsidRPr="001B6F34">
        <w:rPr>
          <w:rFonts w:asciiTheme="minorHAnsi" w:hAnsiTheme="minorHAnsi" w:cstheme="minorHAnsi"/>
          <w:b/>
          <w:bCs/>
          <w:sz w:val="26"/>
          <w:szCs w:val="26"/>
        </w:rPr>
        <w:t>rekreace a kultura</w:t>
      </w:r>
      <w:r w:rsidRPr="001B6F34">
        <w:rPr>
          <w:rFonts w:asciiTheme="minorHAnsi" w:hAnsiTheme="minorHAnsi" w:cstheme="minorHAnsi"/>
          <w:sz w:val="26"/>
          <w:szCs w:val="26"/>
        </w:rPr>
        <w:t xml:space="preserve"> podílel rovněž oddíl </w:t>
      </w:r>
      <w:r w:rsidRPr="001B6F34">
        <w:rPr>
          <w:rFonts w:asciiTheme="minorHAnsi" w:hAnsiTheme="minorHAnsi" w:cstheme="minorHAnsi"/>
          <w:b/>
          <w:bCs/>
          <w:sz w:val="26"/>
          <w:szCs w:val="26"/>
        </w:rPr>
        <w:t>bydlení, voda, energie, paliva.</w:t>
      </w:r>
      <w:r w:rsidRPr="001B6F34">
        <w:rPr>
          <w:rFonts w:asciiTheme="minorHAnsi" w:hAnsiTheme="minorHAnsi" w:cstheme="minorHAnsi"/>
          <w:sz w:val="26"/>
          <w:szCs w:val="26"/>
        </w:rPr>
        <w:t xml:space="preserve"> U tohoto oddílu však bylo důvodem i obnovení DPH u cen elektřiny a zemního plynu. Výrazný nárůst cen pohonných hmot v rámci oddílu </w:t>
      </w:r>
      <w:r w:rsidRPr="001B6F34">
        <w:rPr>
          <w:rFonts w:asciiTheme="minorHAnsi" w:hAnsiTheme="minorHAnsi" w:cstheme="minorHAnsi"/>
          <w:b/>
          <w:bCs/>
          <w:sz w:val="26"/>
          <w:szCs w:val="26"/>
        </w:rPr>
        <w:t>doprava</w:t>
      </w:r>
      <w:r w:rsidRPr="001B6F34">
        <w:rPr>
          <w:rFonts w:asciiTheme="minorHAnsi" w:hAnsiTheme="minorHAnsi" w:cstheme="minorHAnsi"/>
          <w:sz w:val="26"/>
          <w:szCs w:val="26"/>
        </w:rPr>
        <w:t xml:space="preserve"> měl vliv zejména v březnu. </w:t>
      </w:r>
      <w:r w:rsidRPr="001B6F34">
        <w:rPr>
          <w:rFonts w:asciiTheme="minorHAnsi" w:hAnsiTheme="minorHAnsi" w:cstheme="minorHAnsi"/>
          <w:bCs/>
          <w:sz w:val="26"/>
          <w:szCs w:val="26"/>
        </w:rPr>
        <w:t xml:space="preserve">V období od prosince 2021 do června 2022 se zvýšila úhrnná cenová hladina o 13,2 % – </w:t>
      </w:r>
      <w:r w:rsidRPr="001B6F34">
        <w:rPr>
          <w:rFonts w:asciiTheme="minorHAnsi" w:hAnsiTheme="minorHAnsi" w:cstheme="minorHAnsi"/>
          <w:sz w:val="26"/>
          <w:szCs w:val="26"/>
        </w:rPr>
        <w:t>podrobnější číselné údaje k cenovému vývoji jsou uvedeny v tabulce č. 23 v příloze.</w:t>
      </w:r>
    </w:p>
    <w:p w14:paraId="15A9E222" w14:textId="7975B2A3" w:rsidR="001B6F34" w:rsidRPr="00E442BF" w:rsidRDefault="001B6F34" w:rsidP="001B6F34">
      <w:pPr>
        <w:spacing w:after="240" w:line="360" w:lineRule="auto"/>
        <w:jc w:val="both"/>
        <w:rPr>
          <w:rFonts w:asciiTheme="minorHAnsi" w:hAnsiTheme="minorHAnsi" w:cstheme="minorHAnsi"/>
          <w:bCs/>
          <w:sz w:val="26"/>
          <w:szCs w:val="26"/>
        </w:rPr>
      </w:pPr>
      <w:r>
        <w:rPr>
          <w:rFonts w:asciiTheme="minorHAnsi" w:hAnsiTheme="minorHAnsi" w:cstheme="minorHAnsi"/>
          <w:sz w:val="26"/>
          <w:szCs w:val="26"/>
        </w:rPr>
        <w:tab/>
      </w:r>
      <w:r w:rsidRPr="001B6F34">
        <w:rPr>
          <w:rFonts w:asciiTheme="minorHAnsi" w:hAnsiTheme="minorHAnsi" w:cstheme="minorHAnsi"/>
          <w:b/>
          <w:bCs/>
          <w:sz w:val="26"/>
          <w:szCs w:val="26"/>
        </w:rPr>
        <w:t>Harmonizovaný index</w:t>
      </w:r>
      <w:r w:rsidRPr="001B6F34">
        <w:rPr>
          <w:rFonts w:asciiTheme="minorHAnsi" w:hAnsiTheme="minorHAnsi" w:cstheme="minorHAnsi"/>
          <w:sz w:val="26"/>
          <w:szCs w:val="26"/>
        </w:rPr>
        <w:t xml:space="preserve"> spotřebitelských </w:t>
      </w:r>
      <w:r w:rsidRPr="001B6F34">
        <w:rPr>
          <w:rFonts w:asciiTheme="minorHAnsi" w:hAnsiTheme="minorHAnsi" w:cstheme="minorHAnsi"/>
          <w:b/>
          <w:bCs/>
          <w:sz w:val="26"/>
          <w:szCs w:val="26"/>
        </w:rPr>
        <w:t xml:space="preserve">cen </w:t>
      </w:r>
      <w:r w:rsidRPr="001B6F34">
        <w:rPr>
          <w:rFonts w:asciiTheme="minorHAnsi" w:hAnsiTheme="minorHAnsi" w:cstheme="minorHAnsi"/>
          <w:sz w:val="26"/>
          <w:szCs w:val="26"/>
        </w:rPr>
        <w:t xml:space="preserve">(cenový index propočtený podle metodiky </w:t>
      </w:r>
      <w:proofErr w:type="spellStart"/>
      <w:r w:rsidRPr="001B6F34">
        <w:rPr>
          <w:rFonts w:asciiTheme="minorHAnsi" w:hAnsiTheme="minorHAnsi" w:cstheme="minorHAnsi"/>
          <w:sz w:val="26"/>
          <w:szCs w:val="26"/>
        </w:rPr>
        <w:t>Eurostatu</w:t>
      </w:r>
      <w:proofErr w:type="spellEnd"/>
      <w:r w:rsidRPr="001B6F34">
        <w:rPr>
          <w:rFonts w:asciiTheme="minorHAnsi" w:hAnsiTheme="minorHAnsi" w:cstheme="minorHAnsi"/>
          <w:sz w:val="26"/>
          <w:szCs w:val="26"/>
        </w:rPr>
        <w:t xml:space="preserve"> pro potřeby porovnání inflace v jednotlivých členských zemích EU) </w:t>
      </w:r>
      <w:r w:rsidRPr="001B6F34">
        <w:rPr>
          <w:rFonts w:asciiTheme="minorHAnsi" w:hAnsiTheme="minorHAnsi" w:cstheme="minorHAnsi"/>
          <w:b/>
          <w:sz w:val="26"/>
          <w:szCs w:val="26"/>
        </w:rPr>
        <w:t>v České republice</w:t>
      </w:r>
      <w:r w:rsidRPr="001B6F34">
        <w:rPr>
          <w:rFonts w:asciiTheme="minorHAnsi" w:hAnsiTheme="minorHAnsi" w:cstheme="minorHAnsi"/>
          <w:sz w:val="26"/>
          <w:szCs w:val="26"/>
        </w:rPr>
        <w:t xml:space="preserve"> </w:t>
      </w:r>
      <w:r w:rsidRPr="001B6F34">
        <w:rPr>
          <w:rFonts w:asciiTheme="minorHAnsi" w:hAnsiTheme="minorHAnsi" w:cstheme="minorHAnsi"/>
          <w:b/>
          <w:bCs/>
          <w:sz w:val="26"/>
          <w:szCs w:val="26"/>
        </w:rPr>
        <w:t xml:space="preserve">činil v červnu tohoto </w:t>
      </w:r>
      <w:r w:rsidRPr="00E442BF">
        <w:rPr>
          <w:rFonts w:asciiTheme="minorHAnsi" w:hAnsiTheme="minorHAnsi" w:cstheme="minorHAnsi"/>
          <w:b/>
          <w:bCs/>
          <w:sz w:val="26"/>
          <w:szCs w:val="26"/>
        </w:rPr>
        <w:t>roku meziročně 116,6 %,</w:t>
      </w:r>
      <w:r w:rsidRPr="00E442BF">
        <w:rPr>
          <w:rFonts w:asciiTheme="minorHAnsi" w:hAnsiTheme="minorHAnsi" w:cstheme="minorHAnsi"/>
          <w:sz w:val="26"/>
          <w:szCs w:val="26"/>
        </w:rPr>
        <w:t xml:space="preserve"> </w:t>
      </w:r>
      <w:r w:rsidRPr="00E442BF">
        <w:rPr>
          <w:rFonts w:asciiTheme="minorHAnsi" w:hAnsiTheme="minorHAnsi" w:cstheme="minorHAnsi"/>
          <w:b/>
          <w:bCs/>
          <w:sz w:val="26"/>
          <w:szCs w:val="26"/>
        </w:rPr>
        <w:t xml:space="preserve">průměrný meziroční index za 1. pololetí 2022 dosáhl úrovně 112,6 %. V EU 27 vzrostly ceny </w:t>
      </w:r>
      <w:r w:rsidRPr="00E442BF">
        <w:rPr>
          <w:rFonts w:asciiTheme="minorHAnsi" w:hAnsiTheme="minorHAnsi" w:cstheme="minorHAnsi"/>
          <w:sz w:val="26"/>
          <w:szCs w:val="26"/>
        </w:rPr>
        <w:t xml:space="preserve">v meziročním průměru </w:t>
      </w:r>
      <w:r w:rsidRPr="00E442BF">
        <w:rPr>
          <w:rFonts w:asciiTheme="minorHAnsi" w:hAnsiTheme="minorHAnsi" w:cstheme="minorHAnsi"/>
          <w:b/>
          <w:bCs/>
          <w:sz w:val="26"/>
          <w:szCs w:val="26"/>
        </w:rPr>
        <w:t>za 1. pololetí</w:t>
      </w:r>
      <w:r w:rsidRPr="00E442BF">
        <w:rPr>
          <w:rFonts w:asciiTheme="minorHAnsi" w:hAnsiTheme="minorHAnsi" w:cstheme="minorHAnsi"/>
          <w:bCs/>
          <w:sz w:val="26"/>
          <w:szCs w:val="26"/>
        </w:rPr>
        <w:t xml:space="preserve"> </w:t>
      </w:r>
      <w:r w:rsidRPr="00E442BF">
        <w:rPr>
          <w:rFonts w:asciiTheme="minorHAnsi" w:hAnsiTheme="minorHAnsi" w:cstheme="minorHAnsi"/>
          <w:b/>
          <w:bCs/>
          <w:sz w:val="26"/>
          <w:szCs w:val="26"/>
        </w:rPr>
        <w:t>o</w:t>
      </w:r>
      <w:r w:rsidRPr="00E442BF">
        <w:rPr>
          <w:rFonts w:asciiTheme="minorHAnsi" w:hAnsiTheme="minorHAnsi" w:cstheme="minorHAnsi"/>
          <w:bCs/>
          <w:sz w:val="26"/>
          <w:szCs w:val="26"/>
        </w:rPr>
        <w:t xml:space="preserve"> </w:t>
      </w:r>
      <w:r w:rsidRPr="00E442BF">
        <w:rPr>
          <w:rFonts w:asciiTheme="minorHAnsi" w:hAnsiTheme="minorHAnsi" w:cstheme="minorHAnsi"/>
          <w:b/>
          <w:bCs/>
          <w:sz w:val="26"/>
          <w:szCs w:val="26"/>
        </w:rPr>
        <w:t>7,7 %.</w:t>
      </w:r>
      <w:r w:rsidRPr="00E442BF">
        <w:rPr>
          <w:rFonts w:asciiTheme="minorHAnsi" w:hAnsiTheme="minorHAnsi" w:cstheme="minorHAnsi"/>
          <w:bCs/>
          <w:sz w:val="26"/>
          <w:szCs w:val="26"/>
        </w:rPr>
        <w:t xml:space="preserve"> </w:t>
      </w:r>
      <w:r w:rsidRPr="00E442BF">
        <w:rPr>
          <w:rFonts w:asciiTheme="minorHAnsi" w:hAnsiTheme="minorHAnsi" w:cstheme="minorHAnsi"/>
          <w:sz w:val="26"/>
          <w:szCs w:val="26"/>
        </w:rPr>
        <w:t>Nejvyšší úroveň tohoto ukazatele vykázaly v průměru za prvních šest měsíců tohoto roku Estonsko a Litva, nejnižší růst cen naopak nastal ve Francii, Maltě a Finsku.</w:t>
      </w:r>
    </w:p>
    <w:p w14:paraId="778EA8CD" w14:textId="77777777" w:rsidR="009A555A" w:rsidRPr="00710980" w:rsidRDefault="009A555A" w:rsidP="009A555A">
      <w:pPr>
        <w:spacing w:after="360"/>
        <w:jc w:val="both"/>
        <w:rPr>
          <w:rFonts w:asciiTheme="minorHAnsi" w:hAnsiTheme="minorHAnsi"/>
          <w:b/>
          <w:bCs/>
          <w:smallCaps/>
          <w:color w:val="1F497D"/>
          <w:sz w:val="40"/>
          <w:szCs w:val="40"/>
        </w:rPr>
      </w:pPr>
      <w:r w:rsidRPr="00710980">
        <w:rPr>
          <w:rFonts w:asciiTheme="minorHAnsi" w:hAnsiTheme="minorHAnsi"/>
          <w:b/>
          <w:bCs/>
          <w:smallCaps/>
          <w:color w:val="1F497D"/>
          <w:sz w:val="40"/>
          <w:szCs w:val="40"/>
        </w:rPr>
        <w:lastRenderedPageBreak/>
        <w:t>3. Peněžní výdaje, úvěry a úspory domácností</w:t>
      </w:r>
    </w:p>
    <w:p w14:paraId="36EEA9F9" w14:textId="3E6734EC" w:rsidR="009A555A" w:rsidRPr="0032697A" w:rsidRDefault="009A555A" w:rsidP="009A555A">
      <w:pPr>
        <w:spacing w:after="360"/>
        <w:jc w:val="both"/>
        <w:rPr>
          <w:rFonts w:asciiTheme="minorHAnsi" w:hAnsiTheme="minorHAnsi"/>
          <w:b/>
          <w:bCs/>
          <w:i/>
          <w:smallCaps/>
          <w:sz w:val="36"/>
          <w:szCs w:val="36"/>
        </w:rPr>
      </w:pPr>
      <w:r w:rsidRPr="00710980">
        <w:rPr>
          <w:rFonts w:asciiTheme="minorHAnsi" w:hAnsiTheme="minorHAnsi"/>
          <w:b/>
          <w:bCs/>
          <w:i/>
          <w:smallCaps/>
          <w:color w:val="1F497D"/>
          <w:sz w:val="36"/>
          <w:szCs w:val="36"/>
        </w:rPr>
        <w:t>3.1</w:t>
      </w:r>
      <w:r w:rsidR="00F07F6D">
        <w:rPr>
          <w:rFonts w:asciiTheme="minorHAnsi" w:hAnsiTheme="minorHAnsi"/>
          <w:b/>
          <w:bCs/>
          <w:i/>
          <w:smallCaps/>
          <w:color w:val="1F497D"/>
          <w:sz w:val="36"/>
          <w:szCs w:val="36"/>
        </w:rPr>
        <w:t>.</w:t>
      </w:r>
      <w:r w:rsidRPr="00710980">
        <w:rPr>
          <w:rFonts w:asciiTheme="minorHAnsi" w:hAnsiTheme="minorHAnsi"/>
          <w:b/>
          <w:bCs/>
          <w:i/>
          <w:smallCaps/>
          <w:color w:val="1F497D"/>
          <w:sz w:val="36"/>
          <w:szCs w:val="36"/>
        </w:rPr>
        <w:t xml:space="preserve"> </w:t>
      </w:r>
      <w:r w:rsidRPr="000A49F6">
        <w:rPr>
          <w:rFonts w:asciiTheme="minorHAnsi" w:hAnsiTheme="minorHAnsi"/>
          <w:b/>
          <w:bCs/>
          <w:i/>
          <w:smallCaps/>
          <w:color w:val="1F497D"/>
          <w:sz w:val="36"/>
          <w:szCs w:val="36"/>
        </w:rPr>
        <w:t>Peněžní výdaje</w:t>
      </w:r>
    </w:p>
    <w:p w14:paraId="2D93A45C" w14:textId="77777777" w:rsidR="008B1FD8" w:rsidRPr="00A9546B" w:rsidRDefault="008B1FD8" w:rsidP="008B1FD8">
      <w:pPr>
        <w:spacing w:line="360" w:lineRule="auto"/>
        <w:jc w:val="both"/>
        <w:rPr>
          <w:rFonts w:asciiTheme="minorHAnsi" w:hAnsiTheme="minorHAnsi"/>
          <w:sz w:val="26"/>
          <w:szCs w:val="26"/>
        </w:rPr>
      </w:pPr>
      <w:r w:rsidRPr="0010356D">
        <w:rPr>
          <w:rFonts w:asciiTheme="minorHAnsi" w:hAnsiTheme="minorHAnsi"/>
          <w:sz w:val="26"/>
          <w:szCs w:val="26"/>
        </w:rPr>
        <w:tab/>
      </w:r>
      <w:bookmarkStart w:id="8" w:name="_Hlk84516578"/>
      <w:r w:rsidRPr="00A9546B">
        <w:rPr>
          <w:rFonts w:asciiTheme="minorHAnsi" w:hAnsiTheme="minorHAnsi"/>
          <w:sz w:val="26"/>
          <w:szCs w:val="26"/>
        </w:rPr>
        <w:t xml:space="preserve">Prudký cenový růst vedoucí k reálnému poklesu příjmů se na výdajích domácností projevil zejména ve 2. čtvrtletí, kdy došlo dle údajů ČSÚ vykázaných na makroúrovni k jejich zpomalení. Přesto byl nadále zaznamenán mírný reálný růst výdajů na individuální spotřebu, což bylo umožněno snížením míry úspor domácností. </w:t>
      </w:r>
    </w:p>
    <w:bookmarkEnd w:id="8"/>
    <w:p w14:paraId="1415382A" w14:textId="77777777" w:rsidR="008B1FD8" w:rsidRPr="00A9546B" w:rsidRDefault="008B1FD8" w:rsidP="008B1FD8">
      <w:pPr>
        <w:spacing w:line="360" w:lineRule="auto"/>
        <w:jc w:val="both"/>
        <w:rPr>
          <w:rFonts w:asciiTheme="minorHAnsi" w:hAnsiTheme="minorHAnsi"/>
          <w:sz w:val="26"/>
          <w:szCs w:val="26"/>
        </w:rPr>
      </w:pPr>
    </w:p>
    <w:p w14:paraId="0D185577" w14:textId="77777777" w:rsidR="008B1FD8" w:rsidRPr="00CF12BF" w:rsidRDefault="008B1FD8" w:rsidP="008B1FD8">
      <w:pPr>
        <w:spacing w:after="240" w:line="360" w:lineRule="auto"/>
        <w:jc w:val="both"/>
        <w:rPr>
          <w:rFonts w:asciiTheme="minorHAnsi" w:hAnsiTheme="minorHAnsi"/>
          <w:b/>
          <w:sz w:val="26"/>
          <w:szCs w:val="26"/>
        </w:rPr>
      </w:pPr>
      <w:r w:rsidRPr="00CF12BF">
        <w:rPr>
          <w:rFonts w:asciiTheme="minorHAnsi" w:hAnsiTheme="minorHAnsi"/>
          <w:sz w:val="26"/>
          <w:szCs w:val="26"/>
        </w:rPr>
        <w:tab/>
      </w:r>
      <w:r w:rsidRPr="00CF12BF">
        <w:rPr>
          <w:rFonts w:asciiTheme="minorHAnsi" w:hAnsiTheme="minorHAnsi"/>
          <w:b/>
          <w:sz w:val="26"/>
          <w:szCs w:val="26"/>
        </w:rPr>
        <w:t>Ve výdajích domácností</w:t>
      </w:r>
      <w:r w:rsidRPr="00CF12BF">
        <w:rPr>
          <w:rFonts w:asciiTheme="minorHAnsi" w:hAnsiTheme="minorHAnsi"/>
          <w:sz w:val="26"/>
          <w:szCs w:val="26"/>
        </w:rPr>
        <w:t xml:space="preserve"> se projevily zejména tyto </w:t>
      </w:r>
      <w:r w:rsidRPr="00CF12BF">
        <w:rPr>
          <w:rFonts w:asciiTheme="minorHAnsi" w:hAnsiTheme="minorHAnsi"/>
          <w:b/>
          <w:sz w:val="26"/>
          <w:szCs w:val="26"/>
        </w:rPr>
        <w:t>hlavní tendence:</w:t>
      </w:r>
    </w:p>
    <w:p w14:paraId="79935E2A" w14:textId="77777777" w:rsidR="008B1FD8" w:rsidRPr="00084A08" w:rsidRDefault="008B1FD8" w:rsidP="000C156C">
      <w:pPr>
        <w:numPr>
          <w:ilvl w:val="0"/>
          <w:numId w:val="44"/>
        </w:numPr>
        <w:spacing w:after="120" w:line="360" w:lineRule="auto"/>
        <w:jc w:val="both"/>
        <w:rPr>
          <w:rFonts w:asciiTheme="minorHAnsi" w:hAnsiTheme="minorHAnsi"/>
          <w:b/>
          <w:bCs/>
          <w:sz w:val="26"/>
          <w:szCs w:val="26"/>
        </w:rPr>
      </w:pPr>
      <w:r w:rsidRPr="00084A08">
        <w:rPr>
          <w:rFonts w:asciiTheme="minorHAnsi" w:hAnsiTheme="minorHAnsi"/>
          <w:b/>
          <w:sz w:val="26"/>
          <w:szCs w:val="26"/>
        </w:rPr>
        <w:t>1 520,8 m</w:t>
      </w:r>
      <w:r w:rsidRPr="00084A08">
        <w:rPr>
          <w:rFonts w:asciiTheme="minorHAnsi" w:hAnsiTheme="minorHAnsi"/>
          <w:b/>
          <w:bCs/>
          <w:sz w:val="26"/>
          <w:szCs w:val="26"/>
        </w:rPr>
        <w:t xml:space="preserve">ld. Kč vynaložil sektor domácností na výdaje spojené s individuální spotřebou </w:t>
      </w:r>
      <w:r w:rsidRPr="00084A08">
        <w:rPr>
          <w:rFonts w:asciiTheme="minorHAnsi" w:hAnsiTheme="minorHAnsi"/>
          <w:bCs/>
          <w:sz w:val="26"/>
          <w:szCs w:val="26"/>
        </w:rPr>
        <w:t>(</w:t>
      </w:r>
      <w:r w:rsidRPr="00084A08">
        <w:rPr>
          <w:rFonts w:asciiTheme="minorHAnsi" w:hAnsiTheme="minorHAnsi"/>
          <w:sz w:val="26"/>
          <w:szCs w:val="26"/>
        </w:rPr>
        <w:t>bylo to o 18,8 % více než o rok dříve)</w:t>
      </w:r>
      <w:r w:rsidRPr="00084A08">
        <w:rPr>
          <w:rFonts w:asciiTheme="minorHAnsi" w:hAnsiTheme="minorHAnsi"/>
          <w:bCs/>
          <w:sz w:val="26"/>
          <w:szCs w:val="26"/>
        </w:rPr>
        <w:t>;</w:t>
      </w:r>
      <w:r w:rsidRPr="00084A08">
        <w:rPr>
          <w:rFonts w:asciiTheme="minorHAnsi" w:hAnsiTheme="minorHAnsi"/>
          <w:sz w:val="26"/>
          <w:szCs w:val="26"/>
        </w:rPr>
        <w:t xml:space="preserve"> </w:t>
      </w:r>
      <w:r w:rsidRPr="00084A08">
        <w:rPr>
          <w:rFonts w:asciiTheme="minorHAnsi" w:hAnsiTheme="minorHAnsi"/>
          <w:b/>
          <w:sz w:val="26"/>
          <w:szCs w:val="26"/>
        </w:rPr>
        <w:t>domácnosti</w:t>
      </w:r>
      <w:r w:rsidRPr="00084A08">
        <w:rPr>
          <w:rFonts w:asciiTheme="minorHAnsi" w:hAnsiTheme="minorHAnsi"/>
          <w:sz w:val="26"/>
          <w:szCs w:val="26"/>
        </w:rPr>
        <w:t xml:space="preserve"> tak </w:t>
      </w:r>
      <w:r w:rsidRPr="00084A08">
        <w:rPr>
          <w:rFonts w:asciiTheme="minorHAnsi" w:hAnsiTheme="minorHAnsi"/>
          <w:b/>
          <w:sz w:val="26"/>
          <w:szCs w:val="26"/>
        </w:rPr>
        <w:t xml:space="preserve">vydaly </w:t>
      </w:r>
      <w:r w:rsidRPr="00084A08">
        <w:rPr>
          <w:rFonts w:asciiTheme="minorHAnsi" w:hAnsiTheme="minorHAnsi"/>
          <w:sz w:val="26"/>
          <w:szCs w:val="26"/>
        </w:rPr>
        <w:t xml:space="preserve">nominálně </w:t>
      </w:r>
      <w:r w:rsidRPr="00084A08">
        <w:rPr>
          <w:rFonts w:asciiTheme="minorHAnsi" w:hAnsiTheme="minorHAnsi"/>
          <w:b/>
          <w:sz w:val="26"/>
          <w:szCs w:val="26"/>
        </w:rPr>
        <w:t>o 240,9 mld. Kč</w:t>
      </w:r>
      <w:r w:rsidRPr="00084A08">
        <w:rPr>
          <w:rFonts w:asciiTheme="minorHAnsi" w:hAnsiTheme="minorHAnsi"/>
          <w:sz w:val="26"/>
          <w:szCs w:val="26"/>
        </w:rPr>
        <w:t xml:space="preserve"> </w:t>
      </w:r>
      <w:r w:rsidRPr="00084A08">
        <w:rPr>
          <w:rFonts w:asciiTheme="minorHAnsi" w:hAnsiTheme="minorHAnsi"/>
          <w:b/>
          <w:sz w:val="26"/>
          <w:szCs w:val="26"/>
        </w:rPr>
        <w:t>více za zboží a služby,</w:t>
      </w:r>
      <w:r w:rsidRPr="00084A08">
        <w:rPr>
          <w:rFonts w:asciiTheme="minorHAnsi" w:hAnsiTheme="minorHAnsi"/>
          <w:sz w:val="26"/>
          <w:szCs w:val="26"/>
        </w:rPr>
        <w:t xml:space="preserve"> reálně – po zohlednění cenové inflace – to však bylo </w:t>
      </w:r>
      <w:r>
        <w:rPr>
          <w:rFonts w:asciiTheme="minorHAnsi" w:hAnsiTheme="minorHAnsi"/>
          <w:sz w:val="26"/>
          <w:szCs w:val="26"/>
        </w:rPr>
        <w:t>jen</w:t>
      </w:r>
      <w:r w:rsidRPr="00084A08">
        <w:rPr>
          <w:rFonts w:asciiTheme="minorHAnsi" w:hAnsiTheme="minorHAnsi"/>
          <w:sz w:val="26"/>
          <w:szCs w:val="26"/>
        </w:rPr>
        <w:t xml:space="preserve"> o cca 60 mld. Kč více než před rokem,</w:t>
      </w:r>
    </w:p>
    <w:p w14:paraId="25906A58" w14:textId="77777777" w:rsidR="008B1FD8" w:rsidRPr="00302980" w:rsidRDefault="008B1FD8" w:rsidP="000C156C">
      <w:pPr>
        <w:numPr>
          <w:ilvl w:val="0"/>
          <w:numId w:val="44"/>
        </w:numPr>
        <w:spacing w:after="120" w:line="360" w:lineRule="auto"/>
        <w:jc w:val="both"/>
        <w:rPr>
          <w:rFonts w:asciiTheme="minorHAnsi" w:hAnsiTheme="minorHAnsi"/>
          <w:b/>
          <w:bCs/>
          <w:sz w:val="26"/>
          <w:szCs w:val="26"/>
        </w:rPr>
      </w:pPr>
      <w:r w:rsidRPr="00302980">
        <w:rPr>
          <w:rFonts w:asciiTheme="minorHAnsi" w:hAnsiTheme="minorHAnsi"/>
          <w:b/>
          <w:bCs/>
          <w:sz w:val="26"/>
          <w:szCs w:val="26"/>
        </w:rPr>
        <w:t xml:space="preserve">míra úspor </w:t>
      </w:r>
      <w:r w:rsidRPr="00302980">
        <w:rPr>
          <w:rFonts w:asciiTheme="minorHAnsi" w:hAnsiTheme="minorHAnsi"/>
          <w:bCs/>
          <w:sz w:val="26"/>
          <w:szCs w:val="26"/>
        </w:rPr>
        <w:t xml:space="preserve">domácností </w:t>
      </w:r>
      <w:r w:rsidRPr="00302980">
        <w:rPr>
          <w:rFonts w:asciiTheme="minorHAnsi" w:hAnsiTheme="minorHAnsi"/>
          <w:b/>
          <w:bCs/>
          <w:sz w:val="26"/>
          <w:szCs w:val="26"/>
        </w:rPr>
        <w:t>činila</w:t>
      </w:r>
      <w:r w:rsidRPr="00302980">
        <w:rPr>
          <w:rFonts w:asciiTheme="minorHAnsi" w:hAnsiTheme="minorHAnsi"/>
          <w:bCs/>
          <w:sz w:val="26"/>
          <w:szCs w:val="26"/>
        </w:rPr>
        <w:t xml:space="preserve"> dle ČSÚ za prvních šest měsíců tohoto roku </w:t>
      </w:r>
      <w:r w:rsidRPr="00302980">
        <w:rPr>
          <w:rFonts w:asciiTheme="minorHAnsi" w:hAnsiTheme="minorHAnsi"/>
          <w:b/>
          <w:bCs/>
          <w:sz w:val="26"/>
          <w:szCs w:val="26"/>
        </w:rPr>
        <w:t>14,2 %</w:t>
      </w:r>
      <w:r w:rsidRPr="00302980">
        <w:rPr>
          <w:rFonts w:asciiTheme="minorHAnsi" w:hAnsiTheme="minorHAnsi"/>
          <w:bCs/>
          <w:sz w:val="26"/>
          <w:szCs w:val="26"/>
        </w:rPr>
        <w:t xml:space="preserve"> a byla tak nižší oproti první polovině roku 2021 o 7,2 p. b. Vybrané údaje ze statistiky národních účtů jsou uvedeny v tabulce č. 1 v příloze,</w:t>
      </w:r>
    </w:p>
    <w:p w14:paraId="304C79D4" w14:textId="77777777" w:rsidR="008B1FD8" w:rsidRPr="00587878" w:rsidRDefault="008B1FD8" w:rsidP="000C156C">
      <w:pPr>
        <w:numPr>
          <w:ilvl w:val="0"/>
          <w:numId w:val="44"/>
        </w:numPr>
        <w:spacing w:after="120" w:line="360" w:lineRule="auto"/>
        <w:jc w:val="both"/>
        <w:rPr>
          <w:rFonts w:asciiTheme="minorHAnsi" w:hAnsiTheme="minorHAnsi"/>
          <w:sz w:val="26"/>
          <w:szCs w:val="26"/>
        </w:rPr>
      </w:pPr>
      <w:r w:rsidRPr="00587878">
        <w:rPr>
          <w:rFonts w:asciiTheme="minorHAnsi" w:hAnsiTheme="minorHAnsi"/>
          <w:sz w:val="26"/>
          <w:szCs w:val="26"/>
        </w:rPr>
        <w:t xml:space="preserve">na základě údajů ČSÚ ze čtvrtletních sektorových účtů byla dynamika vývoje průměrné reálné měsíční spotřeby na obyvatele celkově v průběhu prvního pololetí 2022 rostoucí, ale zatímco </w:t>
      </w:r>
      <w:r>
        <w:rPr>
          <w:rFonts w:asciiTheme="minorHAnsi" w:hAnsiTheme="minorHAnsi"/>
          <w:sz w:val="26"/>
          <w:szCs w:val="26"/>
        </w:rPr>
        <w:t xml:space="preserve">se </w:t>
      </w:r>
      <w:r w:rsidRPr="00587878">
        <w:rPr>
          <w:rFonts w:asciiTheme="minorHAnsi" w:hAnsiTheme="minorHAnsi"/>
          <w:sz w:val="26"/>
          <w:szCs w:val="26"/>
        </w:rPr>
        <w:t xml:space="preserve">sezónně neočištěná </w:t>
      </w:r>
      <w:r w:rsidRPr="00587878">
        <w:rPr>
          <w:rFonts w:asciiTheme="minorHAnsi" w:hAnsiTheme="minorHAnsi"/>
          <w:b/>
          <w:sz w:val="26"/>
          <w:szCs w:val="26"/>
        </w:rPr>
        <w:t xml:space="preserve">reálná spotřeba v 1. čtvrtletí </w:t>
      </w:r>
      <w:r w:rsidRPr="0080146E">
        <w:rPr>
          <w:rFonts w:asciiTheme="minorHAnsi" w:hAnsiTheme="minorHAnsi"/>
          <w:b/>
          <w:sz w:val="26"/>
          <w:szCs w:val="26"/>
        </w:rPr>
        <w:t>meziročně zvýšila o 7,1 %, tak ve 2. čtvrtletí již nárůst činil pouze 0,9 %</w:t>
      </w:r>
      <w:r w:rsidRPr="0080146E">
        <w:rPr>
          <w:rFonts w:asciiTheme="minorHAnsi" w:hAnsiTheme="minorHAnsi"/>
          <w:sz w:val="26"/>
          <w:szCs w:val="26"/>
        </w:rPr>
        <w:t xml:space="preserve"> </w:t>
      </w:r>
      <w:r w:rsidRPr="00587878">
        <w:rPr>
          <w:rFonts w:asciiTheme="minorHAnsi" w:hAnsiTheme="minorHAnsi"/>
          <w:sz w:val="26"/>
          <w:szCs w:val="26"/>
        </w:rPr>
        <w:t>(na 28 675 Kč, resp. 31 089 Kč),</w:t>
      </w:r>
    </w:p>
    <w:p w14:paraId="00EA74EA" w14:textId="77777777" w:rsidR="008B1FD8" w:rsidRPr="00587878" w:rsidRDefault="008B1FD8" w:rsidP="000C156C">
      <w:pPr>
        <w:numPr>
          <w:ilvl w:val="0"/>
          <w:numId w:val="44"/>
        </w:numPr>
        <w:spacing w:after="120" w:line="360" w:lineRule="auto"/>
        <w:jc w:val="both"/>
        <w:rPr>
          <w:rFonts w:asciiTheme="minorHAnsi" w:hAnsiTheme="minorHAnsi"/>
          <w:sz w:val="26"/>
          <w:szCs w:val="26"/>
        </w:rPr>
      </w:pPr>
      <w:r w:rsidRPr="00587878">
        <w:rPr>
          <w:rFonts w:asciiTheme="minorHAnsi" w:hAnsiTheme="minorHAnsi"/>
          <w:b/>
          <w:sz w:val="26"/>
          <w:szCs w:val="26"/>
        </w:rPr>
        <w:t xml:space="preserve">míra investic domácností </w:t>
      </w:r>
      <w:r w:rsidRPr="00587878">
        <w:rPr>
          <w:rFonts w:asciiTheme="minorHAnsi" w:hAnsiTheme="minorHAnsi"/>
          <w:sz w:val="26"/>
          <w:szCs w:val="26"/>
        </w:rPr>
        <w:t xml:space="preserve">(jako podíl k hrubému disponibilnímu důchodu) byla celkově v prvním pololetí 2022 mírně vyšší než ve stejném období předchozího roku a </w:t>
      </w:r>
      <w:r w:rsidRPr="00587878">
        <w:rPr>
          <w:rFonts w:asciiTheme="minorHAnsi" w:hAnsiTheme="minorHAnsi"/>
          <w:b/>
          <w:sz w:val="26"/>
          <w:szCs w:val="26"/>
        </w:rPr>
        <w:t>činila v 1. čtvrtletí 8,9 % a ve 2. čtvrtletí 10,0 %</w:t>
      </w:r>
      <w:r w:rsidRPr="00587878">
        <w:rPr>
          <w:rFonts w:asciiTheme="minorHAnsi" w:hAnsiTheme="minorHAnsi"/>
          <w:sz w:val="26"/>
          <w:szCs w:val="26"/>
        </w:rPr>
        <w:t xml:space="preserve"> (sezónně neočištěné údaje). </w:t>
      </w:r>
    </w:p>
    <w:p w14:paraId="3D93DFA4" w14:textId="77777777" w:rsidR="008B1FD8" w:rsidRPr="00587878" w:rsidRDefault="008B1FD8" w:rsidP="008B1FD8">
      <w:pPr>
        <w:spacing w:line="360" w:lineRule="auto"/>
        <w:jc w:val="both"/>
        <w:rPr>
          <w:rFonts w:asciiTheme="minorHAnsi" w:hAnsiTheme="minorHAnsi"/>
          <w:b/>
          <w:bCs/>
          <w:i/>
          <w:sz w:val="26"/>
          <w:szCs w:val="26"/>
        </w:rPr>
      </w:pPr>
      <w:r w:rsidRPr="00587878">
        <w:rPr>
          <w:rFonts w:asciiTheme="minorHAnsi" w:hAnsiTheme="minorHAnsi"/>
          <w:b/>
          <w:bCs/>
          <w:i/>
          <w:sz w:val="26"/>
          <w:szCs w:val="26"/>
        </w:rPr>
        <w:br w:type="page"/>
      </w:r>
    </w:p>
    <w:p w14:paraId="6CF77DFA" w14:textId="5E4F57BD" w:rsidR="008B1FD8" w:rsidRPr="00464488" w:rsidRDefault="008B1FD8" w:rsidP="008B1FD8">
      <w:pPr>
        <w:jc w:val="both"/>
        <w:rPr>
          <w:rFonts w:asciiTheme="minorHAnsi" w:hAnsiTheme="minorHAnsi"/>
          <w:b/>
          <w:bCs/>
          <w:smallCaps/>
          <w:color w:val="1F497D"/>
          <w:sz w:val="36"/>
          <w:szCs w:val="36"/>
        </w:rPr>
      </w:pPr>
      <w:r w:rsidRPr="00464488">
        <w:rPr>
          <w:rFonts w:asciiTheme="minorHAnsi" w:hAnsiTheme="minorHAnsi"/>
          <w:b/>
          <w:bCs/>
          <w:i/>
          <w:smallCaps/>
          <w:color w:val="1F497D"/>
          <w:sz w:val="36"/>
          <w:szCs w:val="36"/>
        </w:rPr>
        <w:lastRenderedPageBreak/>
        <w:t>3.2</w:t>
      </w:r>
      <w:r w:rsidR="00D15492">
        <w:rPr>
          <w:rFonts w:asciiTheme="minorHAnsi" w:hAnsiTheme="minorHAnsi"/>
          <w:b/>
          <w:bCs/>
          <w:i/>
          <w:smallCaps/>
          <w:color w:val="1F497D"/>
          <w:sz w:val="36"/>
          <w:szCs w:val="36"/>
        </w:rPr>
        <w:t>.</w:t>
      </w:r>
      <w:r w:rsidRPr="00464488">
        <w:rPr>
          <w:rFonts w:asciiTheme="minorHAnsi" w:hAnsiTheme="minorHAnsi"/>
          <w:b/>
          <w:bCs/>
          <w:i/>
          <w:smallCaps/>
          <w:color w:val="1F497D"/>
          <w:sz w:val="36"/>
          <w:szCs w:val="36"/>
        </w:rPr>
        <w:t xml:space="preserve"> Peněžní úvěry, půjčky</w:t>
      </w:r>
    </w:p>
    <w:p w14:paraId="6DA8DE99" w14:textId="77777777" w:rsidR="008B1FD8" w:rsidRPr="00D951DA" w:rsidRDefault="008B1FD8" w:rsidP="008B1FD8">
      <w:pPr>
        <w:jc w:val="both"/>
        <w:rPr>
          <w:rFonts w:asciiTheme="minorHAnsi" w:hAnsiTheme="minorHAnsi"/>
          <w:sz w:val="26"/>
          <w:szCs w:val="26"/>
        </w:rPr>
      </w:pPr>
    </w:p>
    <w:p w14:paraId="02707A50" w14:textId="77777777" w:rsidR="008B1FD8" w:rsidRPr="00B256C5" w:rsidRDefault="008B1FD8" w:rsidP="008B1FD8">
      <w:pPr>
        <w:spacing w:after="120" w:line="360" w:lineRule="auto"/>
        <w:jc w:val="both"/>
        <w:rPr>
          <w:rFonts w:asciiTheme="minorHAnsi" w:hAnsiTheme="minorHAnsi"/>
          <w:sz w:val="26"/>
          <w:szCs w:val="26"/>
        </w:rPr>
      </w:pPr>
      <w:r w:rsidRPr="00B256C5">
        <w:rPr>
          <w:rFonts w:asciiTheme="minorHAnsi" w:hAnsiTheme="minorHAnsi"/>
          <w:sz w:val="26"/>
          <w:szCs w:val="26"/>
        </w:rPr>
        <w:tab/>
      </w:r>
      <w:r w:rsidRPr="00B256C5">
        <w:rPr>
          <w:rFonts w:asciiTheme="minorHAnsi" w:hAnsiTheme="minorHAnsi"/>
          <w:bCs/>
          <w:sz w:val="26"/>
          <w:szCs w:val="26"/>
        </w:rPr>
        <w:t>P</w:t>
      </w:r>
      <w:r w:rsidRPr="00B256C5">
        <w:rPr>
          <w:rFonts w:asciiTheme="minorHAnsi" w:hAnsiTheme="minorHAnsi"/>
          <w:sz w:val="26"/>
          <w:szCs w:val="26"/>
        </w:rPr>
        <w:t xml:space="preserve">odle údajů ČNB činil k 30. 6. 2022 </w:t>
      </w:r>
      <w:r w:rsidRPr="00B256C5">
        <w:rPr>
          <w:rFonts w:asciiTheme="minorHAnsi" w:hAnsiTheme="minorHAnsi"/>
          <w:b/>
          <w:bCs/>
          <w:sz w:val="26"/>
          <w:szCs w:val="26"/>
        </w:rPr>
        <w:t xml:space="preserve">úhrnný objem bankovních půjček domácností </w:t>
      </w:r>
      <w:r w:rsidRPr="00B256C5">
        <w:rPr>
          <w:rFonts w:asciiTheme="minorHAnsi" w:hAnsiTheme="minorHAnsi"/>
          <w:sz w:val="26"/>
          <w:szCs w:val="26"/>
        </w:rPr>
        <w:t xml:space="preserve">evidovaných u peněžních ústavů </w:t>
      </w:r>
      <w:r w:rsidRPr="00B256C5">
        <w:rPr>
          <w:rFonts w:asciiTheme="minorHAnsi" w:hAnsiTheme="minorHAnsi"/>
          <w:b/>
          <w:sz w:val="26"/>
          <w:szCs w:val="26"/>
        </w:rPr>
        <w:t>2 099,6 </w:t>
      </w:r>
      <w:r w:rsidRPr="00B256C5">
        <w:rPr>
          <w:rFonts w:asciiTheme="minorHAnsi" w:hAnsiTheme="minorHAnsi"/>
          <w:b/>
          <w:bCs/>
          <w:sz w:val="26"/>
          <w:szCs w:val="26"/>
        </w:rPr>
        <w:t>mld. Kč,</w:t>
      </w:r>
      <w:r w:rsidRPr="00B256C5">
        <w:rPr>
          <w:rFonts w:asciiTheme="minorHAnsi" w:hAnsiTheme="minorHAnsi"/>
          <w:sz w:val="26"/>
          <w:szCs w:val="26"/>
        </w:rPr>
        <w:t xml:space="preserve"> </w:t>
      </w:r>
      <w:r w:rsidRPr="00B256C5">
        <w:rPr>
          <w:rFonts w:asciiTheme="minorHAnsi" w:hAnsiTheme="minorHAnsi"/>
          <w:b/>
          <w:bCs/>
          <w:sz w:val="26"/>
          <w:szCs w:val="26"/>
        </w:rPr>
        <w:t>což bylo</w:t>
      </w:r>
      <w:r w:rsidRPr="00B256C5">
        <w:rPr>
          <w:rFonts w:asciiTheme="minorHAnsi" w:hAnsiTheme="minorHAnsi"/>
          <w:sz w:val="26"/>
          <w:szCs w:val="26"/>
        </w:rPr>
        <w:t xml:space="preserve"> </w:t>
      </w:r>
      <w:r w:rsidRPr="00B256C5">
        <w:rPr>
          <w:rFonts w:asciiTheme="minorHAnsi" w:hAnsiTheme="minorHAnsi"/>
          <w:b/>
          <w:bCs/>
          <w:sz w:val="26"/>
          <w:szCs w:val="26"/>
        </w:rPr>
        <w:t xml:space="preserve">o 160,4 mld. Kč více než ke stejnému dni předchozího roku. </w:t>
      </w:r>
      <w:r w:rsidRPr="00B256C5">
        <w:rPr>
          <w:rFonts w:asciiTheme="minorHAnsi" w:hAnsiTheme="minorHAnsi"/>
          <w:bCs/>
          <w:sz w:val="26"/>
          <w:szCs w:val="26"/>
        </w:rPr>
        <w:t>Nadále výrazně převažovaly půjčky na bydlení,</w:t>
      </w:r>
      <w:r w:rsidRPr="006C263C">
        <w:rPr>
          <w:rFonts w:asciiTheme="minorHAnsi" w:hAnsiTheme="minorHAnsi"/>
          <w:bCs/>
          <w:sz w:val="26"/>
          <w:szCs w:val="26"/>
        </w:rPr>
        <w:t xml:space="preserve"> byť tempo jejich růstu ve druhém čtvrtletí </w:t>
      </w:r>
      <w:r>
        <w:rPr>
          <w:rFonts w:asciiTheme="minorHAnsi" w:hAnsiTheme="minorHAnsi"/>
          <w:bCs/>
          <w:sz w:val="26"/>
          <w:szCs w:val="26"/>
        </w:rPr>
        <w:t>začalo zpomalovat</w:t>
      </w:r>
      <w:r w:rsidRPr="006C263C">
        <w:rPr>
          <w:rFonts w:asciiTheme="minorHAnsi" w:hAnsiTheme="minorHAnsi"/>
          <w:bCs/>
          <w:sz w:val="26"/>
          <w:szCs w:val="26"/>
        </w:rPr>
        <w:t>.</w:t>
      </w:r>
      <w:r w:rsidRPr="006C263C">
        <w:rPr>
          <w:rFonts w:asciiTheme="minorHAnsi" w:hAnsiTheme="minorHAnsi"/>
          <w:b/>
          <w:bCs/>
          <w:sz w:val="26"/>
          <w:szCs w:val="26"/>
        </w:rPr>
        <w:t xml:space="preserve"> </w:t>
      </w:r>
      <w:r w:rsidRPr="00B256C5">
        <w:rPr>
          <w:rFonts w:asciiTheme="minorHAnsi" w:hAnsiTheme="minorHAnsi"/>
          <w:b/>
          <w:bCs/>
          <w:sz w:val="26"/>
          <w:szCs w:val="26"/>
        </w:rPr>
        <w:t>Sledovaný ukazatel celkového objemu úvěrů od začátku roku 2022 narostl o 52,9 mld. Kč</w:t>
      </w:r>
      <w:r>
        <w:rPr>
          <w:rFonts w:asciiTheme="minorHAnsi" w:hAnsiTheme="minorHAnsi"/>
          <w:b/>
          <w:bCs/>
          <w:sz w:val="26"/>
          <w:szCs w:val="26"/>
        </w:rPr>
        <w:br/>
      </w:r>
      <w:r w:rsidRPr="00B256C5">
        <w:rPr>
          <w:rFonts w:asciiTheme="minorHAnsi" w:hAnsiTheme="minorHAnsi"/>
          <w:sz w:val="26"/>
          <w:szCs w:val="26"/>
        </w:rPr>
        <w:t>– viz</w:t>
      </w:r>
      <w:r>
        <w:rPr>
          <w:rFonts w:asciiTheme="minorHAnsi" w:hAnsiTheme="minorHAnsi"/>
          <w:sz w:val="26"/>
          <w:szCs w:val="26"/>
        </w:rPr>
        <w:t xml:space="preserve"> </w:t>
      </w:r>
      <w:r w:rsidRPr="00B256C5">
        <w:rPr>
          <w:rFonts w:asciiTheme="minorHAnsi" w:hAnsiTheme="minorHAnsi"/>
          <w:bCs/>
          <w:sz w:val="26"/>
          <w:szCs w:val="26"/>
        </w:rPr>
        <w:t>tabulku č. 24 v příloze</w:t>
      </w:r>
      <w:r w:rsidRPr="00B256C5">
        <w:rPr>
          <w:rFonts w:asciiTheme="minorHAnsi" w:hAnsiTheme="minorHAnsi"/>
          <w:sz w:val="26"/>
          <w:szCs w:val="26"/>
        </w:rPr>
        <w:t>.</w:t>
      </w:r>
    </w:p>
    <w:p w14:paraId="301103BD" w14:textId="77777777" w:rsidR="008B1FD8" w:rsidRPr="00BE2CE1" w:rsidRDefault="008B1FD8" w:rsidP="008B1FD8">
      <w:pPr>
        <w:spacing w:line="360" w:lineRule="auto"/>
        <w:jc w:val="both"/>
        <w:rPr>
          <w:rFonts w:asciiTheme="minorHAnsi" w:hAnsiTheme="minorHAnsi"/>
          <w:b/>
          <w:bCs/>
          <w:sz w:val="26"/>
          <w:szCs w:val="26"/>
        </w:rPr>
      </w:pPr>
      <w:r>
        <w:rPr>
          <w:rFonts w:asciiTheme="minorHAnsi" w:hAnsiTheme="minorHAnsi"/>
          <w:b/>
          <w:bCs/>
          <w:noProof/>
          <w:sz w:val="26"/>
          <w:szCs w:val="26"/>
        </w:rPr>
        <w:drawing>
          <wp:inline distT="0" distB="0" distL="0" distR="0" wp14:anchorId="013E9C66" wp14:editId="5A02AF0C">
            <wp:extent cx="5773420" cy="330454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3420" cy="3304540"/>
                    </a:xfrm>
                    <a:prstGeom prst="rect">
                      <a:avLst/>
                    </a:prstGeom>
                    <a:noFill/>
                  </pic:spPr>
                </pic:pic>
              </a:graphicData>
            </a:graphic>
          </wp:inline>
        </w:drawing>
      </w:r>
    </w:p>
    <w:p w14:paraId="17C937BE" w14:textId="77777777" w:rsidR="008B1FD8" w:rsidRPr="00BE2CE1" w:rsidRDefault="008B1FD8" w:rsidP="008B1FD8">
      <w:pPr>
        <w:jc w:val="both"/>
        <w:rPr>
          <w:rFonts w:asciiTheme="minorHAnsi" w:hAnsiTheme="minorHAnsi"/>
          <w:sz w:val="22"/>
          <w:szCs w:val="22"/>
        </w:rPr>
      </w:pPr>
      <w:r w:rsidRPr="00BE2CE1">
        <w:rPr>
          <w:rFonts w:asciiTheme="minorHAnsi" w:hAnsiTheme="minorHAnsi"/>
          <w:sz w:val="22"/>
          <w:szCs w:val="22"/>
        </w:rPr>
        <w:t>Zpracováno z údajů ČNB</w:t>
      </w:r>
    </w:p>
    <w:p w14:paraId="1D6C227B" w14:textId="77777777" w:rsidR="008B1FD8" w:rsidRPr="004F34F0" w:rsidRDefault="008B1FD8" w:rsidP="008B1FD8">
      <w:pPr>
        <w:jc w:val="both"/>
        <w:rPr>
          <w:rFonts w:asciiTheme="minorHAnsi" w:hAnsiTheme="minorHAnsi"/>
          <w:sz w:val="22"/>
          <w:szCs w:val="22"/>
        </w:rPr>
      </w:pPr>
      <w:r w:rsidRPr="00BE2CE1">
        <w:rPr>
          <w:rFonts w:asciiTheme="minorHAnsi" w:hAnsiTheme="minorHAnsi"/>
          <w:sz w:val="22"/>
          <w:szCs w:val="22"/>
        </w:rPr>
        <w:t xml:space="preserve">* Definována jako mezičtvrtletní pokles sezónně očištěného reálného HDP v alespoň dvou po sobě </w:t>
      </w:r>
      <w:r w:rsidRPr="004F34F0">
        <w:rPr>
          <w:rFonts w:asciiTheme="minorHAnsi" w:hAnsiTheme="minorHAnsi"/>
          <w:sz w:val="22"/>
          <w:szCs w:val="22"/>
        </w:rPr>
        <w:t>následujících čtvrtletích.</w:t>
      </w:r>
    </w:p>
    <w:p w14:paraId="587393D6" w14:textId="77777777" w:rsidR="008B1FD8" w:rsidRPr="00A9546B" w:rsidRDefault="008B1FD8" w:rsidP="008B1FD8">
      <w:pPr>
        <w:jc w:val="both"/>
        <w:rPr>
          <w:rFonts w:asciiTheme="minorHAnsi" w:hAnsiTheme="minorHAnsi"/>
          <w:sz w:val="26"/>
          <w:szCs w:val="26"/>
        </w:rPr>
      </w:pPr>
    </w:p>
    <w:p w14:paraId="64FB59B3" w14:textId="0808B7D9" w:rsidR="008B1FD8" w:rsidRPr="00A9546B" w:rsidRDefault="008B1FD8" w:rsidP="008B1FD8">
      <w:pPr>
        <w:spacing w:after="60" w:line="360" w:lineRule="auto"/>
        <w:jc w:val="both"/>
        <w:rPr>
          <w:rFonts w:asciiTheme="minorHAnsi" w:hAnsiTheme="minorHAnsi"/>
          <w:bCs/>
          <w:sz w:val="26"/>
          <w:szCs w:val="26"/>
        </w:rPr>
      </w:pPr>
      <w:r w:rsidRPr="00B256C5">
        <w:rPr>
          <w:rFonts w:asciiTheme="minorHAnsi" w:hAnsiTheme="minorHAnsi"/>
          <w:b/>
          <w:bCs/>
          <w:sz w:val="26"/>
          <w:szCs w:val="26"/>
        </w:rPr>
        <w:tab/>
        <w:t>Rozhodující část</w:t>
      </w:r>
      <w:r w:rsidRPr="00B256C5">
        <w:rPr>
          <w:rFonts w:asciiTheme="minorHAnsi" w:hAnsiTheme="minorHAnsi"/>
          <w:sz w:val="26"/>
          <w:szCs w:val="26"/>
        </w:rPr>
        <w:t xml:space="preserve"> meziročního </w:t>
      </w:r>
      <w:r w:rsidRPr="00B256C5">
        <w:rPr>
          <w:rFonts w:asciiTheme="minorHAnsi" w:hAnsiTheme="minorHAnsi"/>
          <w:b/>
          <w:bCs/>
          <w:sz w:val="26"/>
          <w:szCs w:val="26"/>
        </w:rPr>
        <w:t xml:space="preserve">vzestupu celkového objemu </w:t>
      </w:r>
      <w:r w:rsidRPr="00B256C5">
        <w:rPr>
          <w:rFonts w:asciiTheme="minorHAnsi" w:hAnsiTheme="minorHAnsi"/>
          <w:sz w:val="26"/>
          <w:szCs w:val="26"/>
        </w:rPr>
        <w:t xml:space="preserve">bankovních peněžních </w:t>
      </w:r>
      <w:r w:rsidRPr="00B256C5">
        <w:rPr>
          <w:rFonts w:asciiTheme="minorHAnsi" w:hAnsiTheme="minorHAnsi"/>
          <w:b/>
          <w:bCs/>
          <w:sz w:val="26"/>
          <w:szCs w:val="26"/>
        </w:rPr>
        <w:t>půjček</w:t>
      </w:r>
      <w:r w:rsidRPr="00B256C5">
        <w:rPr>
          <w:rFonts w:asciiTheme="minorHAnsi" w:hAnsiTheme="minorHAnsi"/>
          <w:sz w:val="26"/>
          <w:szCs w:val="26"/>
        </w:rPr>
        <w:t xml:space="preserve"> </w:t>
      </w:r>
      <w:r w:rsidRPr="00B256C5">
        <w:rPr>
          <w:rFonts w:asciiTheme="minorHAnsi" w:hAnsiTheme="minorHAnsi"/>
          <w:b/>
          <w:bCs/>
          <w:sz w:val="26"/>
          <w:szCs w:val="26"/>
        </w:rPr>
        <w:t xml:space="preserve">představovaly, </w:t>
      </w:r>
      <w:r w:rsidRPr="006D7331">
        <w:rPr>
          <w:rFonts w:asciiTheme="minorHAnsi" w:hAnsiTheme="minorHAnsi"/>
          <w:sz w:val="26"/>
          <w:szCs w:val="26"/>
        </w:rPr>
        <w:t>stejně jako v předcházejících letech,</w:t>
      </w:r>
      <w:r w:rsidRPr="00B256C5">
        <w:rPr>
          <w:rFonts w:asciiTheme="minorHAnsi" w:hAnsiTheme="minorHAnsi"/>
          <w:b/>
          <w:bCs/>
          <w:sz w:val="26"/>
          <w:szCs w:val="26"/>
        </w:rPr>
        <w:t xml:space="preserve"> </w:t>
      </w:r>
      <w:r w:rsidRPr="00B256C5">
        <w:rPr>
          <w:rFonts w:asciiTheme="minorHAnsi" w:hAnsiTheme="minorHAnsi"/>
          <w:sz w:val="26"/>
          <w:szCs w:val="26"/>
        </w:rPr>
        <w:t>hypoteční a jiné</w:t>
      </w:r>
      <w:r w:rsidRPr="00B256C5">
        <w:rPr>
          <w:rFonts w:asciiTheme="minorHAnsi" w:hAnsiTheme="minorHAnsi"/>
          <w:b/>
          <w:bCs/>
          <w:sz w:val="26"/>
          <w:szCs w:val="26"/>
        </w:rPr>
        <w:t xml:space="preserve"> úvěry na bydlení </w:t>
      </w:r>
      <w:r w:rsidRPr="00B256C5">
        <w:rPr>
          <w:rFonts w:asciiTheme="minorHAnsi" w:hAnsiTheme="minorHAnsi"/>
          <w:bCs/>
          <w:sz w:val="26"/>
          <w:szCs w:val="26"/>
        </w:rPr>
        <w:t>(1 638,0 mld. Kč),</w:t>
      </w:r>
      <w:r w:rsidRPr="00B256C5">
        <w:rPr>
          <w:rFonts w:asciiTheme="minorHAnsi" w:hAnsiTheme="minorHAnsi"/>
          <w:sz w:val="26"/>
          <w:szCs w:val="26"/>
        </w:rPr>
        <w:t xml:space="preserve"> přičemž samotný </w:t>
      </w:r>
      <w:r w:rsidRPr="00B256C5">
        <w:rPr>
          <w:rFonts w:asciiTheme="minorHAnsi" w:hAnsiTheme="minorHAnsi"/>
          <w:b/>
          <w:bCs/>
          <w:sz w:val="26"/>
          <w:szCs w:val="26"/>
        </w:rPr>
        <w:t xml:space="preserve">objem hypotečních úvěrů se oproti stejnému období minulého roku zvýšil o 131,0 mld. Kč </w:t>
      </w:r>
      <w:r w:rsidRPr="00B256C5">
        <w:rPr>
          <w:rFonts w:asciiTheme="minorHAnsi" w:hAnsiTheme="minorHAnsi"/>
          <w:bCs/>
          <w:sz w:val="26"/>
          <w:szCs w:val="26"/>
        </w:rPr>
        <w:t xml:space="preserve">(na 1 547,8 mld. Kč). </w:t>
      </w:r>
      <w:r w:rsidRPr="00B256C5">
        <w:rPr>
          <w:rFonts w:asciiTheme="minorHAnsi" w:hAnsiTheme="minorHAnsi"/>
          <w:b/>
          <w:bCs/>
          <w:sz w:val="26"/>
          <w:szCs w:val="26"/>
        </w:rPr>
        <w:t>Celkový počet</w:t>
      </w:r>
      <w:r w:rsidRPr="00B256C5">
        <w:rPr>
          <w:rFonts w:asciiTheme="minorHAnsi" w:hAnsiTheme="minorHAnsi"/>
          <w:bCs/>
          <w:sz w:val="26"/>
          <w:szCs w:val="26"/>
        </w:rPr>
        <w:t xml:space="preserve"> (nesplacených) </w:t>
      </w:r>
      <w:r w:rsidRPr="00B256C5">
        <w:rPr>
          <w:rFonts w:asciiTheme="minorHAnsi" w:hAnsiTheme="minorHAnsi"/>
          <w:b/>
          <w:bCs/>
          <w:sz w:val="26"/>
          <w:szCs w:val="26"/>
        </w:rPr>
        <w:t>hypotečních úvěrů</w:t>
      </w:r>
      <w:r w:rsidRPr="00B256C5">
        <w:rPr>
          <w:rFonts w:asciiTheme="minorHAnsi" w:hAnsiTheme="minorHAnsi"/>
          <w:bCs/>
          <w:sz w:val="26"/>
          <w:szCs w:val="26"/>
        </w:rPr>
        <w:t xml:space="preserve"> meziročně klesl o 18,9 tis. a </w:t>
      </w:r>
      <w:r w:rsidRPr="00B256C5">
        <w:rPr>
          <w:rFonts w:asciiTheme="minorHAnsi" w:hAnsiTheme="minorHAnsi"/>
          <w:b/>
          <w:bCs/>
          <w:sz w:val="26"/>
          <w:szCs w:val="26"/>
        </w:rPr>
        <w:t xml:space="preserve">činil 1 095,4 tis. Podíl úvěrů na bydlení na celkovém objemu </w:t>
      </w:r>
      <w:r w:rsidRPr="00B256C5">
        <w:rPr>
          <w:rFonts w:asciiTheme="minorHAnsi" w:hAnsiTheme="minorHAnsi"/>
          <w:bCs/>
          <w:sz w:val="26"/>
          <w:szCs w:val="26"/>
        </w:rPr>
        <w:t>bankovních</w:t>
      </w:r>
      <w:r w:rsidRPr="00B256C5">
        <w:rPr>
          <w:rFonts w:asciiTheme="minorHAnsi" w:hAnsiTheme="minorHAnsi"/>
          <w:b/>
          <w:bCs/>
          <w:sz w:val="26"/>
          <w:szCs w:val="26"/>
        </w:rPr>
        <w:t xml:space="preserve"> půjček</w:t>
      </w:r>
      <w:r w:rsidRPr="00B256C5">
        <w:rPr>
          <w:rFonts w:asciiTheme="minorHAnsi" w:hAnsiTheme="minorHAnsi"/>
          <w:bCs/>
          <w:sz w:val="26"/>
          <w:szCs w:val="26"/>
        </w:rPr>
        <w:t xml:space="preserve"> </w:t>
      </w:r>
      <w:r w:rsidRPr="0080146E">
        <w:rPr>
          <w:rFonts w:asciiTheme="minorHAnsi" w:hAnsiTheme="minorHAnsi"/>
          <w:bCs/>
          <w:sz w:val="26"/>
          <w:szCs w:val="26"/>
        </w:rPr>
        <w:t>českých domácností nadále rost</w:t>
      </w:r>
      <w:r w:rsidR="004A4A98" w:rsidRPr="0080146E">
        <w:rPr>
          <w:rFonts w:asciiTheme="minorHAnsi" w:hAnsiTheme="minorHAnsi"/>
          <w:bCs/>
          <w:sz w:val="26"/>
          <w:szCs w:val="26"/>
        </w:rPr>
        <w:t>l</w:t>
      </w:r>
      <w:r w:rsidRPr="0080146E">
        <w:rPr>
          <w:rFonts w:asciiTheme="minorHAnsi" w:hAnsiTheme="minorHAnsi"/>
          <w:bCs/>
          <w:sz w:val="26"/>
          <w:szCs w:val="26"/>
        </w:rPr>
        <w:t xml:space="preserve"> a </w:t>
      </w:r>
      <w:r w:rsidRPr="0080146E">
        <w:rPr>
          <w:rFonts w:asciiTheme="minorHAnsi" w:hAnsiTheme="minorHAnsi"/>
          <w:b/>
          <w:bCs/>
          <w:sz w:val="26"/>
          <w:szCs w:val="26"/>
        </w:rPr>
        <w:t>činil ke konci června 78,0 %,</w:t>
      </w:r>
      <w:r w:rsidRPr="0080146E">
        <w:rPr>
          <w:rFonts w:asciiTheme="minorHAnsi" w:hAnsiTheme="minorHAnsi"/>
          <w:bCs/>
          <w:sz w:val="26"/>
          <w:szCs w:val="26"/>
        </w:rPr>
        <w:t xml:space="preserve"> což bylo o 0,4 p. b. více </w:t>
      </w:r>
      <w:r w:rsidRPr="00B256C5">
        <w:rPr>
          <w:rFonts w:asciiTheme="minorHAnsi" w:hAnsiTheme="minorHAnsi"/>
          <w:bCs/>
          <w:sz w:val="26"/>
          <w:szCs w:val="26"/>
        </w:rPr>
        <w:t>než předchozí rok</w:t>
      </w:r>
      <w:r w:rsidRPr="00A9546B">
        <w:rPr>
          <w:rFonts w:asciiTheme="minorHAnsi" w:hAnsiTheme="minorHAnsi"/>
          <w:bCs/>
          <w:sz w:val="26"/>
          <w:szCs w:val="26"/>
        </w:rPr>
        <w:t>.</w:t>
      </w:r>
    </w:p>
    <w:p w14:paraId="19AD0384" w14:textId="77777777" w:rsidR="008B1FD8" w:rsidRPr="00A9546B" w:rsidRDefault="008B1FD8" w:rsidP="008B1FD8">
      <w:pPr>
        <w:spacing w:after="60" w:line="360" w:lineRule="auto"/>
        <w:jc w:val="both"/>
        <w:rPr>
          <w:rFonts w:asciiTheme="minorHAnsi" w:hAnsiTheme="minorHAnsi"/>
          <w:bCs/>
          <w:sz w:val="26"/>
          <w:szCs w:val="26"/>
        </w:rPr>
      </w:pPr>
      <w:r w:rsidRPr="008E13D1">
        <w:rPr>
          <w:rFonts w:asciiTheme="minorHAnsi" w:hAnsiTheme="minorHAnsi"/>
          <w:bCs/>
          <w:sz w:val="26"/>
          <w:szCs w:val="26"/>
        </w:rPr>
        <w:lastRenderedPageBreak/>
        <w:tab/>
      </w:r>
      <w:r w:rsidRPr="00A9546B">
        <w:rPr>
          <w:rFonts w:asciiTheme="minorHAnsi" w:hAnsiTheme="minorHAnsi"/>
          <w:sz w:val="26"/>
          <w:szCs w:val="26"/>
        </w:rPr>
        <w:t xml:space="preserve">Podle ČNB celkový </w:t>
      </w:r>
      <w:r w:rsidRPr="00A9546B">
        <w:rPr>
          <w:rFonts w:asciiTheme="minorHAnsi" w:hAnsiTheme="minorHAnsi"/>
          <w:b/>
          <w:bCs/>
          <w:sz w:val="26"/>
          <w:szCs w:val="26"/>
        </w:rPr>
        <w:t>objem</w:t>
      </w:r>
      <w:r w:rsidRPr="00A9546B">
        <w:rPr>
          <w:rFonts w:asciiTheme="minorHAnsi" w:hAnsiTheme="minorHAnsi"/>
          <w:sz w:val="26"/>
          <w:szCs w:val="26"/>
        </w:rPr>
        <w:t xml:space="preserve"> </w:t>
      </w:r>
      <w:r w:rsidRPr="00A9546B">
        <w:rPr>
          <w:rFonts w:asciiTheme="minorHAnsi" w:hAnsiTheme="minorHAnsi"/>
          <w:b/>
          <w:bCs/>
          <w:sz w:val="26"/>
          <w:szCs w:val="26"/>
        </w:rPr>
        <w:t xml:space="preserve">úvěrů na spotřebu </w:t>
      </w:r>
      <w:r w:rsidRPr="00A9546B">
        <w:rPr>
          <w:rFonts w:asciiTheme="minorHAnsi" w:hAnsiTheme="minorHAnsi"/>
          <w:sz w:val="26"/>
          <w:szCs w:val="26"/>
        </w:rPr>
        <w:t>(na zboží a služby běžné spotřeby)</w:t>
      </w:r>
      <w:r w:rsidRPr="00A9546B">
        <w:rPr>
          <w:rFonts w:asciiTheme="minorHAnsi" w:hAnsiTheme="minorHAnsi"/>
          <w:b/>
          <w:bCs/>
          <w:sz w:val="26"/>
          <w:szCs w:val="26"/>
        </w:rPr>
        <w:t xml:space="preserve"> meziročně vzrostl o 18,9 mld. Kč</w:t>
      </w:r>
      <w:r w:rsidRPr="00A9546B">
        <w:rPr>
          <w:rFonts w:asciiTheme="minorHAnsi" w:hAnsiTheme="minorHAnsi"/>
          <w:bCs/>
          <w:sz w:val="26"/>
          <w:szCs w:val="26"/>
        </w:rPr>
        <w:t xml:space="preserve"> na 288,4 mld. Kč (o rok dříve se zvýšil o 7,0 mld. Kč). Meziroční nárůst byl způsoben zejména zvýšením spotřebních úvěrů v</w:t>
      </w:r>
      <w:r>
        <w:rPr>
          <w:rFonts w:asciiTheme="minorHAnsi" w:hAnsiTheme="minorHAnsi"/>
          <w:bCs/>
          <w:sz w:val="26"/>
          <w:szCs w:val="26"/>
        </w:rPr>
        <w:t xml:space="preserve"> </w:t>
      </w:r>
      <w:r w:rsidRPr="00A9546B">
        <w:rPr>
          <w:rFonts w:asciiTheme="minorHAnsi" w:hAnsiTheme="minorHAnsi"/>
          <w:bCs/>
          <w:sz w:val="26"/>
          <w:szCs w:val="26"/>
        </w:rPr>
        <w:t>závěru minulého roku.</w:t>
      </w:r>
    </w:p>
    <w:p w14:paraId="1D6CB07A" w14:textId="77777777" w:rsidR="008B1FD8" w:rsidRPr="008E13D1" w:rsidRDefault="008B1FD8" w:rsidP="008B1FD8">
      <w:pPr>
        <w:spacing w:after="240" w:line="360" w:lineRule="auto"/>
        <w:jc w:val="both"/>
        <w:rPr>
          <w:rFonts w:asciiTheme="minorHAnsi" w:hAnsiTheme="minorHAnsi"/>
          <w:sz w:val="26"/>
          <w:szCs w:val="26"/>
        </w:rPr>
      </w:pPr>
      <w:r w:rsidRPr="00A9546B">
        <w:rPr>
          <w:rFonts w:asciiTheme="minorHAnsi" w:hAnsiTheme="minorHAnsi"/>
          <w:bCs/>
          <w:sz w:val="26"/>
          <w:szCs w:val="26"/>
        </w:rPr>
        <w:tab/>
      </w:r>
      <w:r w:rsidRPr="00A9546B">
        <w:rPr>
          <w:rFonts w:asciiTheme="minorHAnsi" w:hAnsiTheme="minorHAnsi"/>
          <w:sz w:val="26"/>
          <w:szCs w:val="26"/>
        </w:rPr>
        <w:t xml:space="preserve">Za první pololetí tohoto roku meziročně </w:t>
      </w:r>
      <w:r w:rsidRPr="00A9546B">
        <w:rPr>
          <w:rFonts w:asciiTheme="minorHAnsi" w:hAnsiTheme="minorHAnsi"/>
          <w:b/>
          <w:sz w:val="26"/>
          <w:szCs w:val="26"/>
        </w:rPr>
        <w:t xml:space="preserve">poklesl objem tzv. nevýkonných úvěrů </w:t>
      </w:r>
      <w:r w:rsidRPr="00A9546B">
        <w:rPr>
          <w:rFonts w:asciiTheme="minorHAnsi" w:hAnsiTheme="minorHAnsi"/>
          <w:bCs/>
          <w:sz w:val="26"/>
          <w:szCs w:val="26"/>
        </w:rPr>
        <w:t>(nesplaceny tři po sobě jdoucí splátky úvěru, či došlo k zesplatnění)</w:t>
      </w:r>
      <w:r w:rsidRPr="00A9546B">
        <w:rPr>
          <w:rFonts w:asciiTheme="minorHAnsi" w:hAnsiTheme="minorHAnsi"/>
          <w:b/>
          <w:sz w:val="26"/>
          <w:szCs w:val="26"/>
        </w:rPr>
        <w:t xml:space="preserve"> v oblasti půjček na bydlení,</w:t>
      </w:r>
      <w:r w:rsidRPr="00A9546B">
        <w:rPr>
          <w:rFonts w:asciiTheme="minorHAnsi" w:hAnsiTheme="minorHAnsi"/>
          <w:sz w:val="26"/>
          <w:szCs w:val="26"/>
        </w:rPr>
        <w:t xml:space="preserve"> který představoval ke konci června 12,3 mld. Kč (o 3,5 mld. Kč meziročně méně). </w:t>
      </w:r>
      <w:r w:rsidRPr="00A9546B">
        <w:rPr>
          <w:rFonts w:asciiTheme="minorHAnsi" w:hAnsiTheme="minorHAnsi"/>
          <w:b/>
          <w:sz w:val="26"/>
          <w:szCs w:val="26"/>
        </w:rPr>
        <w:t xml:space="preserve">Taktéž celkový objem </w:t>
      </w:r>
      <w:r w:rsidRPr="008E13D1">
        <w:rPr>
          <w:rFonts w:asciiTheme="minorHAnsi" w:hAnsiTheme="minorHAnsi"/>
          <w:b/>
          <w:sz w:val="26"/>
          <w:szCs w:val="26"/>
        </w:rPr>
        <w:t>nevýkonných úvěrů byl ke konci prvního pololetí meziročně nižší</w:t>
      </w:r>
      <w:r w:rsidRPr="008E13D1">
        <w:rPr>
          <w:rFonts w:asciiTheme="minorHAnsi" w:hAnsiTheme="minorHAnsi"/>
          <w:sz w:val="26"/>
          <w:szCs w:val="26"/>
        </w:rPr>
        <w:t xml:space="preserve"> (o 7,5 mld. Kč) a dosáhl úrovně 27,3 mld. Kč, což činilo 1,3 % z celkového objemu bankovních půjček českých domácností. Podíl nevýkonných úvěrů postupně klesá od konce března 2013, kdy činil 5,3 %. </w:t>
      </w:r>
    </w:p>
    <w:p w14:paraId="6DBB03C5" w14:textId="6A27208E" w:rsidR="008B1FD8" w:rsidRPr="00A9546B" w:rsidRDefault="008B1FD8" w:rsidP="008B1FD8">
      <w:pPr>
        <w:spacing w:after="240" w:line="360" w:lineRule="auto"/>
        <w:jc w:val="both"/>
        <w:rPr>
          <w:rFonts w:asciiTheme="minorHAnsi" w:hAnsiTheme="minorHAnsi"/>
          <w:sz w:val="26"/>
          <w:szCs w:val="26"/>
        </w:rPr>
      </w:pPr>
      <w:r w:rsidRPr="008E13D1">
        <w:rPr>
          <w:rFonts w:asciiTheme="minorHAnsi" w:hAnsiTheme="minorHAnsi"/>
          <w:bCs/>
          <w:sz w:val="26"/>
          <w:szCs w:val="26"/>
        </w:rPr>
        <w:tab/>
      </w:r>
      <w:r w:rsidRPr="008E13D1">
        <w:rPr>
          <w:rFonts w:asciiTheme="minorHAnsi" w:hAnsiTheme="minorHAnsi"/>
          <w:b/>
          <w:sz w:val="26"/>
          <w:szCs w:val="26"/>
        </w:rPr>
        <w:t>Údaje bankovního a nebankovního registru ukazují, že</w:t>
      </w:r>
      <w:r w:rsidRPr="008E13D1">
        <w:rPr>
          <w:rFonts w:asciiTheme="minorHAnsi" w:hAnsiTheme="minorHAnsi"/>
          <w:sz w:val="26"/>
          <w:szCs w:val="26"/>
        </w:rPr>
        <w:t xml:space="preserve"> ke konci 2. čtvrtletí </w:t>
      </w:r>
      <w:r w:rsidR="00DD6991" w:rsidRPr="00DD6991">
        <w:rPr>
          <w:rFonts w:asciiTheme="minorHAnsi" w:hAnsiTheme="minorHAnsi"/>
          <w:b/>
          <w:bCs/>
          <w:sz w:val="26"/>
          <w:szCs w:val="26"/>
        </w:rPr>
        <w:t>se</w:t>
      </w:r>
      <w:r w:rsidR="00DD6991">
        <w:rPr>
          <w:rFonts w:asciiTheme="minorHAnsi" w:hAnsiTheme="minorHAnsi"/>
          <w:sz w:val="26"/>
          <w:szCs w:val="26"/>
        </w:rPr>
        <w:t xml:space="preserve"> </w:t>
      </w:r>
      <w:r w:rsidR="00DD6991" w:rsidRPr="00DD6991">
        <w:rPr>
          <w:rFonts w:asciiTheme="minorHAnsi" w:hAnsiTheme="minorHAnsi"/>
          <w:b/>
          <w:bCs/>
          <w:sz w:val="26"/>
          <w:szCs w:val="26"/>
        </w:rPr>
        <w:t>průměrná částka připadající na jednoho klienta s</w:t>
      </w:r>
      <w:r w:rsidR="00DD6991">
        <w:rPr>
          <w:rFonts w:asciiTheme="minorHAnsi" w:hAnsiTheme="minorHAnsi"/>
          <w:b/>
          <w:bCs/>
          <w:sz w:val="26"/>
          <w:szCs w:val="26"/>
        </w:rPr>
        <w:t xml:space="preserve"> </w:t>
      </w:r>
      <w:r w:rsidR="00DD6991" w:rsidRPr="00DD6991">
        <w:rPr>
          <w:rFonts w:asciiTheme="minorHAnsi" w:hAnsiTheme="minorHAnsi"/>
          <w:b/>
          <w:bCs/>
          <w:sz w:val="26"/>
          <w:szCs w:val="26"/>
        </w:rPr>
        <w:t>dlouhodobým dluhem</w:t>
      </w:r>
      <w:r w:rsidR="00DD6991" w:rsidRPr="008E13D1">
        <w:rPr>
          <w:rFonts w:asciiTheme="minorHAnsi" w:hAnsiTheme="minorHAnsi"/>
          <w:sz w:val="26"/>
          <w:szCs w:val="26"/>
        </w:rPr>
        <w:t xml:space="preserve">, který </w:t>
      </w:r>
      <w:proofErr w:type="gramStart"/>
      <w:r w:rsidR="00DD6991" w:rsidRPr="008E13D1">
        <w:rPr>
          <w:rFonts w:asciiTheme="minorHAnsi" w:hAnsiTheme="minorHAnsi"/>
          <w:sz w:val="26"/>
          <w:szCs w:val="26"/>
        </w:rPr>
        <w:t>tvoří</w:t>
      </w:r>
      <w:proofErr w:type="gramEnd"/>
      <w:r w:rsidR="00DD6991" w:rsidRPr="008E13D1">
        <w:rPr>
          <w:rFonts w:asciiTheme="minorHAnsi" w:hAnsiTheme="minorHAnsi"/>
          <w:sz w:val="26"/>
          <w:szCs w:val="26"/>
        </w:rPr>
        <w:t xml:space="preserve"> zejména hypotéky a úvěry ze stavebního spoření, </w:t>
      </w:r>
      <w:r w:rsidR="00DD6991" w:rsidRPr="00DD6991">
        <w:rPr>
          <w:rFonts w:asciiTheme="minorHAnsi" w:hAnsiTheme="minorHAnsi"/>
          <w:b/>
          <w:bCs/>
          <w:sz w:val="26"/>
          <w:szCs w:val="26"/>
        </w:rPr>
        <w:t xml:space="preserve">meziročně zvýšila </w:t>
      </w:r>
      <w:r w:rsidR="00DD6991" w:rsidRPr="00DD6991">
        <w:rPr>
          <w:rFonts w:asciiTheme="minorHAnsi" w:hAnsiTheme="minorHAnsi"/>
          <w:sz w:val="26"/>
          <w:szCs w:val="26"/>
        </w:rPr>
        <w:t>o 14,6 %</w:t>
      </w:r>
      <w:r w:rsidR="00DD6991" w:rsidRPr="00DD6991">
        <w:rPr>
          <w:rFonts w:asciiTheme="minorHAnsi" w:hAnsiTheme="minorHAnsi"/>
          <w:b/>
          <w:bCs/>
          <w:sz w:val="26"/>
          <w:szCs w:val="26"/>
        </w:rPr>
        <w:t xml:space="preserve"> na 2 363,5 tis. Kč.</w:t>
      </w:r>
      <w:r w:rsidR="00DD6991" w:rsidRPr="00A9546B">
        <w:rPr>
          <w:rFonts w:asciiTheme="minorHAnsi" w:hAnsiTheme="minorHAnsi"/>
          <w:sz w:val="26"/>
          <w:szCs w:val="26"/>
        </w:rPr>
        <w:t xml:space="preserve"> </w:t>
      </w:r>
      <w:r w:rsidR="00DD6991" w:rsidRPr="00DD6991">
        <w:rPr>
          <w:rFonts w:asciiTheme="minorHAnsi" w:hAnsiTheme="minorHAnsi"/>
          <w:b/>
          <w:bCs/>
          <w:sz w:val="26"/>
          <w:szCs w:val="26"/>
        </w:rPr>
        <w:t>Průměrná</w:t>
      </w:r>
      <w:r w:rsidR="00DD6991" w:rsidRPr="00A9546B">
        <w:rPr>
          <w:rFonts w:asciiTheme="minorHAnsi" w:hAnsiTheme="minorHAnsi"/>
          <w:sz w:val="26"/>
          <w:szCs w:val="26"/>
        </w:rPr>
        <w:t xml:space="preserve"> </w:t>
      </w:r>
      <w:r w:rsidR="00DD6991" w:rsidRPr="00DD6991">
        <w:rPr>
          <w:rFonts w:asciiTheme="minorHAnsi" w:hAnsiTheme="minorHAnsi"/>
          <w:b/>
          <w:bCs/>
          <w:sz w:val="26"/>
          <w:szCs w:val="26"/>
        </w:rPr>
        <w:t xml:space="preserve">výše krátkodobého dluhu vzrostla </w:t>
      </w:r>
      <w:r w:rsidR="00DD6991" w:rsidRPr="00DD6991">
        <w:rPr>
          <w:rFonts w:asciiTheme="minorHAnsi" w:hAnsiTheme="minorHAnsi"/>
          <w:sz w:val="26"/>
          <w:szCs w:val="26"/>
        </w:rPr>
        <w:t>o 5,6 %</w:t>
      </w:r>
      <w:r w:rsidR="00DD6991" w:rsidRPr="00DD6991">
        <w:rPr>
          <w:rFonts w:asciiTheme="minorHAnsi" w:hAnsiTheme="minorHAnsi"/>
          <w:b/>
          <w:bCs/>
          <w:sz w:val="26"/>
          <w:szCs w:val="26"/>
        </w:rPr>
        <w:t xml:space="preserve"> na 230,1 tis. Kč.</w:t>
      </w:r>
      <w:r w:rsidR="00DD6991">
        <w:rPr>
          <w:rFonts w:asciiTheme="minorHAnsi" w:hAnsiTheme="minorHAnsi"/>
          <w:sz w:val="26"/>
          <w:szCs w:val="26"/>
        </w:rPr>
        <w:t xml:space="preserve"> </w:t>
      </w:r>
      <w:r w:rsidRPr="008E13D1">
        <w:rPr>
          <w:rFonts w:asciiTheme="minorHAnsi" w:hAnsiTheme="minorHAnsi"/>
          <w:sz w:val="26"/>
          <w:szCs w:val="26"/>
        </w:rPr>
        <w:t>Počet lidí, kteří měli problémy se splácením úvěrů na bydlení, se</w:t>
      </w:r>
      <w:r w:rsidR="00DD6991">
        <w:rPr>
          <w:rFonts w:asciiTheme="minorHAnsi" w:hAnsiTheme="minorHAnsi"/>
          <w:sz w:val="26"/>
          <w:szCs w:val="26"/>
        </w:rPr>
        <w:t xml:space="preserve"> </w:t>
      </w:r>
      <w:r w:rsidRPr="008E13D1">
        <w:rPr>
          <w:rFonts w:asciiTheme="minorHAnsi" w:hAnsiTheme="minorHAnsi"/>
          <w:sz w:val="26"/>
          <w:szCs w:val="26"/>
        </w:rPr>
        <w:t>meziročně snížil o</w:t>
      </w:r>
      <w:r w:rsidR="00DD6991">
        <w:rPr>
          <w:rFonts w:asciiTheme="minorHAnsi" w:hAnsiTheme="minorHAnsi"/>
          <w:sz w:val="26"/>
          <w:szCs w:val="26"/>
        </w:rPr>
        <w:t> </w:t>
      </w:r>
      <w:r w:rsidRPr="008E13D1">
        <w:rPr>
          <w:rFonts w:asciiTheme="minorHAnsi" w:hAnsiTheme="minorHAnsi"/>
          <w:sz w:val="26"/>
          <w:szCs w:val="26"/>
        </w:rPr>
        <w:t xml:space="preserve">1,8 tis. (na 10,3 tis.) a počet lidí nesplácejících úvěry na spotřebu se snížil o 7,4 tis. (na 172,8 tis.). </w:t>
      </w:r>
    </w:p>
    <w:p w14:paraId="3A8C9966" w14:textId="3E8303FA" w:rsidR="008B1FD8" w:rsidRDefault="008B1FD8" w:rsidP="008B1FD8">
      <w:pPr>
        <w:spacing w:after="120" w:line="360" w:lineRule="auto"/>
        <w:jc w:val="both"/>
        <w:rPr>
          <w:rFonts w:asciiTheme="minorHAnsi" w:hAnsiTheme="minorHAnsi"/>
          <w:sz w:val="26"/>
          <w:szCs w:val="26"/>
        </w:rPr>
      </w:pPr>
      <w:r w:rsidRPr="00A9546B">
        <w:rPr>
          <w:rFonts w:asciiTheme="minorHAnsi" w:hAnsiTheme="minorHAnsi"/>
          <w:b/>
          <w:bCs/>
          <w:sz w:val="26"/>
          <w:szCs w:val="26"/>
        </w:rPr>
        <w:tab/>
      </w:r>
      <w:r w:rsidRPr="00A9546B">
        <w:rPr>
          <w:rFonts w:asciiTheme="minorHAnsi" w:hAnsiTheme="minorHAnsi"/>
          <w:sz w:val="26"/>
          <w:szCs w:val="26"/>
        </w:rPr>
        <w:t xml:space="preserve">V první polovině roku 2022 nastal </w:t>
      </w:r>
      <w:r w:rsidRPr="00A9546B">
        <w:rPr>
          <w:rFonts w:asciiTheme="minorHAnsi" w:hAnsiTheme="minorHAnsi"/>
          <w:b/>
          <w:sz w:val="26"/>
          <w:szCs w:val="26"/>
        </w:rPr>
        <w:t xml:space="preserve">meziroční nárůst celkového objemu prostředků poskytnutých nebankovními společnostmi prostřednictvím spotřebitelských úvěrů či leasingu </w:t>
      </w:r>
      <w:r w:rsidRPr="00A9546B">
        <w:rPr>
          <w:rFonts w:asciiTheme="minorHAnsi" w:hAnsiTheme="minorHAnsi"/>
          <w:sz w:val="26"/>
          <w:szCs w:val="26"/>
        </w:rPr>
        <w:t>(meziroční zvýšení o 17,9 %). Domácnosti si podle dat ČLFA touto formou půjčily od začátku roku celkem 13,7 mld. Kč. Z toho celkem 97,1 % připadalo na spotřebitelské úvěry a 2,9 % poskytli členové ČLFA domácnostem prostřednictvím spotřebitelského leasingu.</w:t>
      </w:r>
    </w:p>
    <w:p w14:paraId="433C56BA" w14:textId="77777777" w:rsidR="00DD6991" w:rsidRPr="00A9546B" w:rsidRDefault="00DD6991" w:rsidP="008B1FD8">
      <w:pPr>
        <w:spacing w:after="120" w:line="360" w:lineRule="auto"/>
        <w:jc w:val="both"/>
        <w:rPr>
          <w:rFonts w:asciiTheme="minorHAnsi" w:hAnsiTheme="minorHAnsi"/>
          <w:sz w:val="26"/>
          <w:szCs w:val="26"/>
        </w:rPr>
      </w:pPr>
    </w:p>
    <w:p w14:paraId="3EE5A935" w14:textId="77777777" w:rsidR="008B1FD8" w:rsidRDefault="008B1FD8" w:rsidP="008B1FD8">
      <w:pPr>
        <w:spacing w:after="120" w:line="360" w:lineRule="auto"/>
        <w:jc w:val="both"/>
        <w:rPr>
          <w:rFonts w:asciiTheme="minorHAnsi" w:hAnsiTheme="minorHAnsi"/>
          <w:sz w:val="26"/>
          <w:szCs w:val="26"/>
        </w:rPr>
      </w:pPr>
    </w:p>
    <w:p w14:paraId="0B993737" w14:textId="77777777" w:rsidR="008B1FD8" w:rsidRPr="00CD0109" w:rsidRDefault="008B1FD8" w:rsidP="008B1FD8">
      <w:pPr>
        <w:spacing w:after="120" w:line="360" w:lineRule="auto"/>
        <w:jc w:val="both"/>
        <w:rPr>
          <w:rFonts w:asciiTheme="minorHAnsi" w:hAnsiTheme="minorHAnsi"/>
          <w:b/>
          <w:bCs/>
          <w:i/>
          <w:sz w:val="26"/>
          <w:szCs w:val="26"/>
        </w:rPr>
      </w:pPr>
    </w:p>
    <w:p w14:paraId="0FE7EE1C" w14:textId="69A3C4C3" w:rsidR="008B1FD8" w:rsidRPr="00464488" w:rsidRDefault="008B1FD8" w:rsidP="008B1FD8">
      <w:pPr>
        <w:spacing w:line="360" w:lineRule="auto"/>
        <w:jc w:val="both"/>
        <w:rPr>
          <w:rFonts w:asciiTheme="minorHAnsi" w:hAnsiTheme="minorHAnsi"/>
          <w:b/>
          <w:bCs/>
          <w:i/>
          <w:smallCaps/>
          <w:color w:val="1F497D"/>
          <w:sz w:val="36"/>
          <w:szCs w:val="36"/>
        </w:rPr>
      </w:pPr>
      <w:r w:rsidRPr="00464488">
        <w:rPr>
          <w:rFonts w:asciiTheme="minorHAnsi" w:hAnsiTheme="minorHAnsi"/>
          <w:b/>
          <w:bCs/>
          <w:i/>
          <w:smallCaps/>
          <w:color w:val="1F497D"/>
          <w:sz w:val="36"/>
          <w:szCs w:val="36"/>
        </w:rPr>
        <w:lastRenderedPageBreak/>
        <w:t>3.3</w:t>
      </w:r>
      <w:r w:rsidR="00D15492">
        <w:rPr>
          <w:rFonts w:asciiTheme="minorHAnsi" w:hAnsiTheme="minorHAnsi"/>
          <w:b/>
          <w:bCs/>
          <w:i/>
          <w:smallCaps/>
          <w:color w:val="1F497D"/>
          <w:sz w:val="36"/>
          <w:szCs w:val="36"/>
        </w:rPr>
        <w:t>.</w:t>
      </w:r>
      <w:r w:rsidRPr="00464488">
        <w:rPr>
          <w:rFonts w:asciiTheme="minorHAnsi" w:hAnsiTheme="minorHAnsi"/>
          <w:b/>
          <w:bCs/>
          <w:i/>
          <w:smallCaps/>
          <w:color w:val="1F497D"/>
          <w:sz w:val="36"/>
          <w:szCs w:val="36"/>
        </w:rPr>
        <w:t xml:space="preserve"> Úspory</w:t>
      </w:r>
    </w:p>
    <w:p w14:paraId="4FA65354" w14:textId="77777777" w:rsidR="008B1FD8" w:rsidRPr="007C1C11" w:rsidRDefault="008B1FD8" w:rsidP="008B1FD8">
      <w:pPr>
        <w:spacing w:after="120"/>
        <w:jc w:val="both"/>
        <w:rPr>
          <w:rFonts w:asciiTheme="minorHAnsi" w:hAnsiTheme="minorHAnsi"/>
          <w:sz w:val="26"/>
          <w:szCs w:val="26"/>
        </w:rPr>
      </w:pPr>
    </w:p>
    <w:p w14:paraId="3AD7AF55" w14:textId="42AD5A9A" w:rsidR="008B1FD8" w:rsidRPr="007C1C11" w:rsidRDefault="008B1FD8" w:rsidP="008B1FD8">
      <w:pPr>
        <w:spacing w:after="120" w:line="360" w:lineRule="auto"/>
        <w:jc w:val="both"/>
        <w:rPr>
          <w:rFonts w:asciiTheme="minorHAnsi" w:hAnsiTheme="minorHAnsi"/>
          <w:b/>
          <w:bCs/>
          <w:sz w:val="26"/>
          <w:szCs w:val="26"/>
        </w:rPr>
      </w:pPr>
      <w:r w:rsidRPr="007C1C11">
        <w:rPr>
          <w:rFonts w:asciiTheme="minorHAnsi" w:hAnsiTheme="minorHAnsi"/>
          <w:sz w:val="26"/>
          <w:szCs w:val="26"/>
        </w:rPr>
        <w:tab/>
      </w:r>
      <w:r w:rsidRPr="007C1C11">
        <w:rPr>
          <w:rFonts w:asciiTheme="minorHAnsi" w:hAnsiTheme="minorHAnsi"/>
          <w:b/>
          <w:bCs/>
          <w:sz w:val="26"/>
          <w:szCs w:val="26"/>
        </w:rPr>
        <w:t>Pokles reálných příjmů a zvýšení úrokových sazeb se projevily</w:t>
      </w:r>
      <w:r w:rsidRPr="007C1C11">
        <w:rPr>
          <w:rFonts w:asciiTheme="minorHAnsi" w:hAnsiTheme="minorHAnsi"/>
          <w:sz w:val="26"/>
          <w:szCs w:val="26"/>
        </w:rPr>
        <w:t xml:space="preserve"> </w:t>
      </w:r>
      <w:r w:rsidRPr="007C1C11">
        <w:rPr>
          <w:rFonts w:asciiTheme="minorHAnsi" w:hAnsiTheme="minorHAnsi"/>
          <w:b/>
          <w:bCs/>
          <w:sz w:val="26"/>
          <w:szCs w:val="26"/>
        </w:rPr>
        <w:t xml:space="preserve">na celkových </w:t>
      </w:r>
      <w:r w:rsidRPr="0080146E">
        <w:rPr>
          <w:rFonts w:asciiTheme="minorHAnsi" w:hAnsiTheme="minorHAnsi"/>
          <w:b/>
          <w:bCs/>
          <w:sz w:val="26"/>
          <w:szCs w:val="26"/>
        </w:rPr>
        <w:t>bankovních</w:t>
      </w:r>
      <w:r w:rsidRPr="0080146E">
        <w:rPr>
          <w:rFonts w:asciiTheme="minorHAnsi" w:hAnsiTheme="minorHAnsi"/>
          <w:bCs/>
          <w:sz w:val="26"/>
          <w:szCs w:val="26"/>
        </w:rPr>
        <w:t xml:space="preserve"> </w:t>
      </w:r>
      <w:r w:rsidRPr="0080146E">
        <w:rPr>
          <w:rFonts w:asciiTheme="minorHAnsi" w:hAnsiTheme="minorHAnsi"/>
          <w:b/>
          <w:bCs/>
          <w:sz w:val="26"/>
          <w:szCs w:val="26"/>
        </w:rPr>
        <w:t>úsporách domácností.</w:t>
      </w:r>
      <w:r w:rsidRPr="0080146E">
        <w:rPr>
          <w:rFonts w:asciiTheme="minorHAnsi" w:hAnsiTheme="minorHAnsi"/>
          <w:bCs/>
          <w:sz w:val="26"/>
          <w:szCs w:val="26"/>
        </w:rPr>
        <w:t xml:space="preserve"> Ovlivněna byla míra úspor (viz kapitolu 3.1</w:t>
      </w:r>
      <w:r w:rsidR="004A4A98" w:rsidRPr="0080146E">
        <w:rPr>
          <w:rFonts w:asciiTheme="minorHAnsi" w:hAnsiTheme="minorHAnsi"/>
          <w:bCs/>
          <w:sz w:val="26"/>
          <w:szCs w:val="26"/>
        </w:rPr>
        <w:t>.</w:t>
      </w:r>
      <w:r w:rsidRPr="0080146E">
        <w:rPr>
          <w:rFonts w:asciiTheme="minorHAnsi" w:hAnsiTheme="minorHAnsi"/>
          <w:bCs/>
          <w:sz w:val="26"/>
          <w:szCs w:val="26"/>
        </w:rPr>
        <w:t xml:space="preserve">), </w:t>
      </w:r>
      <w:r w:rsidRPr="007C1C11">
        <w:rPr>
          <w:rFonts w:asciiTheme="minorHAnsi" w:hAnsiTheme="minorHAnsi"/>
          <w:bCs/>
          <w:sz w:val="26"/>
          <w:szCs w:val="26"/>
        </w:rPr>
        <w:t>ale</w:t>
      </w:r>
      <w:r w:rsidR="004A4A98">
        <w:rPr>
          <w:rFonts w:asciiTheme="minorHAnsi" w:hAnsiTheme="minorHAnsi"/>
          <w:bCs/>
          <w:sz w:val="26"/>
          <w:szCs w:val="26"/>
        </w:rPr>
        <w:t> </w:t>
      </w:r>
      <w:r w:rsidRPr="007C1C11">
        <w:rPr>
          <w:rFonts w:asciiTheme="minorHAnsi" w:hAnsiTheme="minorHAnsi"/>
          <w:bCs/>
          <w:sz w:val="26"/>
          <w:szCs w:val="26"/>
        </w:rPr>
        <w:t>i</w:t>
      </w:r>
      <w:r>
        <w:rPr>
          <w:rFonts w:asciiTheme="minorHAnsi" w:hAnsiTheme="minorHAnsi"/>
          <w:bCs/>
          <w:sz w:val="26"/>
          <w:szCs w:val="26"/>
        </w:rPr>
        <w:t> </w:t>
      </w:r>
      <w:r w:rsidRPr="007C1C11">
        <w:rPr>
          <w:rFonts w:asciiTheme="minorHAnsi" w:hAnsiTheme="minorHAnsi"/>
          <w:bCs/>
          <w:sz w:val="26"/>
          <w:szCs w:val="26"/>
        </w:rPr>
        <w:t xml:space="preserve">samotná struktura úspor. </w:t>
      </w:r>
      <w:r w:rsidRPr="007C1C11">
        <w:rPr>
          <w:rFonts w:asciiTheme="minorHAnsi" w:hAnsiTheme="minorHAnsi"/>
          <w:b/>
          <w:sz w:val="26"/>
          <w:szCs w:val="26"/>
        </w:rPr>
        <w:t>Relace</w:t>
      </w:r>
      <w:r w:rsidRPr="007C1C11">
        <w:rPr>
          <w:rFonts w:asciiTheme="minorHAnsi" w:hAnsiTheme="minorHAnsi"/>
          <w:bCs/>
          <w:sz w:val="26"/>
          <w:szCs w:val="26"/>
        </w:rPr>
        <w:t xml:space="preserve"> </w:t>
      </w:r>
      <w:r w:rsidRPr="007C1C11">
        <w:rPr>
          <w:rFonts w:asciiTheme="minorHAnsi" w:hAnsiTheme="minorHAnsi"/>
          <w:b/>
          <w:sz w:val="26"/>
          <w:szCs w:val="26"/>
        </w:rPr>
        <w:t>celkového objemu bankovních půjček domácností k celkovému objemu bankovních vkladů</w:t>
      </w:r>
      <w:r w:rsidRPr="007C1C11">
        <w:rPr>
          <w:rFonts w:asciiTheme="minorHAnsi" w:hAnsiTheme="minorHAnsi"/>
          <w:bCs/>
          <w:sz w:val="26"/>
          <w:szCs w:val="26"/>
        </w:rPr>
        <w:t xml:space="preserve"> domácností meziročně </w:t>
      </w:r>
      <w:r w:rsidRPr="007C1C11">
        <w:rPr>
          <w:rFonts w:asciiTheme="minorHAnsi" w:hAnsiTheme="minorHAnsi"/>
          <w:b/>
          <w:sz w:val="26"/>
          <w:szCs w:val="26"/>
        </w:rPr>
        <w:t>vzrostla a</w:t>
      </w:r>
      <w:r w:rsidRPr="007C1C11">
        <w:rPr>
          <w:rFonts w:asciiTheme="minorHAnsi" w:hAnsiTheme="minorHAnsi"/>
          <w:bCs/>
          <w:sz w:val="26"/>
          <w:szCs w:val="26"/>
        </w:rPr>
        <w:t xml:space="preserve"> </w:t>
      </w:r>
      <w:r w:rsidRPr="007C1C11">
        <w:rPr>
          <w:rFonts w:asciiTheme="minorHAnsi" w:hAnsiTheme="minorHAnsi"/>
          <w:b/>
          <w:sz w:val="26"/>
          <w:szCs w:val="26"/>
        </w:rPr>
        <w:t>činila 63,2 %</w:t>
      </w:r>
      <w:r w:rsidRPr="007C1C11">
        <w:rPr>
          <w:rFonts w:asciiTheme="minorHAnsi" w:hAnsiTheme="minorHAnsi"/>
          <w:bCs/>
          <w:sz w:val="26"/>
          <w:szCs w:val="26"/>
        </w:rPr>
        <w:t xml:space="preserve"> (úvěry/úspory). Tato relace se výrazně zvyšovala před rokem 2009, po</w:t>
      </w:r>
      <w:r w:rsidR="004A4A98">
        <w:rPr>
          <w:rFonts w:asciiTheme="minorHAnsi" w:hAnsiTheme="minorHAnsi"/>
          <w:bCs/>
          <w:sz w:val="26"/>
          <w:szCs w:val="26"/>
        </w:rPr>
        <w:t> </w:t>
      </w:r>
      <w:r w:rsidRPr="007C1C11">
        <w:rPr>
          <w:rFonts w:asciiTheme="minorHAnsi" w:hAnsiTheme="minorHAnsi"/>
          <w:bCs/>
          <w:sz w:val="26"/>
          <w:szCs w:val="26"/>
        </w:rPr>
        <w:t>roce 2010 se pohybovala přibližně kolem úrovně 64 %</w:t>
      </w:r>
      <w:r>
        <w:rPr>
          <w:rFonts w:asciiTheme="minorHAnsi" w:hAnsiTheme="minorHAnsi"/>
          <w:bCs/>
          <w:sz w:val="26"/>
          <w:szCs w:val="26"/>
        </w:rPr>
        <w:t>,</w:t>
      </w:r>
      <w:r w:rsidRPr="007C1C11">
        <w:rPr>
          <w:rFonts w:asciiTheme="minorHAnsi" w:hAnsiTheme="minorHAnsi"/>
          <w:bCs/>
          <w:sz w:val="26"/>
          <w:szCs w:val="26"/>
        </w:rPr>
        <w:t xml:space="preserve"> a v</w:t>
      </w:r>
      <w:r>
        <w:rPr>
          <w:rFonts w:asciiTheme="minorHAnsi" w:hAnsiTheme="minorHAnsi"/>
          <w:bCs/>
          <w:sz w:val="26"/>
          <w:szCs w:val="26"/>
        </w:rPr>
        <w:t xml:space="preserve"> </w:t>
      </w:r>
      <w:r w:rsidRPr="007C1C11">
        <w:rPr>
          <w:rFonts w:asciiTheme="minorHAnsi" w:hAnsiTheme="minorHAnsi"/>
          <w:bCs/>
          <w:sz w:val="26"/>
          <w:szCs w:val="26"/>
        </w:rPr>
        <w:t>předchozích dvou letech klesla vlivem vysokého nárůstu úspor k 60 %. V</w:t>
      </w:r>
      <w:r>
        <w:rPr>
          <w:rFonts w:asciiTheme="minorHAnsi" w:hAnsiTheme="minorHAnsi"/>
          <w:bCs/>
          <w:sz w:val="26"/>
          <w:szCs w:val="26"/>
        </w:rPr>
        <w:t xml:space="preserve"> </w:t>
      </w:r>
      <w:r w:rsidRPr="007C1C11">
        <w:rPr>
          <w:rFonts w:asciiTheme="minorHAnsi" w:hAnsiTheme="minorHAnsi"/>
          <w:bCs/>
          <w:sz w:val="26"/>
          <w:szCs w:val="26"/>
        </w:rPr>
        <w:t>tomto roce se relace vrátila ke svém</w:t>
      </w:r>
      <w:r>
        <w:rPr>
          <w:rFonts w:asciiTheme="minorHAnsi" w:hAnsiTheme="minorHAnsi"/>
          <w:bCs/>
          <w:sz w:val="26"/>
          <w:szCs w:val="26"/>
        </w:rPr>
        <w:t>u</w:t>
      </w:r>
      <w:r w:rsidRPr="007C1C11">
        <w:rPr>
          <w:rFonts w:asciiTheme="minorHAnsi" w:hAnsiTheme="minorHAnsi"/>
          <w:bCs/>
          <w:sz w:val="26"/>
          <w:szCs w:val="26"/>
        </w:rPr>
        <w:t xml:space="preserve"> dlouhodobému průměru.</w:t>
      </w:r>
    </w:p>
    <w:p w14:paraId="7F6E2658" w14:textId="7B29E975" w:rsidR="008B1FD8" w:rsidRDefault="008B1FD8" w:rsidP="008B1FD8">
      <w:pPr>
        <w:spacing w:after="240" w:line="360" w:lineRule="auto"/>
        <w:jc w:val="both"/>
        <w:rPr>
          <w:rFonts w:asciiTheme="minorHAnsi" w:hAnsiTheme="minorHAnsi"/>
          <w:bCs/>
          <w:sz w:val="26"/>
          <w:szCs w:val="26"/>
        </w:rPr>
      </w:pPr>
      <w:r w:rsidRPr="00DA53FF">
        <w:rPr>
          <w:rFonts w:asciiTheme="minorHAnsi" w:hAnsiTheme="minorHAnsi"/>
          <w:sz w:val="26"/>
          <w:szCs w:val="26"/>
        </w:rPr>
        <w:tab/>
        <w:t xml:space="preserve">České </w:t>
      </w:r>
      <w:r w:rsidRPr="00DA53FF">
        <w:rPr>
          <w:rFonts w:asciiTheme="minorHAnsi" w:hAnsiTheme="minorHAnsi"/>
          <w:b/>
          <w:sz w:val="26"/>
          <w:szCs w:val="26"/>
        </w:rPr>
        <w:t>d</w:t>
      </w:r>
      <w:r w:rsidRPr="00DA53FF">
        <w:rPr>
          <w:rFonts w:asciiTheme="minorHAnsi" w:hAnsiTheme="minorHAnsi"/>
          <w:b/>
          <w:bCs/>
          <w:sz w:val="26"/>
          <w:szCs w:val="26"/>
        </w:rPr>
        <w:t xml:space="preserve">omácnosti </w:t>
      </w:r>
      <w:r w:rsidRPr="007C1C11">
        <w:rPr>
          <w:rFonts w:asciiTheme="minorHAnsi" w:hAnsiTheme="minorHAnsi"/>
          <w:sz w:val="26"/>
          <w:szCs w:val="26"/>
        </w:rPr>
        <w:t>však</w:t>
      </w:r>
      <w:r>
        <w:rPr>
          <w:rFonts w:asciiTheme="minorHAnsi" w:hAnsiTheme="minorHAnsi"/>
          <w:b/>
          <w:bCs/>
          <w:sz w:val="26"/>
          <w:szCs w:val="26"/>
        </w:rPr>
        <w:t xml:space="preserve"> </w:t>
      </w:r>
      <w:r w:rsidRPr="00DA53FF">
        <w:rPr>
          <w:rFonts w:asciiTheme="minorHAnsi" w:hAnsiTheme="minorHAnsi"/>
          <w:bCs/>
          <w:sz w:val="26"/>
          <w:szCs w:val="26"/>
        </w:rPr>
        <w:t xml:space="preserve">v úhrnu nadále </w:t>
      </w:r>
      <w:r w:rsidRPr="00DA53FF">
        <w:rPr>
          <w:rFonts w:asciiTheme="minorHAnsi" w:hAnsiTheme="minorHAnsi"/>
          <w:b/>
          <w:bCs/>
          <w:sz w:val="26"/>
          <w:szCs w:val="26"/>
        </w:rPr>
        <w:t>dokázaly</w:t>
      </w:r>
      <w:r w:rsidRPr="00DA53FF">
        <w:rPr>
          <w:rFonts w:asciiTheme="minorHAnsi" w:hAnsiTheme="minorHAnsi"/>
          <w:bCs/>
          <w:sz w:val="26"/>
          <w:szCs w:val="26"/>
        </w:rPr>
        <w:t xml:space="preserve"> </w:t>
      </w:r>
      <w:r w:rsidRPr="00DA53FF">
        <w:rPr>
          <w:rFonts w:asciiTheme="minorHAnsi" w:hAnsiTheme="minorHAnsi"/>
          <w:b/>
          <w:bCs/>
          <w:sz w:val="26"/>
          <w:szCs w:val="26"/>
        </w:rPr>
        <w:t xml:space="preserve">vytvářet nové úspory a </w:t>
      </w:r>
      <w:r w:rsidRPr="00DA53FF">
        <w:rPr>
          <w:rFonts w:asciiTheme="minorHAnsi" w:hAnsiTheme="minorHAnsi"/>
          <w:b/>
          <w:sz w:val="26"/>
          <w:szCs w:val="26"/>
        </w:rPr>
        <w:t>jejich</w:t>
      </w:r>
      <w:r w:rsidRPr="00DA53FF">
        <w:rPr>
          <w:rFonts w:asciiTheme="minorHAnsi" w:hAnsiTheme="minorHAnsi"/>
          <w:sz w:val="26"/>
          <w:szCs w:val="26"/>
        </w:rPr>
        <w:t xml:space="preserve"> (korunové a</w:t>
      </w:r>
      <w:r>
        <w:rPr>
          <w:rFonts w:asciiTheme="minorHAnsi" w:hAnsiTheme="minorHAnsi"/>
          <w:sz w:val="26"/>
          <w:szCs w:val="26"/>
        </w:rPr>
        <w:t xml:space="preserve"> </w:t>
      </w:r>
      <w:proofErr w:type="spellStart"/>
      <w:r w:rsidRPr="00DA53FF">
        <w:rPr>
          <w:rFonts w:asciiTheme="minorHAnsi" w:hAnsiTheme="minorHAnsi"/>
          <w:sz w:val="26"/>
          <w:szCs w:val="26"/>
        </w:rPr>
        <w:t>cizoměnové</w:t>
      </w:r>
      <w:proofErr w:type="spellEnd"/>
      <w:r w:rsidRPr="00DA53FF">
        <w:rPr>
          <w:rFonts w:asciiTheme="minorHAnsi" w:hAnsiTheme="minorHAnsi"/>
          <w:sz w:val="26"/>
          <w:szCs w:val="26"/>
        </w:rPr>
        <w:t xml:space="preserve">) </w:t>
      </w:r>
      <w:r w:rsidRPr="00DA53FF">
        <w:rPr>
          <w:rFonts w:asciiTheme="minorHAnsi" w:hAnsiTheme="minorHAnsi"/>
          <w:b/>
          <w:sz w:val="26"/>
          <w:szCs w:val="26"/>
        </w:rPr>
        <w:t>vklady</w:t>
      </w:r>
      <w:r w:rsidRPr="00DA53FF">
        <w:rPr>
          <w:rFonts w:asciiTheme="minorHAnsi" w:hAnsiTheme="minorHAnsi"/>
          <w:sz w:val="26"/>
          <w:szCs w:val="26"/>
        </w:rPr>
        <w:t xml:space="preserve"> </w:t>
      </w:r>
      <w:r w:rsidRPr="00DA53FF">
        <w:rPr>
          <w:rFonts w:asciiTheme="minorHAnsi" w:hAnsiTheme="minorHAnsi"/>
          <w:b/>
          <w:bCs/>
          <w:sz w:val="26"/>
          <w:szCs w:val="26"/>
        </w:rPr>
        <w:t xml:space="preserve">se </w:t>
      </w:r>
      <w:r w:rsidRPr="00DA53FF">
        <w:rPr>
          <w:rFonts w:asciiTheme="minorHAnsi" w:hAnsiTheme="minorHAnsi"/>
          <w:sz w:val="26"/>
          <w:szCs w:val="26"/>
        </w:rPr>
        <w:t xml:space="preserve">podle dostupných údajů ČNB </w:t>
      </w:r>
      <w:r w:rsidRPr="007C1C11">
        <w:rPr>
          <w:rFonts w:asciiTheme="minorHAnsi" w:hAnsiTheme="minorHAnsi"/>
          <w:sz w:val="26"/>
          <w:szCs w:val="26"/>
        </w:rPr>
        <w:t xml:space="preserve">k 30. 6. 2022 </w:t>
      </w:r>
      <w:r w:rsidRPr="000F7FE9">
        <w:rPr>
          <w:rFonts w:asciiTheme="minorHAnsi" w:hAnsiTheme="minorHAnsi"/>
          <w:sz w:val="26"/>
          <w:szCs w:val="26"/>
        </w:rPr>
        <w:t xml:space="preserve">meziročně </w:t>
      </w:r>
      <w:r w:rsidRPr="000F7FE9">
        <w:rPr>
          <w:rFonts w:asciiTheme="minorHAnsi" w:hAnsiTheme="minorHAnsi"/>
          <w:b/>
          <w:bCs/>
          <w:sz w:val="26"/>
          <w:szCs w:val="26"/>
        </w:rPr>
        <w:t>zvýšily o</w:t>
      </w:r>
      <w:r>
        <w:rPr>
          <w:rFonts w:asciiTheme="minorHAnsi" w:hAnsiTheme="minorHAnsi"/>
          <w:b/>
          <w:bCs/>
          <w:sz w:val="26"/>
          <w:szCs w:val="26"/>
        </w:rPr>
        <w:t xml:space="preserve"> </w:t>
      </w:r>
      <w:r w:rsidRPr="000F7FE9">
        <w:rPr>
          <w:rFonts w:asciiTheme="minorHAnsi" w:hAnsiTheme="minorHAnsi"/>
          <w:b/>
          <w:bCs/>
          <w:sz w:val="26"/>
          <w:szCs w:val="26"/>
        </w:rPr>
        <w:t>98,5 mld. Kč na 3 323,5 mld. Kč</w:t>
      </w:r>
      <w:r w:rsidRPr="000F7FE9">
        <w:rPr>
          <w:rFonts w:asciiTheme="minorHAnsi" w:hAnsiTheme="minorHAnsi"/>
          <w:bCs/>
          <w:sz w:val="26"/>
          <w:szCs w:val="26"/>
        </w:rPr>
        <w:t xml:space="preserve"> – viz tabulku č. 24 v příloze.</w:t>
      </w:r>
    </w:p>
    <w:p w14:paraId="11EE1C40" w14:textId="77777777" w:rsidR="009951B9" w:rsidRPr="000F7FE9" w:rsidRDefault="009951B9" w:rsidP="008B1FD8">
      <w:pPr>
        <w:spacing w:after="240" w:line="360" w:lineRule="auto"/>
        <w:jc w:val="both"/>
        <w:rPr>
          <w:rFonts w:asciiTheme="minorHAnsi" w:hAnsiTheme="minorHAnsi"/>
          <w:bCs/>
          <w:sz w:val="26"/>
          <w:szCs w:val="26"/>
        </w:rPr>
      </w:pPr>
    </w:p>
    <w:p w14:paraId="3FC1EF56" w14:textId="77777777" w:rsidR="008B1FD8" w:rsidRPr="00D951DA" w:rsidRDefault="008B1FD8" w:rsidP="008B1FD8">
      <w:pPr>
        <w:spacing w:line="360" w:lineRule="auto"/>
        <w:jc w:val="both"/>
        <w:rPr>
          <w:rFonts w:asciiTheme="minorHAnsi" w:hAnsiTheme="minorHAnsi"/>
          <w:b/>
          <w:bCs/>
          <w:sz w:val="26"/>
          <w:szCs w:val="26"/>
        </w:rPr>
      </w:pPr>
      <w:r>
        <w:rPr>
          <w:rFonts w:asciiTheme="minorHAnsi" w:hAnsiTheme="minorHAnsi"/>
          <w:b/>
          <w:bCs/>
          <w:noProof/>
          <w:sz w:val="26"/>
          <w:szCs w:val="26"/>
        </w:rPr>
        <w:drawing>
          <wp:inline distT="0" distB="0" distL="0" distR="0" wp14:anchorId="34024FD4" wp14:editId="57BD4F9B">
            <wp:extent cx="5773420" cy="3444240"/>
            <wp:effectExtent l="0" t="0" r="0" b="381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3420" cy="3444240"/>
                    </a:xfrm>
                    <a:prstGeom prst="rect">
                      <a:avLst/>
                    </a:prstGeom>
                    <a:noFill/>
                  </pic:spPr>
                </pic:pic>
              </a:graphicData>
            </a:graphic>
          </wp:inline>
        </w:drawing>
      </w:r>
    </w:p>
    <w:p w14:paraId="0E078957" w14:textId="77777777" w:rsidR="008B1FD8" w:rsidRPr="00C67B8E" w:rsidRDefault="008B1FD8" w:rsidP="008B1FD8">
      <w:pPr>
        <w:jc w:val="both"/>
        <w:rPr>
          <w:rFonts w:asciiTheme="minorHAnsi" w:hAnsiTheme="minorHAnsi"/>
          <w:bCs/>
          <w:sz w:val="22"/>
          <w:szCs w:val="22"/>
        </w:rPr>
      </w:pPr>
      <w:r w:rsidRPr="00C67B8E">
        <w:rPr>
          <w:rFonts w:asciiTheme="minorHAnsi" w:hAnsiTheme="minorHAnsi"/>
          <w:bCs/>
          <w:sz w:val="22"/>
          <w:szCs w:val="22"/>
        </w:rPr>
        <w:t>Zpracováno z údajů ČNB</w:t>
      </w:r>
    </w:p>
    <w:p w14:paraId="522C92F0" w14:textId="77777777" w:rsidR="008B1FD8" w:rsidRPr="00C67B8E" w:rsidRDefault="008B1FD8" w:rsidP="008B1FD8">
      <w:pPr>
        <w:jc w:val="both"/>
        <w:rPr>
          <w:rFonts w:asciiTheme="minorHAnsi" w:hAnsiTheme="minorHAnsi"/>
          <w:bCs/>
          <w:sz w:val="22"/>
          <w:szCs w:val="22"/>
        </w:rPr>
      </w:pPr>
      <w:r w:rsidRPr="00C67B8E">
        <w:rPr>
          <w:rFonts w:asciiTheme="minorHAnsi" w:hAnsiTheme="minorHAnsi"/>
          <w:bCs/>
          <w:sz w:val="22"/>
          <w:szCs w:val="22"/>
        </w:rPr>
        <w:t>* Spořicí účty a ostatní netermínované vklady</w:t>
      </w:r>
    </w:p>
    <w:p w14:paraId="130DF435" w14:textId="77777777" w:rsidR="008B1FD8" w:rsidRDefault="008B1FD8" w:rsidP="008B1FD8">
      <w:pPr>
        <w:spacing w:after="240" w:line="360" w:lineRule="auto"/>
        <w:jc w:val="both"/>
        <w:rPr>
          <w:rFonts w:asciiTheme="minorHAnsi" w:hAnsiTheme="minorHAnsi"/>
          <w:bCs/>
          <w:sz w:val="26"/>
          <w:szCs w:val="26"/>
        </w:rPr>
      </w:pPr>
    </w:p>
    <w:p w14:paraId="195E41C4" w14:textId="77777777" w:rsidR="008B1FD8" w:rsidRPr="00DA53FF" w:rsidRDefault="008B1FD8" w:rsidP="008B1FD8">
      <w:pPr>
        <w:spacing w:after="240" w:line="360" w:lineRule="auto"/>
        <w:jc w:val="both"/>
        <w:rPr>
          <w:rFonts w:asciiTheme="minorHAnsi" w:hAnsiTheme="minorHAnsi"/>
          <w:sz w:val="26"/>
          <w:szCs w:val="26"/>
        </w:rPr>
      </w:pPr>
      <w:r w:rsidRPr="00A9546B">
        <w:rPr>
          <w:rFonts w:asciiTheme="minorHAnsi" w:hAnsiTheme="minorHAnsi"/>
          <w:bCs/>
          <w:sz w:val="26"/>
          <w:szCs w:val="26"/>
        </w:rPr>
        <w:lastRenderedPageBreak/>
        <w:tab/>
      </w:r>
      <w:r w:rsidRPr="00A9546B">
        <w:rPr>
          <w:rFonts w:asciiTheme="minorHAnsi" w:hAnsiTheme="minorHAnsi"/>
          <w:b/>
          <w:sz w:val="26"/>
          <w:szCs w:val="26"/>
        </w:rPr>
        <w:t xml:space="preserve">Úročení </w:t>
      </w:r>
      <w:r w:rsidRPr="000F7FE9">
        <w:rPr>
          <w:rFonts w:asciiTheme="minorHAnsi" w:hAnsiTheme="minorHAnsi"/>
          <w:b/>
          <w:sz w:val="26"/>
          <w:szCs w:val="26"/>
        </w:rPr>
        <w:t xml:space="preserve">vkladů se oproti předchozímu roku </w:t>
      </w:r>
      <w:r w:rsidRPr="00A7326E">
        <w:rPr>
          <w:rFonts w:asciiTheme="minorHAnsi" w:hAnsiTheme="minorHAnsi"/>
          <w:bCs/>
          <w:sz w:val="26"/>
          <w:szCs w:val="26"/>
        </w:rPr>
        <w:t>v</w:t>
      </w:r>
      <w:r>
        <w:rPr>
          <w:rFonts w:asciiTheme="minorHAnsi" w:hAnsiTheme="minorHAnsi"/>
          <w:bCs/>
          <w:sz w:val="26"/>
          <w:szCs w:val="26"/>
        </w:rPr>
        <w:t xml:space="preserve"> </w:t>
      </w:r>
      <w:r w:rsidRPr="00A7326E">
        <w:rPr>
          <w:rFonts w:asciiTheme="minorHAnsi" w:hAnsiTheme="minorHAnsi"/>
          <w:bCs/>
          <w:sz w:val="26"/>
          <w:szCs w:val="26"/>
        </w:rPr>
        <w:t>reakci na růst základních sazeb ČNB</w:t>
      </w:r>
      <w:r>
        <w:rPr>
          <w:rFonts w:asciiTheme="minorHAnsi" w:hAnsiTheme="minorHAnsi"/>
          <w:b/>
          <w:sz w:val="26"/>
          <w:szCs w:val="26"/>
        </w:rPr>
        <w:t xml:space="preserve"> </w:t>
      </w:r>
      <w:r w:rsidRPr="000F7FE9">
        <w:rPr>
          <w:rFonts w:asciiTheme="minorHAnsi" w:hAnsiTheme="minorHAnsi"/>
          <w:b/>
          <w:sz w:val="26"/>
          <w:szCs w:val="26"/>
        </w:rPr>
        <w:t>zvýšilo</w:t>
      </w:r>
      <w:r>
        <w:rPr>
          <w:rFonts w:asciiTheme="minorHAnsi" w:hAnsiTheme="minorHAnsi"/>
          <w:b/>
          <w:sz w:val="26"/>
          <w:szCs w:val="26"/>
        </w:rPr>
        <w:t>.</w:t>
      </w:r>
      <w:r w:rsidRPr="000F7FE9">
        <w:rPr>
          <w:rFonts w:asciiTheme="minorHAnsi" w:hAnsiTheme="minorHAnsi"/>
          <w:sz w:val="26"/>
          <w:szCs w:val="26"/>
        </w:rPr>
        <w:t xml:space="preserve"> Průměrná úroková sazba jednodenních vkladů podle ČNB k 30. 6. 2022 vzrostla na 0,77 % (o 0,68 p. b. </w:t>
      </w:r>
      <w:r w:rsidRPr="00BF4CE6">
        <w:rPr>
          <w:rFonts w:asciiTheme="minorHAnsi" w:hAnsiTheme="minorHAnsi"/>
          <w:sz w:val="26"/>
          <w:szCs w:val="26"/>
        </w:rPr>
        <w:t xml:space="preserve">více </w:t>
      </w:r>
      <w:r w:rsidRPr="000F7FE9">
        <w:rPr>
          <w:rFonts w:asciiTheme="minorHAnsi" w:hAnsiTheme="minorHAnsi"/>
          <w:sz w:val="26"/>
          <w:szCs w:val="26"/>
        </w:rPr>
        <w:t>oproti stejnému období předchozího roku), sazba z</w:t>
      </w:r>
      <w:r>
        <w:rPr>
          <w:rFonts w:asciiTheme="minorHAnsi" w:hAnsiTheme="minorHAnsi"/>
          <w:sz w:val="26"/>
          <w:szCs w:val="26"/>
        </w:rPr>
        <w:t> </w:t>
      </w:r>
      <w:r w:rsidRPr="000F7FE9">
        <w:rPr>
          <w:rFonts w:asciiTheme="minorHAnsi" w:hAnsiTheme="minorHAnsi"/>
          <w:sz w:val="26"/>
          <w:szCs w:val="26"/>
        </w:rPr>
        <w:t>vkladů s výpovědní lhůtou se zvýšila na 1,60 %. Výrazný růst nastal u úrokových sazeb s dohodnutou splatností s průměrným úročením 5,34 % (o 4,79 p. b. meziročně více).</w:t>
      </w:r>
    </w:p>
    <w:p w14:paraId="500DABA2" w14:textId="76BE88B5" w:rsidR="008B1FD8" w:rsidRDefault="008B1FD8" w:rsidP="008B1FD8">
      <w:pPr>
        <w:spacing w:after="240" w:line="360" w:lineRule="auto"/>
        <w:jc w:val="both"/>
        <w:rPr>
          <w:rFonts w:asciiTheme="minorHAnsi" w:hAnsiTheme="minorHAnsi"/>
          <w:b/>
          <w:bCs/>
          <w:sz w:val="26"/>
          <w:szCs w:val="26"/>
        </w:rPr>
      </w:pPr>
      <w:r w:rsidRPr="00DA53FF">
        <w:rPr>
          <w:rFonts w:asciiTheme="minorHAnsi" w:hAnsiTheme="minorHAnsi"/>
          <w:bCs/>
          <w:sz w:val="26"/>
          <w:szCs w:val="26"/>
        </w:rPr>
        <w:tab/>
      </w:r>
      <w:r w:rsidRPr="00DA53FF">
        <w:rPr>
          <w:rFonts w:asciiTheme="minorHAnsi" w:hAnsiTheme="minorHAnsi"/>
          <w:b/>
          <w:sz w:val="26"/>
          <w:szCs w:val="26"/>
        </w:rPr>
        <w:t>Domácnosti</w:t>
      </w:r>
      <w:r w:rsidRPr="00DA53FF">
        <w:rPr>
          <w:rFonts w:asciiTheme="minorHAnsi" w:hAnsiTheme="minorHAnsi"/>
          <w:sz w:val="26"/>
          <w:szCs w:val="26"/>
        </w:rPr>
        <w:t xml:space="preserve"> </w:t>
      </w:r>
      <w:r w:rsidRPr="00DA53FF">
        <w:rPr>
          <w:rFonts w:asciiTheme="minorHAnsi" w:hAnsiTheme="minorHAnsi"/>
          <w:b/>
          <w:sz w:val="26"/>
          <w:szCs w:val="26"/>
        </w:rPr>
        <w:t>dávaly</w:t>
      </w:r>
      <w:r w:rsidRPr="00DA53FF">
        <w:rPr>
          <w:rFonts w:asciiTheme="minorHAnsi" w:hAnsiTheme="minorHAnsi"/>
          <w:sz w:val="26"/>
          <w:szCs w:val="26"/>
        </w:rPr>
        <w:t xml:space="preserve"> v souvislosti s růstem úročení vkladů a vysokou inflací </w:t>
      </w:r>
      <w:r w:rsidRPr="00DA53FF">
        <w:rPr>
          <w:rFonts w:asciiTheme="minorHAnsi" w:hAnsiTheme="minorHAnsi"/>
          <w:b/>
          <w:sz w:val="26"/>
          <w:szCs w:val="26"/>
        </w:rPr>
        <w:t>přednost tvorbě úspor v</w:t>
      </w:r>
      <w:r w:rsidRPr="00DA53FF">
        <w:rPr>
          <w:rFonts w:asciiTheme="minorHAnsi" w:hAnsiTheme="minorHAnsi"/>
          <w:sz w:val="26"/>
          <w:szCs w:val="26"/>
        </w:rPr>
        <w:t xml:space="preserve"> jejich </w:t>
      </w:r>
      <w:r w:rsidRPr="00DA53FF">
        <w:rPr>
          <w:rFonts w:asciiTheme="minorHAnsi" w:hAnsiTheme="minorHAnsi"/>
          <w:b/>
          <w:bCs/>
          <w:sz w:val="26"/>
          <w:szCs w:val="26"/>
        </w:rPr>
        <w:t>termínové formě</w:t>
      </w:r>
      <w:r>
        <w:rPr>
          <w:rFonts w:asciiTheme="minorHAnsi" w:hAnsiTheme="minorHAnsi"/>
          <w:b/>
          <w:bCs/>
          <w:sz w:val="26"/>
          <w:szCs w:val="26"/>
        </w:rPr>
        <w:t xml:space="preserve"> </w:t>
      </w:r>
      <w:r w:rsidRPr="00DA53FF">
        <w:rPr>
          <w:rFonts w:asciiTheme="minorHAnsi" w:hAnsiTheme="minorHAnsi"/>
          <w:sz w:val="26"/>
          <w:szCs w:val="26"/>
        </w:rPr>
        <w:t>(vklady se splatností nebo výpovědní lhůtou),</w:t>
      </w:r>
      <w:r w:rsidRPr="00DA53FF">
        <w:rPr>
          <w:rFonts w:asciiTheme="minorHAnsi" w:hAnsiTheme="minorHAnsi"/>
          <w:b/>
          <w:bCs/>
          <w:sz w:val="26"/>
          <w:szCs w:val="26"/>
        </w:rPr>
        <w:t xml:space="preserve"> </w:t>
      </w:r>
      <w:r w:rsidRPr="00DA53FF">
        <w:rPr>
          <w:rFonts w:asciiTheme="minorHAnsi" w:hAnsiTheme="minorHAnsi"/>
          <w:sz w:val="26"/>
          <w:szCs w:val="26"/>
        </w:rPr>
        <w:t>přesto</w:t>
      </w:r>
      <w:r w:rsidRPr="00DA53FF">
        <w:rPr>
          <w:rFonts w:asciiTheme="minorHAnsi" w:hAnsiTheme="minorHAnsi"/>
          <w:b/>
          <w:bCs/>
          <w:sz w:val="26"/>
          <w:szCs w:val="26"/>
        </w:rPr>
        <w:t xml:space="preserve"> </w:t>
      </w:r>
      <w:r w:rsidRPr="00DA53FF">
        <w:rPr>
          <w:rFonts w:asciiTheme="minorHAnsi" w:hAnsiTheme="minorHAnsi"/>
          <w:bCs/>
          <w:sz w:val="26"/>
          <w:szCs w:val="26"/>
        </w:rPr>
        <w:t>netermínované vklady (např.</w:t>
      </w:r>
      <w:r>
        <w:rPr>
          <w:rFonts w:asciiTheme="minorHAnsi" w:hAnsiTheme="minorHAnsi"/>
          <w:bCs/>
          <w:sz w:val="26"/>
          <w:szCs w:val="26"/>
        </w:rPr>
        <w:t xml:space="preserve"> </w:t>
      </w:r>
      <w:r w:rsidRPr="00DA53FF">
        <w:rPr>
          <w:rFonts w:asciiTheme="minorHAnsi" w:hAnsiTheme="minorHAnsi"/>
          <w:bCs/>
          <w:sz w:val="26"/>
          <w:szCs w:val="26"/>
        </w:rPr>
        <w:t>běžné účty) nadále tvořily 78,0 % celkových vkladů (meziroční pokles o 6,2 p. b.).</w:t>
      </w:r>
      <w:r w:rsidRPr="00DA53FF">
        <w:rPr>
          <w:rFonts w:asciiTheme="minorHAnsi" w:hAnsiTheme="minorHAnsi"/>
          <w:b/>
          <w:bCs/>
          <w:sz w:val="26"/>
          <w:szCs w:val="26"/>
        </w:rPr>
        <w:t xml:space="preserve"> Termínové vklady zvýšily </w:t>
      </w:r>
      <w:r w:rsidRPr="00DA53FF">
        <w:rPr>
          <w:rFonts w:asciiTheme="minorHAnsi" w:hAnsiTheme="minorHAnsi"/>
          <w:sz w:val="26"/>
          <w:szCs w:val="26"/>
        </w:rPr>
        <w:t>k 30. 6. 2022 meziročně</w:t>
      </w:r>
      <w:r w:rsidRPr="00DA53FF">
        <w:rPr>
          <w:rFonts w:asciiTheme="minorHAnsi" w:hAnsiTheme="minorHAnsi"/>
          <w:b/>
          <w:bCs/>
          <w:sz w:val="26"/>
          <w:szCs w:val="26"/>
        </w:rPr>
        <w:t xml:space="preserve"> svůj objem </w:t>
      </w:r>
      <w:r w:rsidRPr="00DA53FF">
        <w:rPr>
          <w:rFonts w:asciiTheme="minorHAnsi" w:hAnsiTheme="minorHAnsi"/>
          <w:sz w:val="26"/>
          <w:szCs w:val="26"/>
        </w:rPr>
        <w:t>o 223,5</w:t>
      </w:r>
      <w:r>
        <w:rPr>
          <w:rFonts w:asciiTheme="minorHAnsi" w:hAnsiTheme="minorHAnsi"/>
          <w:sz w:val="26"/>
          <w:szCs w:val="26"/>
        </w:rPr>
        <w:t> </w:t>
      </w:r>
      <w:r w:rsidRPr="00DA53FF">
        <w:rPr>
          <w:rFonts w:asciiTheme="minorHAnsi" w:hAnsiTheme="minorHAnsi"/>
          <w:sz w:val="26"/>
          <w:szCs w:val="26"/>
        </w:rPr>
        <w:t>mld.</w:t>
      </w:r>
      <w:r>
        <w:rPr>
          <w:rFonts w:asciiTheme="minorHAnsi" w:hAnsiTheme="minorHAnsi"/>
          <w:sz w:val="26"/>
          <w:szCs w:val="26"/>
        </w:rPr>
        <w:t> </w:t>
      </w:r>
      <w:r w:rsidRPr="00DA53FF">
        <w:rPr>
          <w:rFonts w:asciiTheme="minorHAnsi" w:hAnsiTheme="minorHAnsi"/>
          <w:sz w:val="26"/>
          <w:szCs w:val="26"/>
        </w:rPr>
        <w:t>Kč,</w:t>
      </w:r>
      <w:r w:rsidRPr="00DA53FF">
        <w:rPr>
          <w:rFonts w:asciiTheme="minorHAnsi" w:hAnsiTheme="minorHAnsi"/>
          <w:b/>
          <w:bCs/>
          <w:sz w:val="26"/>
          <w:szCs w:val="26"/>
        </w:rPr>
        <w:t xml:space="preserve"> naopak netermínované vklady zaznamenaly </w:t>
      </w:r>
      <w:r w:rsidRPr="00DA53FF">
        <w:rPr>
          <w:rFonts w:asciiTheme="minorHAnsi" w:hAnsiTheme="minorHAnsi"/>
          <w:sz w:val="26"/>
          <w:szCs w:val="26"/>
        </w:rPr>
        <w:t>ve stejném období</w:t>
      </w:r>
      <w:r w:rsidRPr="00DA53FF">
        <w:rPr>
          <w:rFonts w:asciiTheme="minorHAnsi" w:hAnsiTheme="minorHAnsi"/>
          <w:b/>
          <w:bCs/>
          <w:sz w:val="26"/>
          <w:szCs w:val="26"/>
        </w:rPr>
        <w:t xml:space="preserve"> pokles</w:t>
      </w:r>
      <w:r w:rsidRPr="00DA53FF">
        <w:rPr>
          <w:rFonts w:asciiTheme="minorHAnsi" w:hAnsiTheme="minorHAnsi"/>
          <w:sz w:val="26"/>
          <w:szCs w:val="26"/>
        </w:rPr>
        <w:t xml:space="preserve"> o 125,0 mld.</w:t>
      </w:r>
      <w:r>
        <w:rPr>
          <w:rFonts w:asciiTheme="minorHAnsi" w:hAnsiTheme="minorHAnsi"/>
          <w:sz w:val="26"/>
          <w:szCs w:val="26"/>
        </w:rPr>
        <w:t> </w:t>
      </w:r>
      <w:r w:rsidRPr="00DA53FF">
        <w:rPr>
          <w:rFonts w:asciiTheme="minorHAnsi" w:hAnsiTheme="minorHAnsi"/>
          <w:sz w:val="26"/>
          <w:szCs w:val="26"/>
        </w:rPr>
        <w:t xml:space="preserve">Kč. Jednalo se o zřejmou změnu dynamiky v chování domácností, které v předchozích deseti letech preferovaly více likvidní formu úspor, ale </w:t>
      </w:r>
      <w:r w:rsidRPr="007C1C11">
        <w:rPr>
          <w:rFonts w:asciiTheme="minorHAnsi" w:hAnsiTheme="minorHAnsi"/>
          <w:b/>
          <w:bCs/>
          <w:sz w:val="26"/>
          <w:szCs w:val="26"/>
        </w:rPr>
        <w:t>v tomto roce došlo poprvé od roku 1998 k meziročnímu poklesu netermínovaných vkladů.</w:t>
      </w:r>
    </w:p>
    <w:p w14:paraId="377E3EDE" w14:textId="5371C295" w:rsidR="008B1FD8" w:rsidRDefault="000C156C" w:rsidP="000C156C">
      <w:pPr>
        <w:spacing w:after="240" w:line="360" w:lineRule="auto"/>
        <w:jc w:val="both"/>
      </w:pPr>
      <w:r>
        <w:rPr>
          <w:rFonts w:asciiTheme="minorHAnsi" w:hAnsiTheme="minorHAnsi"/>
          <w:b/>
          <w:bCs/>
          <w:sz w:val="26"/>
          <w:szCs w:val="26"/>
        </w:rPr>
        <w:tab/>
      </w:r>
      <w:r w:rsidR="008B1FD8" w:rsidRPr="00A7326E">
        <w:rPr>
          <w:rFonts w:asciiTheme="minorHAnsi" w:hAnsiTheme="minorHAnsi"/>
          <w:bCs/>
          <w:sz w:val="26"/>
          <w:szCs w:val="26"/>
        </w:rPr>
        <w:t xml:space="preserve">Podle údajů AKAT </w:t>
      </w:r>
      <w:r w:rsidR="008B1FD8" w:rsidRPr="00A7326E">
        <w:rPr>
          <w:rFonts w:asciiTheme="minorHAnsi" w:hAnsiTheme="minorHAnsi"/>
          <w:b/>
          <w:bCs/>
          <w:sz w:val="26"/>
          <w:szCs w:val="26"/>
        </w:rPr>
        <w:t>stav peněžních prostředk</w:t>
      </w:r>
      <w:r w:rsidR="008B1FD8" w:rsidRPr="00BB4E6B">
        <w:rPr>
          <w:rFonts w:asciiTheme="minorHAnsi" w:hAnsiTheme="minorHAnsi"/>
          <w:b/>
          <w:bCs/>
          <w:sz w:val="26"/>
          <w:szCs w:val="26"/>
        </w:rPr>
        <w:t>ů investovaných do</w:t>
      </w:r>
      <w:r w:rsidR="008B1FD8" w:rsidRPr="00BB4E6B">
        <w:rPr>
          <w:rFonts w:asciiTheme="minorHAnsi" w:hAnsiTheme="minorHAnsi"/>
          <w:sz w:val="26"/>
          <w:szCs w:val="26"/>
        </w:rPr>
        <w:t xml:space="preserve"> tuzemských a</w:t>
      </w:r>
      <w:r w:rsidR="008B1FD8">
        <w:rPr>
          <w:rFonts w:asciiTheme="minorHAnsi" w:hAnsiTheme="minorHAnsi"/>
          <w:sz w:val="26"/>
          <w:szCs w:val="26"/>
        </w:rPr>
        <w:t> </w:t>
      </w:r>
      <w:r w:rsidR="008B1FD8" w:rsidRPr="00BB4E6B">
        <w:rPr>
          <w:rFonts w:asciiTheme="minorHAnsi" w:hAnsiTheme="minorHAnsi"/>
          <w:sz w:val="26"/>
          <w:szCs w:val="26"/>
        </w:rPr>
        <w:t xml:space="preserve">zahraničních otevřených </w:t>
      </w:r>
      <w:r w:rsidR="008B1FD8" w:rsidRPr="00BB4E6B">
        <w:rPr>
          <w:rFonts w:asciiTheme="minorHAnsi" w:hAnsiTheme="minorHAnsi"/>
          <w:b/>
          <w:bCs/>
          <w:sz w:val="26"/>
          <w:szCs w:val="26"/>
        </w:rPr>
        <w:t>podílových fondů</w:t>
      </w:r>
      <w:r w:rsidR="008B1FD8" w:rsidRPr="00BB4E6B">
        <w:rPr>
          <w:rFonts w:asciiTheme="minorHAnsi" w:hAnsiTheme="minorHAnsi"/>
          <w:sz w:val="26"/>
          <w:szCs w:val="26"/>
        </w:rPr>
        <w:t xml:space="preserve"> obyvatelstvem a institucemi </w:t>
      </w:r>
      <w:r w:rsidR="008B1FD8" w:rsidRPr="00BB4E6B">
        <w:rPr>
          <w:rFonts w:asciiTheme="minorHAnsi" w:hAnsiTheme="minorHAnsi"/>
          <w:b/>
          <w:sz w:val="26"/>
          <w:szCs w:val="26"/>
        </w:rPr>
        <w:t>činil</w:t>
      </w:r>
      <w:r w:rsidR="008B1FD8" w:rsidRPr="00BB4E6B">
        <w:rPr>
          <w:rFonts w:asciiTheme="minorHAnsi" w:hAnsiTheme="minorHAnsi"/>
          <w:sz w:val="26"/>
          <w:szCs w:val="26"/>
        </w:rPr>
        <w:t xml:space="preserve"> ke konci června tohoto roku </w:t>
      </w:r>
      <w:r w:rsidR="008B1FD8" w:rsidRPr="00BB4E6B">
        <w:rPr>
          <w:rFonts w:asciiTheme="minorHAnsi" w:hAnsiTheme="minorHAnsi"/>
          <w:b/>
          <w:bCs/>
          <w:sz w:val="26"/>
          <w:szCs w:val="26"/>
        </w:rPr>
        <w:t>687,6 mld. Kč</w:t>
      </w:r>
      <w:r w:rsidR="008B1FD8" w:rsidRPr="00BB4E6B">
        <w:rPr>
          <w:rFonts w:asciiTheme="minorHAnsi" w:hAnsiTheme="minorHAnsi"/>
          <w:b/>
          <w:sz w:val="26"/>
          <w:szCs w:val="26"/>
        </w:rPr>
        <w:t>,</w:t>
      </w:r>
      <w:r w:rsidR="008B1FD8" w:rsidRPr="00BB4E6B">
        <w:rPr>
          <w:rFonts w:asciiTheme="minorHAnsi" w:hAnsiTheme="minorHAnsi"/>
          <w:sz w:val="26"/>
          <w:szCs w:val="26"/>
        </w:rPr>
        <w:t xml:space="preserve"> </w:t>
      </w:r>
      <w:r w:rsidR="008B1FD8" w:rsidRPr="00BB4E6B">
        <w:rPr>
          <w:rFonts w:asciiTheme="minorHAnsi" w:hAnsiTheme="minorHAnsi"/>
          <w:b/>
          <w:sz w:val="26"/>
          <w:szCs w:val="26"/>
        </w:rPr>
        <w:t>což bylo</w:t>
      </w:r>
      <w:r w:rsidR="008B1FD8" w:rsidRPr="00BB4E6B">
        <w:rPr>
          <w:rFonts w:asciiTheme="minorHAnsi" w:hAnsiTheme="minorHAnsi"/>
          <w:sz w:val="26"/>
          <w:szCs w:val="26"/>
        </w:rPr>
        <w:t xml:space="preserve"> </w:t>
      </w:r>
      <w:r w:rsidR="008B1FD8" w:rsidRPr="00BB4E6B">
        <w:rPr>
          <w:rFonts w:asciiTheme="minorHAnsi" w:hAnsiTheme="minorHAnsi"/>
          <w:b/>
          <w:sz w:val="26"/>
          <w:szCs w:val="26"/>
        </w:rPr>
        <w:t>o 36,5 mld. Kč</w:t>
      </w:r>
      <w:r w:rsidR="008B1FD8" w:rsidRPr="00BB4E6B">
        <w:rPr>
          <w:rFonts w:asciiTheme="minorHAnsi" w:hAnsiTheme="minorHAnsi"/>
          <w:sz w:val="26"/>
          <w:szCs w:val="26"/>
        </w:rPr>
        <w:t xml:space="preserve"> </w:t>
      </w:r>
      <w:r w:rsidR="008B1FD8" w:rsidRPr="00BB4E6B">
        <w:rPr>
          <w:rFonts w:asciiTheme="minorHAnsi" w:hAnsiTheme="minorHAnsi"/>
          <w:b/>
          <w:sz w:val="26"/>
          <w:szCs w:val="26"/>
        </w:rPr>
        <w:t>více než v polovině roku 2021</w:t>
      </w:r>
      <w:r w:rsidR="008B1FD8" w:rsidRPr="00BB4E6B">
        <w:rPr>
          <w:rFonts w:asciiTheme="minorHAnsi" w:hAnsiTheme="minorHAnsi"/>
          <w:sz w:val="26"/>
          <w:szCs w:val="26"/>
        </w:rPr>
        <w:t xml:space="preserve"> (o rok dříve nastal růst o 105,3 mld. Kč). Na fyzické osoby připadalo 89 % z</w:t>
      </w:r>
      <w:r w:rsidR="008B1FD8">
        <w:rPr>
          <w:rFonts w:asciiTheme="minorHAnsi" w:hAnsiTheme="minorHAnsi"/>
          <w:sz w:val="26"/>
          <w:szCs w:val="26"/>
        </w:rPr>
        <w:t> </w:t>
      </w:r>
      <w:r w:rsidR="008B1FD8" w:rsidRPr="00BB4E6B">
        <w:rPr>
          <w:rFonts w:asciiTheme="minorHAnsi" w:hAnsiTheme="minorHAnsi"/>
          <w:sz w:val="26"/>
          <w:szCs w:val="26"/>
        </w:rPr>
        <w:t xml:space="preserve">celkového objemu podílových fondů. </w:t>
      </w:r>
      <w:r w:rsidR="008B1FD8" w:rsidRPr="00BB4E6B">
        <w:rPr>
          <w:rFonts w:asciiTheme="minorHAnsi" w:hAnsiTheme="minorHAnsi"/>
          <w:b/>
          <w:sz w:val="26"/>
          <w:szCs w:val="26"/>
        </w:rPr>
        <w:t>Více investic zaznamenaly meziročně hlavně dluhopisové a</w:t>
      </w:r>
      <w:r w:rsidR="008B1FD8">
        <w:rPr>
          <w:rFonts w:asciiTheme="minorHAnsi" w:hAnsiTheme="minorHAnsi"/>
          <w:b/>
          <w:sz w:val="26"/>
          <w:szCs w:val="26"/>
        </w:rPr>
        <w:t xml:space="preserve"> </w:t>
      </w:r>
      <w:r w:rsidR="008B1FD8" w:rsidRPr="00BB4E6B">
        <w:rPr>
          <w:rFonts w:asciiTheme="minorHAnsi" w:hAnsiTheme="minorHAnsi"/>
          <w:b/>
          <w:sz w:val="26"/>
          <w:szCs w:val="26"/>
        </w:rPr>
        <w:t>nemovitostní fondy.</w:t>
      </w:r>
      <w:r w:rsidR="008B1FD8" w:rsidRPr="00BB4E6B">
        <w:rPr>
          <w:rFonts w:asciiTheme="minorHAnsi" w:hAnsiTheme="minorHAnsi"/>
          <w:sz w:val="26"/>
          <w:szCs w:val="26"/>
        </w:rPr>
        <w:t xml:space="preserve"> Větší objem majetku byl oproti zahraničním fondům ve fondech domácích (64,0 % z celkových investic).</w:t>
      </w:r>
    </w:p>
    <w:p w14:paraId="06D60411" w14:textId="77777777" w:rsidR="00171EA0" w:rsidRDefault="00171EA0" w:rsidP="009A555A">
      <w:pPr>
        <w:spacing w:after="360" w:line="360" w:lineRule="auto"/>
        <w:jc w:val="both"/>
        <w:rPr>
          <w:rFonts w:asciiTheme="minorHAnsi" w:hAnsiTheme="minorHAnsi"/>
          <w:sz w:val="26"/>
          <w:szCs w:val="26"/>
        </w:rPr>
      </w:pPr>
    </w:p>
    <w:p w14:paraId="26BC356B" w14:textId="63EF99E9" w:rsidR="009A555A" w:rsidRPr="00A739D4" w:rsidRDefault="009A555A" w:rsidP="009A555A">
      <w:pPr>
        <w:spacing w:after="120" w:line="360" w:lineRule="auto"/>
        <w:jc w:val="both"/>
        <w:rPr>
          <w:rFonts w:asciiTheme="minorHAnsi" w:hAnsiTheme="minorHAnsi"/>
          <w:b/>
          <w:bCs/>
          <w:i/>
          <w:sz w:val="32"/>
          <w:szCs w:val="32"/>
        </w:rPr>
      </w:pPr>
      <w:r w:rsidRPr="00A739D4">
        <w:rPr>
          <w:rFonts w:asciiTheme="minorHAnsi" w:hAnsiTheme="minorHAnsi"/>
          <w:b/>
          <w:bCs/>
          <w:i/>
          <w:sz w:val="32"/>
          <w:szCs w:val="32"/>
        </w:rPr>
        <w:br w:type="page"/>
      </w:r>
    </w:p>
    <w:p w14:paraId="6F7F99B8" w14:textId="4F4E6BFC" w:rsidR="00E61EAC" w:rsidRPr="00E61EAC" w:rsidRDefault="00E61EAC" w:rsidP="000C156C">
      <w:pPr>
        <w:keepNext/>
        <w:numPr>
          <w:ilvl w:val="0"/>
          <w:numId w:val="3"/>
        </w:numPr>
        <w:spacing w:after="240"/>
        <w:ind w:left="391" w:hanging="391"/>
        <w:jc w:val="both"/>
        <w:outlineLvl w:val="0"/>
        <w:rPr>
          <w:rFonts w:ascii="Calibri" w:hAnsi="Calibri"/>
          <w:b/>
          <w:bCs/>
          <w:smallCaps/>
          <w:color w:val="1F497D"/>
          <w:sz w:val="44"/>
        </w:rPr>
      </w:pPr>
      <w:r w:rsidRPr="00E61EAC">
        <w:rPr>
          <w:rFonts w:ascii="Calibri" w:hAnsi="Calibri"/>
          <w:b/>
          <w:bCs/>
          <w:smallCaps/>
          <w:color w:val="1F497D"/>
          <w:sz w:val="44"/>
        </w:rPr>
        <w:lastRenderedPageBreak/>
        <w:t xml:space="preserve">Vývoj </w:t>
      </w:r>
      <w:r w:rsidR="00171EA0">
        <w:rPr>
          <w:rFonts w:ascii="Calibri" w:hAnsi="Calibri"/>
          <w:b/>
          <w:bCs/>
          <w:smallCaps/>
          <w:color w:val="1F497D"/>
          <w:sz w:val="44"/>
        </w:rPr>
        <w:t>ve 3. čtvrtletí</w:t>
      </w:r>
      <w:r w:rsidRPr="00E61EAC">
        <w:rPr>
          <w:rFonts w:ascii="Calibri" w:hAnsi="Calibri"/>
          <w:b/>
          <w:bCs/>
          <w:smallCaps/>
          <w:color w:val="1F497D"/>
          <w:sz w:val="44"/>
        </w:rPr>
        <w:t xml:space="preserve"> </w:t>
      </w:r>
      <w:r w:rsidR="005E003C">
        <w:rPr>
          <w:rFonts w:ascii="Calibri" w:hAnsi="Calibri"/>
          <w:b/>
          <w:bCs/>
          <w:smallCaps/>
          <w:color w:val="1F497D"/>
          <w:sz w:val="44"/>
        </w:rPr>
        <w:t xml:space="preserve">2022 </w:t>
      </w:r>
      <w:r w:rsidRPr="00E61EAC">
        <w:rPr>
          <w:rFonts w:ascii="Calibri" w:hAnsi="Calibri"/>
          <w:b/>
          <w:bCs/>
          <w:smallCaps/>
          <w:color w:val="1F497D"/>
          <w:sz w:val="44"/>
        </w:rPr>
        <w:t>a predikce na další období</w:t>
      </w:r>
    </w:p>
    <w:p w14:paraId="2976B90A" w14:textId="5120BEC2" w:rsidR="008B1FD8" w:rsidRPr="00760193" w:rsidRDefault="00E61EAC" w:rsidP="000C156C">
      <w:pPr>
        <w:spacing w:after="120" w:line="360" w:lineRule="auto"/>
        <w:jc w:val="both"/>
        <w:rPr>
          <w:rFonts w:asciiTheme="minorHAnsi" w:hAnsiTheme="minorHAnsi" w:cstheme="minorHAnsi"/>
          <w:sz w:val="26"/>
          <w:szCs w:val="26"/>
        </w:rPr>
      </w:pPr>
      <w:r w:rsidRPr="00E61EAC">
        <w:rPr>
          <w:rFonts w:ascii="Calibri" w:hAnsi="Calibri"/>
          <w:szCs w:val="24"/>
        </w:rPr>
        <w:tab/>
      </w:r>
      <w:r w:rsidR="008B1FD8" w:rsidRPr="00760193">
        <w:rPr>
          <w:rFonts w:asciiTheme="minorHAnsi" w:hAnsiTheme="minorHAnsi" w:cstheme="minorHAnsi"/>
          <w:sz w:val="26"/>
          <w:szCs w:val="26"/>
        </w:rPr>
        <w:t>Na počátku roku 2022 došlo postupně k</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rozvolnění hlavních opatření proti pandemii viru SARS-CoV-2. To spolu s</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nízkou srovnávací základnou v</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1.</w:t>
      </w:r>
      <w:r w:rsidR="008B1FD8">
        <w:rPr>
          <w:rFonts w:asciiTheme="minorHAnsi" w:hAnsiTheme="minorHAnsi" w:cstheme="minorHAnsi"/>
          <w:sz w:val="26"/>
          <w:szCs w:val="26"/>
        </w:rPr>
        <w:t> </w:t>
      </w:r>
      <w:r w:rsidR="008B1FD8" w:rsidRPr="00760193">
        <w:rPr>
          <w:rFonts w:asciiTheme="minorHAnsi" w:hAnsiTheme="minorHAnsi" w:cstheme="minorHAnsi"/>
          <w:sz w:val="26"/>
          <w:szCs w:val="26"/>
        </w:rPr>
        <w:t>čtvrtletí zapříčinilo poměrně vysoký nárůst hrubého domácího produktu v</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1.</w:t>
      </w:r>
      <w:r w:rsidR="008B1FD8">
        <w:rPr>
          <w:rFonts w:asciiTheme="minorHAnsi" w:hAnsiTheme="minorHAnsi" w:cstheme="minorHAnsi"/>
          <w:sz w:val="26"/>
          <w:szCs w:val="26"/>
        </w:rPr>
        <w:t> </w:t>
      </w:r>
      <w:r w:rsidR="008B1FD8" w:rsidRPr="00760193">
        <w:rPr>
          <w:rFonts w:asciiTheme="minorHAnsi" w:hAnsiTheme="minorHAnsi" w:cstheme="minorHAnsi"/>
          <w:sz w:val="26"/>
          <w:szCs w:val="26"/>
        </w:rPr>
        <w:t>pololetí letošního roku. Ve 2.</w:t>
      </w:r>
      <w:r w:rsidR="008B1FD8">
        <w:rPr>
          <w:rFonts w:asciiTheme="minorHAnsi" w:hAnsiTheme="minorHAnsi" w:cstheme="minorHAnsi"/>
          <w:sz w:val="26"/>
          <w:szCs w:val="26"/>
        </w:rPr>
        <w:t> </w:t>
      </w:r>
      <w:r w:rsidR="008B1FD8" w:rsidRPr="00760193">
        <w:rPr>
          <w:rFonts w:asciiTheme="minorHAnsi" w:hAnsiTheme="minorHAnsi" w:cstheme="minorHAnsi"/>
          <w:sz w:val="26"/>
          <w:szCs w:val="26"/>
        </w:rPr>
        <w:t>pololetí se očekává výrazné snížení tempa růstu (napjatá mezinárodně-politická situace, potíže na energetických trzích, vysoká cenová inflace) a celkově za rok nižší růst ekonomiky. V</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roce 2023 lze předpokládat setrvání (a spíše prohlubování) výše zmíněných negativních vlivů na národní hospodářství a z</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toho vyplývající nižší odhad růstu než v</w:t>
      </w:r>
      <w:r w:rsidR="008B1FD8">
        <w:rPr>
          <w:rFonts w:asciiTheme="minorHAnsi" w:hAnsiTheme="minorHAnsi" w:cstheme="minorHAnsi"/>
          <w:sz w:val="26"/>
          <w:szCs w:val="26"/>
        </w:rPr>
        <w:t xml:space="preserve"> </w:t>
      </w:r>
      <w:r w:rsidR="008B1FD8" w:rsidRPr="00760193">
        <w:rPr>
          <w:rFonts w:asciiTheme="minorHAnsi" w:hAnsiTheme="minorHAnsi" w:cstheme="minorHAnsi"/>
          <w:sz w:val="26"/>
          <w:szCs w:val="26"/>
        </w:rPr>
        <w:t>roce 2022.</w:t>
      </w:r>
    </w:p>
    <w:p w14:paraId="4AA5797E" w14:textId="77777777" w:rsidR="008B1FD8" w:rsidRPr="00760193" w:rsidRDefault="008B1FD8" w:rsidP="000C156C">
      <w:pPr>
        <w:spacing w:after="120"/>
        <w:ind w:left="708" w:firstLine="1"/>
        <w:jc w:val="both"/>
        <w:rPr>
          <w:rFonts w:asciiTheme="minorHAnsi" w:hAnsiTheme="minorHAnsi" w:cstheme="minorHAnsi"/>
          <w:b/>
          <w:sz w:val="26"/>
          <w:szCs w:val="26"/>
          <w:u w:val="single"/>
        </w:rPr>
      </w:pPr>
      <w:r w:rsidRPr="00760193">
        <w:rPr>
          <w:rFonts w:asciiTheme="minorHAnsi" w:hAnsiTheme="minorHAnsi" w:cstheme="minorHAnsi"/>
          <w:b/>
          <w:bCs/>
          <w:sz w:val="26"/>
          <w:szCs w:val="26"/>
          <w:u w:val="single"/>
        </w:rPr>
        <w:t xml:space="preserve">Za celý rok 2022 </w:t>
      </w:r>
      <w:r>
        <w:rPr>
          <w:rFonts w:asciiTheme="minorHAnsi" w:hAnsiTheme="minorHAnsi" w:cstheme="minorHAnsi"/>
          <w:b/>
          <w:bCs/>
          <w:sz w:val="26"/>
          <w:szCs w:val="26"/>
          <w:u w:val="single"/>
        </w:rPr>
        <w:t>je očekáván</w:t>
      </w:r>
      <w:r w:rsidRPr="00760193">
        <w:rPr>
          <w:rFonts w:asciiTheme="minorHAnsi" w:hAnsiTheme="minorHAnsi" w:cstheme="minorHAnsi"/>
          <w:b/>
          <w:bCs/>
          <w:sz w:val="26"/>
          <w:szCs w:val="26"/>
          <w:u w:val="single"/>
        </w:rPr>
        <w:t xml:space="preserve"> růst HDP kolem 2</w:t>
      </w:r>
      <w:r>
        <w:rPr>
          <w:rFonts w:asciiTheme="minorHAnsi" w:hAnsiTheme="minorHAnsi" w:cstheme="minorHAnsi"/>
          <w:b/>
          <w:bCs/>
          <w:sz w:val="26"/>
          <w:szCs w:val="26"/>
          <w:u w:val="single"/>
        </w:rPr>
        <w:t> </w:t>
      </w:r>
      <w:r w:rsidRPr="00760193">
        <w:rPr>
          <w:rFonts w:asciiTheme="minorHAnsi" w:hAnsiTheme="minorHAnsi" w:cstheme="minorHAnsi"/>
          <w:b/>
          <w:bCs/>
          <w:sz w:val="26"/>
          <w:szCs w:val="26"/>
          <w:u w:val="single"/>
        </w:rPr>
        <w:t xml:space="preserve">% a v roce 2023 (vlivem předpokládaných zhoršených podmínek) meziroční růst HDP v rozmezí </w:t>
      </w:r>
      <w:r>
        <w:rPr>
          <w:rFonts w:asciiTheme="minorHAnsi" w:hAnsiTheme="minorHAnsi" w:cstheme="minorHAnsi"/>
          <w:b/>
          <w:bCs/>
          <w:sz w:val="26"/>
          <w:szCs w:val="26"/>
          <w:u w:val="single"/>
        </w:rPr>
        <w:br/>
      </w:r>
      <w:r w:rsidRPr="00760193">
        <w:rPr>
          <w:rFonts w:asciiTheme="minorHAnsi" w:hAnsiTheme="minorHAnsi" w:cstheme="minorHAnsi"/>
          <w:b/>
          <w:bCs/>
          <w:sz w:val="26"/>
          <w:szCs w:val="26"/>
          <w:u w:val="single"/>
        </w:rPr>
        <w:t>1,0 až 1,8 %.</w:t>
      </w:r>
    </w:p>
    <w:p w14:paraId="4932ADD7" w14:textId="77777777" w:rsidR="008B1FD8" w:rsidRPr="00B32A21" w:rsidRDefault="008B1FD8" w:rsidP="000C156C">
      <w:pPr>
        <w:spacing w:after="120"/>
        <w:ind w:firstLine="709"/>
        <w:jc w:val="both"/>
        <w:rPr>
          <w:rFonts w:asciiTheme="minorHAnsi" w:hAnsiTheme="minorHAnsi" w:cstheme="minorHAnsi"/>
          <w:b/>
          <w:bCs/>
          <w:sz w:val="26"/>
          <w:szCs w:val="26"/>
        </w:rPr>
      </w:pPr>
    </w:p>
    <w:p w14:paraId="3843ED7E" w14:textId="3006DDD0" w:rsidR="008B1FD8" w:rsidRPr="00B32A21" w:rsidRDefault="008B1FD8" w:rsidP="000C156C">
      <w:pPr>
        <w:spacing w:after="120" w:line="360" w:lineRule="auto"/>
        <w:jc w:val="both"/>
        <w:rPr>
          <w:rFonts w:asciiTheme="minorHAnsi" w:hAnsiTheme="minorHAnsi" w:cstheme="minorHAnsi"/>
          <w:b/>
          <w:bCs/>
          <w:sz w:val="26"/>
          <w:szCs w:val="26"/>
        </w:rPr>
      </w:pPr>
      <w:r w:rsidRPr="00E61EAC">
        <w:rPr>
          <w:rFonts w:ascii="Calibri" w:hAnsi="Calibri"/>
          <w:szCs w:val="24"/>
        </w:rPr>
        <w:tab/>
      </w:r>
      <w:r w:rsidRPr="00B32A21">
        <w:rPr>
          <w:rFonts w:asciiTheme="minorHAnsi" w:hAnsiTheme="minorHAnsi" w:cstheme="minorHAnsi"/>
          <w:b/>
          <w:bCs/>
          <w:sz w:val="26"/>
          <w:szCs w:val="26"/>
        </w:rPr>
        <w:t>Z oblastí ovlivňujících příjmy domácností</w:t>
      </w:r>
      <w:r w:rsidRPr="00B32A21">
        <w:rPr>
          <w:rFonts w:asciiTheme="minorHAnsi" w:hAnsiTheme="minorHAnsi" w:cstheme="minorHAnsi"/>
          <w:sz w:val="26"/>
          <w:szCs w:val="26"/>
        </w:rPr>
        <w:t xml:space="preserve"> jsou prozatím jedinými dostupnými údaji základní </w:t>
      </w:r>
      <w:r w:rsidRPr="00B32A21">
        <w:rPr>
          <w:rFonts w:asciiTheme="minorHAnsi" w:hAnsiTheme="minorHAnsi" w:cstheme="minorHAnsi"/>
          <w:b/>
          <w:bCs/>
          <w:sz w:val="26"/>
          <w:szCs w:val="26"/>
        </w:rPr>
        <w:t>data o mzdách v průmyslu a stavebnictví za první dva měsíce 3. čtvrtletí</w:t>
      </w:r>
      <w:r w:rsidRPr="00B32A21">
        <w:rPr>
          <w:rFonts w:asciiTheme="minorHAnsi" w:hAnsiTheme="minorHAnsi" w:cstheme="minorHAnsi"/>
          <w:bCs/>
          <w:sz w:val="26"/>
          <w:szCs w:val="26"/>
        </w:rPr>
        <w:t xml:space="preserve">, </w:t>
      </w:r>
      <w:r w:rsidRPr="00B32A21">
        <w:rPr>
          <w:rFonts w:asciiTheme="minorHAnsi" w:hAnsiTheme="minorHAnsi" w:cstheme="minorHAnsi"/>
          <w:sz w:val="26"/>
          <w:szCs w:val="26"/>
        </w:rPr>
        <w:t xml:space="preserve">z nichž vyplynuly tyto </w:t>
      </w:r>
      <w:r w:rsidRPr="00B32A21">
        <w:rPr>
          <w:rFonts w:asciiTheme="minorHAnsi" w:hAnsiTheme="minorHAnsi" w:cstheme="minorHAnsi"/>
          <w:b/>
          <w:bCs/>
          <w:sz w:val="26"/>
          <w:szCs w:val="26"/>
        </w:rPr>
        <w:t>dílčí poznatky:</w:t>
      </w:r>
    </w:p>
    <w:p w14:paraId="20FAD331" w14:textId="5CE8EEFB" w:rsidR="008B1FD8" w:rsidRPr="00B32A21" w:rsidRDefault="008B1FD8" w:rsidP="000C156C">
      <w:pPr>
        <w:numPr>
          <w:ilvl w:val="0"/>
          <w:numId w:val="43"/>
        </w:numPr>
        <w:spacing w:after="120" w:line="360" w:lineRule="auto"/>
        <w:jc w:val="both"/>
        <w:rPr>
          <w:rFonts w:asciiTheme="minorHAnsi" w:hAnsiTheme="minorHAnsi" w:cstheme="minorHAnsi"/>
          <w:sz w:val="26"/>
          <w:szCs w:val="26"/>
        </w:rPr>
      </w:pPr>
      <w:r w:rsidRPr="00B32A21">
        <w:rPr>
          <w:rFonts w:asciiTheme="minorHAnsi" w:hAnsiTheme="minorHAnsi" w:cstheme="minorHAnsi"/>
          <w:b/>
          <w:bCs/>
          <w:sz w:val="26"/>
          <w:szCs w:val="26"/>
        </w:rPr>
        <w:t xml:space="preserve">v </w:t>
      </w:r>
      <w:r w:rsidRPr="00B32A21">
        <w:rPr>
          <w:rFonts w:ascii="Calibri" w:hAnsi="Calibri" w:cs="Calibri"/>
          <w:b/>
          <w:bCs/>
          <w:sz w:val="26"/>
          <w:szCs w:val="26"/>
        </w:rPr>
        <w:t xml:space="preserve">červenci a v srpnu došlo v </w:t>
      </w:r>
      <w:r w:rsidRPr="00B32A21">
        <w:rPr>
          <w:rFonts w:ascii="Calibri" w:hAnsi="Calibri" w:cs="Calibri"/>
          <w:sz w:val="26"/>
          <w:szCs w:val="26"/>
        </w:rPr>
        <w:t>odvětví</w:t>
      </w:r>
      <w:r w:rsidRPr="00B32A21">
        <w:rPr>
          <w:rFonts w:ascii="Calibri" w:hAnsi="Calibri" w:cs="Calibri"/>
          <w:b/>
          <w:bCs/>
          <w:sz w:val="26"/>
          <w:szCs w:val="26"/>
        </w:rPr>
        <w:t xml:space="preserve"> průmyslu</w:t>
      </w:r>
      <w:r w:rsidRPr="00B32A21">
        <w:rPr>
          <w:rFonts w:ascii="Calibri" w:hAnsi="Calibri" w:cs="Calibri"/>
          <w:sz w:val="26"/>
          <w:szCs w:val="26"/>
        </w:rPr>
        <w:t xml:space="preserve"> v podnicích s 50 a více zaměstnanci </w:t>
      </w:r>
      <w:r w:rsidRPr="00B32A21">
        <w:rPr>
          <w:rFonts w:ascii="Calibri" w:hAnsi="Calibri" w:cs="Calibri"/>
          <w:b/>
          <w:bCs/>
          <w:sz w:val="26"/>
          <w:szCs w:val="26"/>
        </w:rPr>
        <w:t>k mírnému meziročnímu zvýšení</w:t>
      </w:r>
      <w:r w:rsidRPr="00B32A21">
        <w:rPr>
          <w:rFonts w:ascii="Calibri" w:hAnsi="Calibri" w:cs="Calibri"/>
          <w:sz w:val="26"/>
          <w:szCs w:val="26"/>
        </w:rPr>
        <w:t xml:space="preserve"> průměrného evidenčního </w:t>
      </w:r>
      <w:r w:rsidRPr="00B32A21">
        <w:rPr>
          <w:rFonts w:ascii="Calibri" w:hAnsi="Calibri" w:cs="Calibri"/>
          <w:b/>
          <w:bCs/>
          <w:sz w:val="26"/>
          <w:szCs w:val="26"/>
        </w:rPr>
        <w:t>počtu zaměstnanců</w:t>
      </w:r>
      <w:r w:rsidR="004A4A98">
        <w:rPr>
          <w:rFonts w:ascii="Calibri" w:hAnsi="Calibri" w:cs="Calibri"/>
          <w:b/>
          <w:bCs/>
          <w:sz w:val="26"/>
          <w:szCs w:val="26"/>
        </w:rPr>
        <w:t> </w:t>
      </w:r>
      <w:r w:rsidRPr="00B32A21">
        <w:rPr>
          <w:rFonts w:ascii="Calibri" w:hAnsi="Calibri" w:cs="Calibri"/>
          <w:sz w:val="26"/>
          <w:szCs w:val="26"/>
        </w:rPr>
        <w:t>(v</w:t>
      </w:r>
      <w:r w:rsidR="004A4A98">
        <w:rPr>
          <w:rFonts w:ascii="Calibri" w:hAnsi="Calibri" w:cs="Calibri"/>
          <w:sz w:val="26"/>
          <w:szCs w:val="26"/>
        </w:rPr>
        <w:t> </w:t>
      </w:r>
      <w:r w:rsidRPr="00B32A21">
        <w:rPr>
          <w:rFonts w:ascii="Calibri" w:hAnsi="Calibri" w:cs="Calibri"/>
          <w:sz w:val="26"/>
          <w:szCs w:val="26"/>
        </w:rPr>
        <w:t xml:space="preserve">obou měsících shodně o 0,1 %), </w:t>
      </w:r>
      <w:r w:rsidRPr="00B32A21">
        <w:rPr>
          <w:rFonts w:ascii="Calibri" w:hAnsi="Calibri" w:cs="Calibri"/>
          <w:b/>
          <w:bCs/>
          <w:sz w:val="26"/>
          <w:szCs w:val="26"/>
        </w:rPr>
        <w:t>ve stavebních podnicích</w:t>
      </w:r>
      <w:r w:rsidRPr="00B32A21">
        <w:rPr>
          <w:rFonts w:ascii="Calibri" w:hAnsi="Calibri" w:cs="Calibri"/>
          <w:sz w:val="26"/>
          <w:szCs w:val="26"/>
        </w:rPr>
        <w:t xml:space="preserve"> (s</w:t>
      </w:r>
      <w:r w:rsidR="004A4A98">
        <w:rPr>
          <w:rFonts w:ascii="Calibri" w:hAnsi="Calibri" w:cs="Calibri"/>
          <w:sz w:val="26"/>
          <w:szCs w:val="26"/>
        </w:rPr>
        <w:t> </w:t>
      </w:r>
      <w:r w:rsidRPr="00B32A21">
        <w:rPr>
          <w:rFonts w:ascii="Calibri" w:hAnsi="Calibri" w:cs="Calibri"/>
          <w:sz w:val="26"/>
          <w:szCs w:val="26"/>
        </w:rPr>
        <w:t>50</w:t>
      </w:r>
      <w:r w:rsidR="004A4A98">
        <w:rPr>
          <w:rFonts w:ascii="Calibri" w:hAnsi="Calibri" w:cs="Calibri"/>
          <w:sz w:val="26"/>
          <w:szCs w:val="26"/>
        </w:rPr>
        <w:t> </w:t>
      </w:r>
      <w:r w:rsidRPr="00B32A21">
        <w:rPr>
          <w:rFonts w:ascii="Calibri" w:hAnsi="Calibri" w:cs="Calibri"/>
          <w:sz w:val="26"/>
          <w:szCs w:val="26"/>
        </w:rPr>
        <w:t>a</w:t>
      </w:r>
      <w:r w:rsidR="004A4A98">
        <w:rPr>
          <w:rFonts w:ascii="Calibri" w:hAnsi="Calibri" w:cs="Calibri"/>
          <w:sz w:val="26"/>
          <w:szCs w:val="26"/>
        </w:rPr>
        <w:t> </w:t>
      </w:r>
      <w:r w:rsidRPr="00B32A21">
        <w:rPr>
          <w:rFonts w:ascii="Calibri" w:hAnsi="Calibri" w:cs="Calibri"/>
          <w:sz w:val="26"/>
          <w:szCs w:val="26"/>
        </w:rPr>
        <w:t xml:space="preserve">více zaměstnanci) </w:t>
      </w:r>
      <w:r w:rsidRPr="00B32A21">
        <w:rPr>
          <w:rFonts w:ascii="Calibri" w:hAnsi="Calibri" w:cs="Calibri"/>
          <w:b/>
          <w:bCs/>
          <w:sz w:val="26"/>
          <w:szCs w:val="26"/>
        </w:rPr>
        <w:t>jejich počet</w:t>
      </w:r>
      <w:r w:rsidRPr="00B32A21">
        <w:rPr>
          <w:rFonts w:ascii="Calibri" w:hAnsi="Calibri" w:cs="Calibri"/>
          <w:sz w:val="26"/>
          <w:szCs w:val="26"/>
        </w:rPr>
        <w:t xml:space="preserve"> naopak meziročně </w:t>
      </w:r>
      <w:r w:rsidRPr="00B32A21">
        <w:rPr>
          <w:rFonts w:ascii="Calibri" w:hAnsi="Calibri" w:cs="Calibri"/>
          <w:b/>
          <w:sz w:val="26"/>
          <w:szCs w:val="26"/>
        </w:rPr>
        <w:t>poklesl</w:t>
      </w:r>
      <w:r w:rsidRPr="00B32A21">
        <w:rPr>
          <w:rFonts w:ascii="Calibri" w:hAnsi="Calibri" w:cs="Calibri"/>
          <w:sz w:val="26"/>
          <w:szCs w:val="26"/>
        </w:rPr>
        <w:t xml:space="preserve"> (v červenci o 0,1 % a v srpnu o 0,3 %)</w:t>
      </w:r>
      <w:r w:rsidRPr="00B32A21">
        <w:rPr>
          <w:rFonts w:asciiTheme="minorHAnsi" w:hAnsiTheme="minorHAnsi" w:cstheme="minorHAnsi"/>
          <w:sz w:val="26"/>
          <w:szCs w:val="26"/>
        </w:rPr>
        <w:t>,</w:t>
      </w:r>
    </w:p>
    <w:p w14:paraId="5184BF2A" w14:textId="77777777" w:rsidR="008B1FD8" w:rsidRPr="00B32A21" w:rsidRDefault="008B1FD8" w:rsidP="000C156C">
      <w:pPr>
        <w:numPr>
          <w:ilvl w:val="0"/>
          <w:numId w:val="43"/>
        </w:numPr>
        <w:spacing w:after="120" w:line="360" w:lineRule="auto"/>
        <w:jc w:val="both"/>
        <w:rPr>
          <w:rFonts w:asciiTheme="minorHAnsi" w:hAnsiTheme="minorHAnsi" w:cstheme="minorHAnsi"/>
          <w:b/>
          <w:bCs/>
          <w:sz w:val="26"/>
          <w:szCs w:val="26"/>
          <w:u w:val="single"/>
        </w:rPr>
      </w:pPr>
      <w:r w:rsidRPr="00B32A21">
        <w:rPr>
          <w:rFonts w:asciiTheme="minorHAnsi" w:hAnsiTheme="minorHAnsi" w:cstheme="minorHAnsi"/>
          <w:b/>
          <w:bCs/>
          <w:sz w:val="26"/>
          <w:szCs w:val="26"/>
        </w:rPr>
        <w:t>průměrná</w:t>
      </w:r>
      <w:r w:rsidRPr="00B32A21">
        <w:rPr>
          <w:rFonts w:asciiTheme="minorHAnsi" w:hAnsiTheme="minorHAnsi" w:cstheme="minorHAnsi"/>
          <w:sz w:val="26"/>
          <w:szCs w:val="26"/>
        </w:rPr>
        <w:t xml:space="preserve"> </w:t>
      </w:r>
      <w:r w:rsidRPr="00B32A21">
        <w:rPr>
          <w:rFonts w:ascii="Calibri" w:hAnsi="Calibri" w:cs="Calibri"/>
          <w:sz w:val="26"/>
          <w:szCs w:val="26"/>
        </w:rPr>
        <w:t xml:space="preserve">měsíční </w:t>
      </w:r>
      <w:r w:rsidRPr="00B32A21">
        <w:rPr>
          <w:rFonts w:ascii="Calibri" w:hAnsi="Calibri" w:cs="Calibri"/>
          <w:b/>
          <w:bCs/>
          <w:sz w:val="26"/>
          <w:szCs w:val="26"/>
        </w:rPr>
        <w:t>nominální mzda</w:t>
      </w:r>
      <w:r w:rsidRPr="00B32A21">
        <w:rPr>
          <w:rFonts w:ascii="Calibri" w:hAnsi="Calibri" w:cs="Calibri"/>
          <w:sz w:val="26"/>
          <w:szCs w:val="26"/>
        </w:rPr>
        <w:t xml:space="preserve"> </w:t>
      </w:r>
      <w:r w:rsidRPr="00B32A21">
        <w:rPr>
          <w:rFonts w:ascii="Calibri" w:hAnsi="Calibri" w:cs="Calibri"/>
          <w:bCs/>
          <w:sz w:val="26"/>
          <w:szCs w:val="26"/>
        </w:rPr>
        <w:t xml:space="preserve">těchto </w:t>
      </w:r>
      <w:r w:rsidRPr="00B32A21">
        <w:rPr>
          <w:rFonts w:ascii="Calibri" w:hAnsi="Calibri" w:cs="Calibri"/>
          <w:sz w:val="26"/>
          <w:szCs w:val="26"/>
        </w:rPr>
        <w:t xml:space="preserve">zaměstnanců </w:t>
      </w:r>
      <w:r w:rsidRPr="00B32A21">
        <w:rPr>
          <w:rFonts w:ascii="Calibri" w:hAnsi="Calibri" w:cs="Calibri"/>
          <w:b/>
          <w:bCs/>
          <w:sz w:val="26"/>
          <w:szCs w:val="26"/>
        </w:rPr>
        <w:t>v průmyslu vzrostla v červenci</w:t>
      </w:r>
      <w:r w:rsidRPr="00B32A21">
        <w:rPr>
          <w:rFonts w:ascii="Calibri" w:hAnsi="Calibri" w:cs="Calibri"/>
          <w:sz w:val="26"/>
          <w:szCs w:val="26"/>
        </w:rPr>
        <w:t xml:space="preserve"> meziročně </w:t>
      </w:r>
      <w:r w:rsidRPr="00B32A21">
        <w:rPr>
          <w:rFonts w:ascii="Calibri" w:hAnsi="Calibri" w:cs="Calibri"/>
          <w:b/>
          <w:bCs/>
          <w:sz w:val="26"/>
          <w:szCs w:val="26"/>
        </w:rPr>
        <w:t>o 6,1 %</w:t>
      </w:r>
      <w:r w:rsidRPr="00B32A21">
        <w:rPr>
          <w:rFonts w:ascii="Calibri" w:hAnsi="Calibri" w:cs="Calibri"/>
          <w:sz w:val="26"/>
          <w:szCs w:val="26"/>
        </w:rPr>
        <w:t xml:space="preserve"> </w:t>
      </w:r>
      <w:r w:rsidRPr="00B32A21">
        <w:rPr>
          <w:rFonts w:ascii="Calibri" w:hAnsi="Calibri" w:cs="Calibri"/>
          <w:bCs/>
          <w:sz w:val="26"/>
          <w:szCs w:val="26"/>
        </w:rPr>
        <w:t xml:space="preserve">(reálně však poklesla o 9,7 %) </w:t>
      </w:r>
      <w:r w:rsidRPr="00B32A21">
        <w:rPr>
          <w:rFonts w:ascii="Calibri" w:hAnsi="Calibri" w:cs="Calibri"/>
          <w:b/>
          <w:bCs/>
          <w:sz w:val="26"/>
          <w:szCs w:val="26"/>
        </w:rPr>
        <w:t>a v srpnu</w:t>
      </w:r>
      <w:r w:rsidRPr="00B32A21">
        <w:rPr>
          <w:rFonts w:ascii="Calibri" w:hAnsi="Calibri" w:cs="Calibri"/>
          <w:sz w:val="26"/>
          <w:szCs w:val="26"/>
        </w:rPr>
        <w:t xml:space="preserve"> (kdy činila 40 467 Kč) </w:t>
      </w:r>
      <w:r w:rsidRPr="00B32A21">
        <w:rPr>
          <w:rFonts w:ascii="Calibri" w:hAnsi="Calibri" w:cs="Calibri"/>
          <w:b/>
          <w:sz w:val="26"/>
          <w:szCs w:val="26"/>
        </w:rPr>
        <w:t>o 8</w:t>
      </w:r>
      <w:r w:rsidRPr="00B32A21">
        <w:rPr>
          <w:rFonts w:ascii="Calibri" w:hAnsi="Calibri" w:cs="Calibri"/>
          <w:b/>
          <w:bCs/>
          <w:sz w:val="26"/>
          <w:szCs w:val="26"/>
        </w:rPr>
        <w:t>,5 %</w:t>
      </w:r>
      <w:r w:rsidRPr="00B32A21">
        <w:rPr>
          <w:rFonts w:ascii="Calibri" w:hAnsi="Calibri" w:cs="Calibri"/>
          <w:sz w:val="26"/>
          <w:szCs w:val="26"/>
        </w:rPr>
        <w:t xml:space="preserve"> </w:t>
      </w:r>
      <w:r w:rsidRPr="00B32A21">
        <w:rPr>
          <w:rFonts w:ascii="Calibri" w:hAnsi="Calibri" w:cs="Calibri"/>
          <w:bCs/>
          <w:sz w:val="26"/>
          <w:szCs w:val="26"/>
        </w:rPr>
        <w:t>(reálně</w:t>
      </w:r>
      <w:r w:rsidRPr="00B32A21">
        <w:rPr>
          <w:rFonts w:ascii="Calibri" w:hAnsi="Calibri" w:cs="Calibri"/>
          <w:sz w:val="26"/>
          <w:szCs w:val="26"/>
        </w:rPr>
        <w:t xml:space="preserve"> poklesla o 7,4 %). </w:t>
      </w:r>
      <w:r w:rsidRPr="00B32A21">
        <w:rPr>
          <w:rFonts w:ascii="Calibri" w:hAnsi="Calibri" w:cs="Calibri"/>
          <w:b/>
          <w:sz w:val="26"/>
          <w:szCs w:val="26"/>
        </w:rPr>
        <w:t xml:space="preserve">Ve </w:t>
      </w:r>
      <w:r w:rsidRPr="00B32A21">
        <w:rPr>
          <w:rFonts w:ascii="Calibri" w:hAnsi="Calibri" w:cs="Calibri"/>
          <w:b/>
          <w:bCs/>
          <w:sz w:val="26"/>
          <w:szCs w:val="26"/>
        </w:rPr>
        <w:t>stavebních podnicích</w:t>
      </w:r>
      <w:r w:rsidRPr="00B32A21">
        <w:rPr>
          <w:rFonts w:ascii="Calibri" w:hAnsi="Calibri" w:cs="Calibri"/>
          <w:sz w:val="26"/>
          <w:szCs w:val="26"/>
        </w:rPr>
        <w:t xml:space="preserve"> </w:t>
      </w:r>
      <w:r w:rsidRPr="00B32A21">
        <w:rPr>
          <w:rFonts w:ascii="Calibri" w:hAnsi="Calibri" w:cs="Calibri"/>
          <w:b/>
          <w:bCs/>
          <w:sz w:val="26"/>
          <w:szCs w:val="26"/>
        </w:rPr>
        <w:t>se zvýšila</w:t>
      </w:r>
      <w:r w:rsidRPr="00B32A21">
        <w:rPr>
          <w:rFonts w:ascii="Calibri" w:hAnsi="Calibri" w:cs="Calibri"/>
          <w:sz w:val="26"/>
          <w:szCs w:val="26"/>
        </w:rPr>
        <w:t xml:space="preserve"> průměrná měsíční </w:t>
      </w:r>
      <w:r w:rsidRPr="00B32A21">
        <w:rPr>
          <w:rFonts w:ascii="Calibri" w:hAnsi="Calibri" w:cs="Calibri"/>
          <w:b/>
          <w:bCs/>
          <w:sz w:val="26"/>
          <w:szCs w:val="26"/>
        </w:rPr>
        <w:t>nominální mzda</w:t>
      </w:r>
      <w:r w:rsidRPr="00B32A21">
        <w:rPr>
          <w:rFonts w:ascii="Calibri" w:hAnsi="Calibri" w:cs="Calibri"/>
          <w:sz w:val="26"/>
          <w:szCs w:val="26"/>
        </w:rPr>
        <w:t xml:space="preserve"> uvedených zaměstnanců meziročně </w:t>
      </w:r>
      <w:r w:rsidRPr="00B32A21">
        <w:rPr>
          <w:rFonts w:ascii="Calibri" w:hAnsi="Calibri" w:cs="Calibri"/>
          <w:b/>
          <w:bCs/>
          <w:sz w:val="26"/>
          <w:szCs w:val="26"/>
        </w:rPr>
        <w:t>o 6,3 %</w:t>
      </w:r>
      <w:r w:rsidRPr="00B32A21">
        <w:rPr>
          <w:rFonts w:ascii="Calibri" w:hAnsi="Calibri" w:cs="Calibri"/>
          <w:sz w:val="26"/>
          <w:szCs w:val="26"/>
        </w:rPr>
        <w:t xml:space="preserve"> (červenec), resp. </w:t>
      </w:r>
      <w:r w:rsidRPr="00B32A21">
        <w:rPr>
          <w:rFonts w:ascii="Calibri" w:hAnsi="Calibri" w:cs="Calibri"/>
          <w:b/>
          <w:sz w:val="26"/>
          <w:szCs w:val="26"/>
        </w:rPr>
        <w:t>o 12,7 </w:t>
      </w:r>
      <w:r w:rsidRPr="00B32A21">
        <w:rPr>
          <w:rFonts w:ascii="Calibri" w:hAnsi="Calibri" w:cs="Calibri"/>
          <w:b/>
          <w:bCs/>
          <w:sz w:val="26"/>
          <w:szCs w:val="26"/>
        </w:rPr>
        <w:t>%</w:t>
      </w:r>
      <w:r w:rsidRPr="00B32A21">
        <w:rPr>
          <w:rFonts w:ascii="Calibri" w:hAnsi="Calibri" w:cs="Calibri"/>
          <w:sz w:val="26"/>
          <w:szCs w:val="26"/>
        </w:rPr>
        <w:t xml:space="preserve"> (srpen) a v srpnu dosáhla v absolutním vyjádření 45 726 Kč. K meziročnímu poklesu došlo ve stavebnictví u reálné mzdy v červenci o 9,5 % a v srpnu o 3,8 %</w:t>
      </w:r>
      <w:r w:rsidRPr="00B32A21">
        <w:rPr>
          <w:rFonts w:asciiTheme="minorHAnsi" w:hAnsiTheme="minorHAnsi" w:cstheme="minorHAnsi"/>
          <w:sz w:val="26"/>
          <w:szCs w:val="26"/>
        </w:rPr>
        <w:t>.</w:t>
      </w:r>
    </w:p>
    <w:p w14:paraId="6CA68938" w14:textId="16264503" w:rsidR="008B1FD8" w:rsidRDefault="008B1FD8" w:rsidP="008B1FD8">
      <w:pPr>
        <w:spacing w:after="240"/>
        <w:ind w:left="709"/>
        <w:jc w:val="both"/>
        <w:rPr>
          <w:rFonts w:asciiTheme="minorHAnsi" w:hAnsiTheme="minorHAnsi" w:cstheme="minorHAnsi"/>
          <w:b/>
          <w:bCs/>
          <w:sz w:val="26"/>
          <w:szCs w:val="26"/>
          <w:u w:val="single"/>
        </w:rPr>
      </w:pPr>
      <w:r w:rsidRPr="00B32A21">
        <w:rPr>
          <w:rFonts w:asciiTheme="minorHAnsi" w:hAnsiTheme="minorHAnsi" w:cstheme="minorHAnsi"/>
          <w:b/>
          <w:bCs/>
          <w:sz w:val="26"/>
          <w:szCs w:val="26"/>
          <w:u w:val="single"/>
        </w:rPr>
        <w:lastRenderedPageBreak/>
        <w:t xml:space="preserve">Přírůstek </w:t>
      </w:r>
      <w:r w:rsidRPr="00B32A21">
        <w:rPr>
          <w:rFonts w:ascii="Calibri" w:hAnsi="Calibri" w:cs="Calibri"/>
          <w:b/>
          <w:bCs/>
          <w:sz w:val="26"/>
          <w:szCs w:val="26"/>
          <w:u w:val="single"/>
        </w:rPr>
        <w:t>průměrné nominální mzdy v národním hospodářství ČR by mohl v letošním roce dosáhnout cca 5,6 % a v roce 2023 by se mohl pohybovat kolem 5,3 %. Reálná mzda by při zohlednění predikované míry cenové inflace (viz dále) mohla letos poklesnout o 8,</w:t>
      </w:r>
      <w:r w:rsidR="00BD73AB">
        <w:rPr>
          <w:rFonts w:ascii="Calibri" w:hAnsi="Calibri" w:cs="Calibri"/>
          <w:b/>
          <w:bCs/>
          <w:sz w:val="26"/>
          <w:szCs w:val="26"/>
          <w:u w:val="single"/>
        </w:rPr>
        <w:t>6</w:t>
      </w:r>
      <w:r w:rsidRPr="00B32A21">
        <w:rPr>
          <w:rFonts w:ascii="Calibri" w:hAnsi="Calibri" w:cs="Calibri"/>
          <w:b/>
          <w:bCs/>
          <w:sz w:val="26"/>
          <w:szCs w:val="26"/>
          <w:u w:val="single"/>
        </w:rPr>
        <w:t> %, v příštím roce však již podstatně méně (cca o 2,</w:t>
      </w:r>
      <w:r w:rsidR="00BD73AB">
        <w:rPr>
          <w:rFonts w:ascii="Calibri" w:hAnsi="Calibri" w:cs="Calibri"/>
          <w:b/>
          <w:bCs/>
          <w:sz w:val="26"/>
          <w:szCs w:val="26"/>
          <w:u w:val="single"/>
        </w:rPr>
        <w:t>9</w:t>
      </w:r>
      <w:r w:rsidRPr="00B32A21">
        <w:rPr>
          <w:rFonts w:ascii="Calibri" w:hAnsi="Calibri" w:cs="Calibri"/>
          <w:b/>
          <w:bCs/>
          <w:sz w:val="26"/>
          <w:szCs w:val="26"/>
          <w:u w:val="single"/>
        </w:rPr>
        <w:t> %)</w:t>
      </w:r>
      <w:r w:rsidRPr="00B32A21">
        <w:rPr>
          <w:rFonts w:asciiTheme="minorHAnsi" w:hAnsiTheme="minorHAnsi" w:cstheme="minorHAnsi"/>
          <w:b/>
          <w:bCs/>
          <w:sz w:val="26"/>
          <w:szCs w:val="26"/>
          <w:u w:val="single"/>
        </w:rPr>
        <w:t>.</w:t>
      </w:r>
    </w:p>
    <w:p w14:paraId="4BEB16D0" w14:textId="781BF752" w:rsidR="008B1FD8" w:rsidRDefault="008B1FD8" w:rsidP="008B1FD8">
      <w:pPr>
        <w:spacing w:after="120"/>
        <w:ind w:left="708"/>
        <w:jc w:val="both"/>
        <w:rPr>
          <w:rFonts w:asciiTheme="minorHAnsi" w:hAnsiTheme="minorHAnsi" w:cstheme="minorHAnsi"/>
          <w:sz w:val="26"/>
          <w:szCs w:val="26"/>
        </w:rPr>
      </w:pPr>
    </w:p>
    <w:p w14:paraId="63EC03DE" w14:textId="77777777" w:rsidR="00856B2D" w:rsidRPr="00B32A21" w:rsidRDefault="00856B2D" w:rsidP="008B1FD8">
      <w:pPr>
        <w:spacing w:after="120"/>
        <w:ind w:left="708"/>
        <w:jc w:val="both"/>
        <w:rPr>
          <w:rFonts w:asciiTheme="minorHAnsi" w:hAnsiTheme="minorHAnsi" w:cstheme="minorHAnsi"/>
          <w:sz w:val="26"/>
          <w:szCs w:val="26"/>
        </w:rPr>
      </w:pPr>
    </w:p>
    <w:p w14:paraId="14D711F1" w14:textId="5CEFEF0D" w:rsidR="008B1FD8" w:rsidRPr="00E67FD0" w:rsidRDefault="008B1FD8" w:rsidP="008B1FD8">
      <w:pPr>
        <w:spacing w:after="240" w:line="360" w:lineRule="auto"/>
        <w:jc w:val="both"/>
        <w:rPr>
          <w:rFonts w:asciiTheme="minorHAnsi" w:hAnsiTheme="minorHAnsi" w:cstheme="minorHAnsi"/>
          <w:b/>
          <w:sz w:val="26"/>
          <w:szCs w:val="26"/>
        </w:rPr>
      </w:pPr>
      <w:r w:rsidRPr="00E61EAC">
        <w:rPr>
          <w:rFonts w:ascii="Calibri" w:hAnsi="Calibri"/>
          <w:szCs w:val="24"/>
        </w:rPr>
        <w:tab/>
      </w:r>
      <w:r w:rsidRPr="00B32A21">
        <w:rPr>
          <w:rFonts w:asciiTheme="minorHAnsi" w:hAnsiTheme="minorHAnsi" w:cstheme="minorHAnsi"/>
          <w:sz w:val="26"/>
          <w:szCs w:val="26"/>
        </w:rPr>
        <w:t xml:space="preserve">Podle dostupných </w:t>
      </w:r>
      <w:r w:rsidRPr="00E67FD0">
        <w:rPr>
          <w:rFonts w:asciiTheme="minorHAnsi" w:hAnsiTheme="minorHAnsi" w:cstheme="minorHAnsi"/>
          <w:sz w:val="26"/>
          <w:szCs w:val="26"/>
        </w:rPr>
        <w:t xml:space="preserve">údajů dosáhl </w:t>
      </w:r>
      <w:r w:rsidRPr="00E67FD0">
        <w:rPr>
          <w:rFonts w:asciiTheme="minorHAnsi" w:hAnsiTheme="minorHAnsi" w:cstheme="minorHAnsi"/>
          <w:b/>
          <w:sz w:val="26"/>
          <w:szCs w:val="26"/>
        </w:rPr>
        <w:t>celkový objem sociálních příjmů</w:t>
      </w:r>
      <w:r w:rsidRPr="00E67FD0">
        <w:rPr>
          <w:rFonts w:asciiTheme="minorHAnsi" w:hAnsiTheme="minorHAnsi" w:cstheme="minorHAnsi"/>
          <w:sz w:val="26"/>
          <w:szCs w:val="26"/>
        </w:rPr>
        <w:t xml:space="preserve"> v 1. až 3. čtvrtletí tohoto roku </w:t>
      </w:r>
      <w:r w:rsidRPr="00E67FD0">
        <w:rPr>
          <w:rFonts w:asciiTheme="minorHAnsi" w:hAnsiTheme="minorHAnsi" w:cstheme="minorHAnsi"/>
          <w:b/>
          <w:sz w:val="26"/>
          <w:szCs w:val="26"/>
        </w:rPr>
        <w:t>552,6 mld. Kč.</w:t>
      </w:r>
    </w:p>
    <w:p w14:paraId="19D7FF01" w14:textId="7BB2B390" w:rsidR="008B1FD8" w:rsidRDefault="008B1FD8" w:rsidP="008B1FD8">
      <w:pPr>
        <w:spacing w:after="240" w:line="360" w:lineRule="auto"/>
        <w:jc w:val="both"/>
        <w:rPr>
          <w:rFonts w:asciiTheme="minorHAnsi" w:hAnsiTheme="minorHAnsi" w:cstheme="minorHAnsi"/>
          <w:b/>
          <w:sz w:val="26"/>
          <w:szCs w:val="26"/>
        </w:rPr>
      </w:pPr>
      <w:r w:rsidRPr="00E61EAC">
        <w:rPr>
          <w:rFonts w:ascii="Calibri" w:hAnsi="Calibri"/>
          <w:szCs w:val="24"/>
        </w:rPr>
        <w:tab/>
      </w:r>
      <w:r w:rsidRPr="00E67FD0">
        <w:rPr>
          <w:rFonts w:asciiTheme="minorHAnsi" w:hAnsiTheme="minorHAnsi" w:cstheme="minorHAnsi"/>
          <w:sz w:val="26"/>
          <w:szCs w:val="26"/>
        </w:rPr>
        <w:t xml:space="preserve">V rámci sociálních příjmů </w:t>
      </w:r>
      <w:r w:rsidRPr="00E67FD0">
        <w:rPr>
          <w:rFonts w:asciiTheme="minorHAnsi" w:hAnsiTheme="minorHAnsi" w:cstheme="minorHAnsi"/>
          <w:b/>
          <w:bCs/>
          <w:sz w:val="26"/>
          <w:szCs w:val="26"/>
        </w:rPr>
        <w:t>činily u</w:t>
      </w:r>
      <w:r w:rsidRPr="00E67FD0">
        <w:rPr>
          <w:rFonts w:asciiTheme="minorHAnsi" w:hAnsiTheme="minorHAnsi" w:cstheme="minorHAnsi"/>
          <w:sz w:val="26"/>
          <w:szCs w:val="26"/>
        </w:rPr>
        <w:t xml:space="preserve"> největší položky – </w:t>
      </w:r>
      <w:r w:rsidRPr="00E67FD0">
        <w:rPr>
          <w:rFonts w:asciiTheme="minorHAnsi" w:hAnsiTheme="minorHAnsi" w:cstheme="minorHAnsi"/>
          <w:b/>
          <w:bCs/>
          <w:sz w:val="26"/>
          <w:szCs w:val="26"/>
        </w:rPr>
        <w:t>důchodů</w:t>
      </w:r>
      <w:r w:rsidRPr="00E67FD0">
        <w:rPr>
          <w:rFonts w:asciiTheme="minorHAnsi" w:hAnsiTheme="minorHAnsi" w:cstheme="minorHAnsi"/>
          <w:sz w:val="26"/>
          <w:szCs w:val="26"/>
        </w:rPr>
        <w:t xml:space="preserve"> </w:t>
      </w:r>
      <w:r w:rsidRPr="00E67FD0">
        <w:rPr>
          <w:rFonts w:asciiTheme="minorHAnsi" w:hAnsiTheme="minorHAnsi" w:cstheme="minorHAnsi"/>
          <w:b/>
          <w:bCs/>
          <w:sz w:val="26"/>
          <w:szCs w:val="26"/>
        </w:rPr>
        <w:t>výdaje</w:t>
      </w:r>
      <w:r w:rsidRPr="00E67FD0">
        <w:rPr>
          <w:rFonts w:asciiTheme="minorHAnsi" w:hAnsiTheme="minorHAnsi" w:cstheme="minorHAnsi"/>
          <w:sz w:val="26"/>
          <w:szCs w:val="26"/>
        </w:rPr>
        <w:t xml:space="preserve"> </w:t>
      </w:r>
      <w:r w:rsidRPr="00E67FD0">
        <w:rPr>
          <w:rFonts w:asciiTheme="minorHAnsi" w:hAnsiTheme="minorHAnsi" w:cstheme="minorHAnsi"/>
          <w:b/>
          <w:sz w:val="26"/>
          <w:szCs w:val="26"/>
        </w:rPr>
        <w:t>426,4</w:t>
      </w:r>
      <w:r w:rsidRPr="00E67FD0">
        <w:rPr>
          <w:rFonts w:asciiTheme="minorHAnsi" w:hAnsiTheme="minorHAnsi" w:cstheme="minorHAnsi"/>
          <w:b/>
          <w:bCs/>
          <w:sz w:val="26"/>
          <w:szCs w:val="26"/>
        </w:rPr>
        <w:t> mld. Kč</w:t>
      </w:r>
      <w:r w:rsidRPr="00E67FD0">
        <w:rPr>
          <w:rFonts w:asciiTheme="minorHAnsi" w:hAnsiTheme="minorHAnsi" w:cstheme="minorHAnsi"/>
          <w:b/>
          <w:sz w:val="26"/>
          <w:szCs w:val="26"/>
        </w:rPr>
        <w:t>,</w:t>
      </w:r>
      <w:r w:rsidRPr="00E67FD0">
        <w:rPr>
          <w:rFonts w:asciiTheme="minorHAnsi" w:hAnsiTheme="minorHAnsi" w:cstheme="minorHAnsi"/>
          <w:sz w:val="26"/>
          <w:szCs w:val="26"/>
        </w:rPr>
        <w:t xml:space="preserve"> průměrná výše samostatně vypláceného starobního důchodu</w:t>
      </w:r>
      <w:r w:rsidRPr="00E67FD0">
        <w:rPr>
          <w:rFonts w:asciiTheme="minorHAnsi" w:hAnsiTheme="minorHAnsi" w:cstheme="minorHAnsi"/>
          <w:b/>
          <w:bCs/>
          <w:sz w:val="26"/>
          <w:szCs w:val="26"/>
        </w:rPr>
        <w:t xml:space="preserve"> v prvních třech čtvrtletích t. r. vzrostla </w:t>
      </w:r>
      <w:r w:rsidRPr="00E67FD0">
        <w:rPr>
          <w:rFonts w:asciiTheme="minorHAnsi" w:hAnsiTheme="minorHAnsi" w:cstheme="minorHAnsi"/>
          <w:sz w:val="26"/>
          <w:szCs w:val="26"/>
        </w:rPr>
        <w:t>meziročně</w:t>
      </w:r>
      <w:r w:rsidRPr="00E67FD0">
        <w:rPr>
          <w:rFonts w:asciiTheme="minorHAnsi" w:hAnsiTheme="minorHAnsi" w:cstheme="minorHAnsi"/>
          <w:b/>
          <w:bCs/>
          <w:sz w:val="26"/>
          <w:szCs w:val="26"/>
        </w:rPr>
        <w:t xml:space="preserve"> </w:t>
      </w:r>
      <w:r w:rsidRPr="00E67FD0">
        <w:rPr>
          <w:rFonts w:asciiTheme="minorHAnsi" w:hAnsiTheme="minorHAnsi" w:cstheme="minorHAnsi"/>
          <w:sz w:val="26"/>
          <w:szCs w:val="26"/>
        </w:rPr>
        <w:t>o 9,3 </w:t>
      </w:r>
      <w:r w:rsidRPr="00E67FD0">
        <w:rPr>
          <w:rFonts w:asciiTheme="minorHAnsi" w:hAnsiTheme="minorHAnsi" w:cstheme="minorHAnsi"/>
          <w:sz w:val="26"/>
          <w:szCs w:val="26"/>
          <w:lang w:val="en-US"/>
        </w:rPr>
        <w:t xml:space="preserve">% </w:t>
      </w:r>
      <w:r w:rsidRPr="00E67FD0">
        <w:rPr>
          <w:rFonts w:asciiTheme="minorHAnsi" w:hAnsiTheme="minorHAnsi" w:cstheme="minorHAnsi"/>
          <w:b/>
          <w:bCs/>
          <w:sz w:val="26"/>
          <w:szCs w:val="26"/>
        </w:rPr>
        <w:t>na</w:t>
      </w:r>
      <w:r w:rsidRPr="00E67FD0">
        <w:rPr>
          <w:rFonts w:asciiTheme="minorHAnsi" w:hAnsiTheme="minorHAnsi" w:cstheme="minorHAnsi"/>
          <w:b/>
          <w:bCs/>
          <w:sz w:val="26"/>
          <w:szCs w:val="26"/>
          <w:lang w:val="en-US"/>
        </w:rPr>
        <w:t xml:space="preserve"> 16 832 K</w:t>
      </w:r>
      <w:r w:rsidRPr="00E67FD0">
        <w:rPr>
          <w:rFonts w:asciiTheme="minorHAnsi" w:hAnsiTheme="minorHAnsi" w:cstheme="minorHAnsi"/>
          <w:b/>
          <w:bCs/>
          <w:sz w:val="26"/>
          <w:szCs w:val="26"/>
        </w:rPr>
        <w:t>č</w:t>
      </w:r>
      <w:r w:rsidRPr="00E67FD0">
        <w:rPr>
          <w:rFonts w:asciiTheme="minorHAnsi" w:hAnsiTheme="minorHAnsi" w:cstheme="minorHAnsi"/>
          <w:b/>
          <w:sz w:val="26"/>
          <w:szCs w:val="26"/>
        </w:rPr>
        <w:t>.</w:t>
      </w:r>
    </w:p>
    <w:p w14:paraId="0E5E8289" w14:textId="77777777" w:rsidR="008B1FD8" w:rsidRPr="00E67FD0" w:rsidRDefault="008B1FD8" w:rsidP="008B1FD8">
      <w:pPr>
        <w:spacing w:after="240"/>
        <w:ind w:left="708" w:firstLine="1"/>
        <w:jc w:val="both"/>
        <w:rPr>
          <w:rFonts w:asciiTheme="minorHAnsi" w:hAnsiTheme="minorHAnsi" w:cstheme="minorHAnsi"/>
          <w:b/>
          <w:bCs/>
          <w:sz w:val="26"/>
          <w:szCs w:val="26"/>
          <w:u w:val="single"/>
        </w:rPr>
      </w:pPr>
      <w:r w:rsidRPr="00E67FD0">
        <w:rPr>
          <w:rFonts w:asciiTheme="minorHAnsi" w:hAnsiTheme="minorHAnsi" w:cstheme="minorHAnsi"/>
          <w:b/>
          <w:bCs/>
          <w:sz w:val="26"/>
          <w:szCs w:val="26"/>
          <w:u w:val="single"/>
        </w:rPr>
        <w:t>Podle odhadu by průměrná výše samostatně vypláceného starobního důchodu mohla v letošním roce dosáhnout 17 146 Kč (meziroční index 111,3 %).</w:t>
      </w:r>
    </w:p>
    <w:p w14:paraId="4335C9F2" w14:textId="77777777" w:rsidR="00856B2D" w:rsidRDefault="00856B2D" w:rsidP="008B1FD8">
      <w:pPr>
        <w:spacing w:after="240" w:line="360" w:lineRule="auto"/>
        <w:jc w:val="both"/>
        <w:rPr>
          <w:rFonts w:ascii="Calibri" w:hAnsi="Calibri"/>
          <w:szCs w:val="24"/>
        </w:rPr>
      </w:pPr>
    </w:p>
    <w:p w14:paraId="5AC28BF2" w14:textId="705D37E2" w:rsidR="008B1FD8" w:rsidRPr="00E67FD0" w:rsidRDefault="008B1FD8" w:rsidP="008B1FD8">
      <w:pPr>
        <w:spacing w:after="240" w:line="360" w:lineRule="auto"/>
        <w:jc w:val="both"/>
        <w:rPr>
          <w:rFonts w:asciiTheme="minorHAnsi" w:hAnsiTheme="minorHAnsi" w:cstheme="minorHAnsi"/>
          <w:b/>
          <w:sz w:val="26"/>
          <w:szCs w:val="26"/>
        </w:rPr>
      </w:pPr>
      <w:r w:rsidRPr="00E61EAC">
        <w:rPr>
          <w:rFonts w:ascii="Calibri" w:hAnsi="Calibri"/>
          <w:szCs w:val="24"/>
        </w:rPr>
        <w:tab/>
      </w:r>
      <w:r w:rsidRPr="00E67FD0">
        <w:rPr>
          <w:rFonts w:asciiTheme="minorHAnsi" w:hAnsiTheme="minorHAnsi" w:cstheme="minorHAnsi"/>
          <w:b/>
          <w:sz w:val="26"/>
          <w:szCs w:val="26"/>
        </w:rPr>
        <w:t xml:space="preserve">Výdaje na dávky státní sociální podpory, pěstounské péče </w:t>
      </w:r>
      <w:r w:rsidRPr="00E67FD0">
        <w:rPr>
          <w:rFonts w:asciiTheme="minorHAnsi" w:hAnsiTheme="minorHAnsi" w:cstheme="minorHAnsi"/>
          <w:bCs/>
          <w:sz w:val="26"/>
          <w:szCs w:val="26"/>
        </w:rPr>
        <w:t>a</w:t>
      </w:r>
      <w:r w:rsidRPr="00E67FD0">
        <w:rPr>
          <w:rFonts w:asciiTheme="minorHAnsi" w:hAnsiTheme="minorHAnsi" w:cstheme="minorHAnsi"/>
          <w:b/>
          <w:sz w:val="26"/>
          <w:szCs w:val="26"/>
        </w:rPr>
        <w:t xml:space="preserve"> náhradního výživného </w:t>
      </w:r>
      <w:r w:rsidRPr="00E67FD0">
        <w:rPr>
          <w:rFonts w:asciiTheme="minorHAnsi" w:hAnsiTheme="minorHAnsi" w:cstheme="minorHAnsi"/>
          <w:bCs/>
          <w:sz w:val="26"/>
          <w:szCs w:val="26"/>
        </w:rPr>
        <w:t xml:space="preserve">(dávka zavedená k 1. 7. 2021) </w:t>
      </w:r>
      <w:r w:rsidRPr="00E67FD0">
        <w:rPr>
          <w:rFonts w:asciiTheme="minorHAnsi" w:hAnsiTheme="minorHAnsi" w:cstheme="minorHAnsi"/>
          <w:b/>
          <w:sz w:val="26"/>
          <w:szCs w:val="26"/>
        </w:rPr>
        <w:t>činily v 1. - 3. čtvrtletí letošního roku 42,4 mld. Kč, což je o 5,6 mld. Kč více než v loňském srovnatelném období, a na dávky pomoci v hmotné nouzi a humanitární pomoc občanům Ukrajiny 10,9 mld. Kč.</w:t>
      </w:r>
    </w:p>
    <w:p w14:paraId="747FBC5F" w14:textId="7CEEC2A4" w:rsidR="008B1FD8" w:rsidRPr="0080146E" w:rsidRDefault="008B1FD8" w:rsidP="008B1FD8">
      <w:pPr>
        <w:spacing w:after="240" w:line="360" w:lineRule="auto"/>
        <w:jc w:val="both"/>
        <w:rPr>
          <w:rFonts w:asciiTheme="minorHAnsi" w:hAnsiTheme="minorHAnsi" w:cstheme="minorHAnsi"/>
          <w:sz w:val="26"/>
          <w:szCs w:val="26"/>
        </w:rPr>
      </w:pPr>
      <w:r w:rsidRPr="00E61EAC">
        <w:rPr>
          <w:rFonts w:ascii="Calibri" w:hAnsi="Calibri"/>
          <w:szCs w:val="24"/>
        </w:rPr>
        <w:tab/>
      </w:r>
      <w:r w:rsidRPr="00E67FD0">
        <w:rPr>
          <w:rFonts w:asciiTheme="minorHAnsi" w:hAnsiTheme="minorHAnsi" w:cstheme="minorHAnsi"/>
          <w:b/>
          <w:bCs/>
          <w:sz w:val="26"/>
          <w:szCs w:val="26"/>
        </w:rPr>
        <w:t>Výdaje na podporu v nezaměstnanosti činily</w:t>
      </w:r>
      <w:r w:rsidRPr="00E67FD0">
        <w:rPr>
          <w:rFonts w:asciiTheme="minorHAnsi" w:hAnsiTheme="minorHAnsi" w:cstheme="minorHAnsi"/>
          <w:sz w:val="26"/>
          <w:szCs w:val="26"/>
        </w:rPr>
        <w:t xml:space="preserve"> podle předběžných údajů </w:t>
      </w:r>
      <w:r w:rsidRPr="00E67FD0">
        <w:rPr>
          <w:rFonts w:asciiTheme="minorHAnsi" w:hAnsiTheme="minorHAnsi" w:cstheme="minorHAnsi"/>
          <w:b/>
          <w:bCs/>
          <w:sz w:val="26"/>
          <w:szCs w:val="26"/>
        </w:rPr>
        <w:t>od ledna do září</w:t>
      </w:r>
      <w:r w:rsidRPr="00E67FD0">
        <w:rPr>
          <w:rFonts w:asciiTheme="minorHAnsi" w:hAnsiTheme="minorHAnsi" w:cstheme="minorHAnsi"/>
          <w:sz w:val="26"/>
          <w:szCs w:val="26"/>
        </w:rPr>
        <w:t xml:space="preserve"> tohoto roku cca </w:t>
      </w:r>
      <w:r w:rsidRPr="00E67FD0">
        <w:rPr>
          <w:rFonts w:asciiTheme="minorHAnsi" w:hAnsiTheme="minorHAnsi" w:cstheme="minorHAnsi"/>
          <w:b/>
          <w:bCs/>
          <w:sz w:val="26"/>
          <w:szCs w:val="26"/>
        </w:rPr>
        <w:t>7,5 mld. Kč.</w:t>
      </w:r>
      <w:r w:rsidRPr="00E67FD0">
        <w:rPr>
          <w:rFonts w:asciiTheme="minorHAnsi" w:hAnsiTheme="minorHAnsi" w:cstheme="minorHAnsi"/>
          <w:sz w:val="26"/>
          <w:szCs w:val="26"/>
        </w:rPr>
        <w:t xml:space="preserve"> Počet uchazečů o zaměstnání klesl ke konci září na 256,4 tis. osob (o 5,8 tis. méně než o rok dříve), z toho počet osob s podporou v nezaměstnanosti se k 30. září snížil na 74,6 tis. (o 0,4 tis. osob), jejich </w:t>
      </w:r>
      <w:r w:rsidRPr="0080146E">
        <w:rPr>
          <w:rFonts w:asciiTheme="minorHAnsi" w:hAnsiTheme="minorHAnsi" w:cstheme="minorHAnsi"/>
          <w:sz w:val="26"/>
          <w:szCs w:val="26"/>
        </w:rPr>
        <w:t xml:space="preserve">podíl ovšem nepatrně vzrostl z 28,6 % na 29,1 % ze všech uchazečů. </w:t>
      </w:r>
      <w:r w:rsidRPr="0080146E">
        <w:rPr>
          <w:rFonts w:asciiTheme="minorHAnsi" w:hAnsiTheme="minorHAnsi" w:cstheme="minorHAnsi"/>
          <w:b/>
          <w:bCs/>
          <w:sz w:val="26"/>
          <w:szCs w:val="26"/>
        </w:rPr>
        <w:t xml:space="preserve">Podíl nezaměstnaných osob </w:t>
      </w:r>
      <w:r w:rsidR="004A4A98" w:rsidRPr="0080146E">
        <w:rPr>
          <w:rFonts w:asciiTheme="minorHAnsi" w:hAnsiTheme="minorHAnsi" w:cstheme="minorHAnsi"/>
          <w:b/>
          <w:bCs/>
          <w:sz w:val="26"/>
          <w:szCs w:val="26"/>
        </w:rPr>
        <w:t>byl</w:t>
      </w:r>
      <w:r w:rsidRPr="0080146E">
        <w:rPr>
          <w:rFonts w:asciiTheme="minorHAnsi" w:hAnsiTheme="minorHAnsi" w:cstheme="minorHAnsi"/>
          <w:b/>
          <w:bCs/>
          <w:sz w:val="26"/>
          <w:szCs w:val="26"/>
        </w:rPr>
        <w:t xml:space="preserve"> 3,5 %</w:t>
      </w:r>
      <w:r w:rsidR="004A4A98" w:rsidRPr="0080146E">
        <w:rPr>
          <w:rFonts w:asciiTheme="minorHAnsi" w:hAnsiTheme="minorHAnsi" w:cstheme="minorHAnsi"/>
          <w:b/>
          <w:bCs/>
          <w:sz w:val="26"/>
          <w:szCs w:val="26"/>
        </w:rPr>
        <w:t xml:space="preserve"> </w:t>
      </w:r>
      <w:r w:rsidR="004A4A98" w:rsidRPr="0080146E">
        <w:rPr>
          <w:rFonts w:asciiTheme="minorHAnsi" w:hAnsiTheme="minorHAnsi" w:cstheme="minorHAnsi"/>
          <w:sz w:val="26"/>
          <w:szCs w:val="26"/>
        </w:rPr>
        <w:t>(stejný jako před rokem).</w:t>
      </w:r>
    </w:p>
    <w:p w14:paraId="636A7335" w14:textId="77777777" w:rsidR="008B1FD8" w:rsidRPr="00E67FD0" w:rsidRDefault="008B1FD8" w:rsidP="008B1FD8">
      <w:pPr>
        <w:spacing w:after="240"/>
        <w:ind w:left="708" w:firstLine="1"/>
        <w:jc w:val="both"/>
        <w:rPr>
          <w:rFonts w:asciiTheme="minorHAnsi" w:hAnsiTheme="minorHAnsi" w:cstheme="minorHAnsi"/>
          <w:b/>
          <w:sz w:val="26"/>
          <w:szCs w:val="26"/>
          <w:u w:val="single"/>
        </w:rPr>
      </w:pPr>
      <w:r w:rsidRPr="00E67FD0">
        <w:rPr>
          <w:rFonts w:asciiTheme="minorHAnsi" w:hAnsiTheme="minorHAnsi" w:cstheme="minorHAnsi"/>
          <w:b/>
          <w:sz w:val="26"/>
          <w:szCs w:val="26"/>
          <w:u w:val="single"/>
        </w:rPr>
        <w:t>Lze očekávat, že za celý rok 2022 dosáhne podíl nezaměstnaných osob průměrné úrovně cca 3,3 - 3,5 %. V roce 2023 by se mohl podle aktuální predikce pohybovat v rozmezí 3,4 - 3,8 %.</w:t>
      </w:r>
    </w:p>
    <w:p w14:paraId="1257F4FC" w14:textId="019D5F6D" w:rsidR="008B1FD8" w:rsidRPr="00BC27CB" w:rsidRDefault="008B1FD8" w:rsidP="008B1FD8">
      <w:pPr>
        <w:spacing w:after="240" w:line="360" w:lineRule="auto"/>
        <w:jc w:val="both"/>
        <w:rPr>
          <w:rFonts w:asciiTheme="minorHAnsi" w:hAnsiTheme="minorHAnsi" w:cstheme="minorHAnsi"/>
          <w:sz w:val="26"/>
          <w:szCs w:val="26"/>
        </w:rPr>
      </w:pPr>
      <w:r w:rsidRPr="00E61EAC">
        <w:rPr>
          <w:rFonts w:ascii="Calibri" w:hAnsi="Calibri"/>
          <w:szCs w:val="24"/>
        </w:rPr>
        <w:lastRenderedPageBreak/>
        <w:tab/>
      </w:r>
      <w:r w:rsidRPr="00BC27CB">
        <w:rPr>
          <w:rFonts w:asciiTheme="minorHAnsi" w:hAnsiTheme="minorHAnsi" w:cstheme="minorHAnsi"/>
          <w:sz w:val="26"/>
          <w:szCs w:val="26"/>
        </w:rPr>
        <w:t xml:space="preserve">Úhrnná </w:t>
      </w:r>
      <w:r w:rsidRPr="00BC27CB">
        <w:rPr>
          <w:rFonts w:asciiTheme="minorHAnsi" w:hAnsiTheme="minorHAnsi" w:cstheme="minorHAnsi"/>
          <w:b/>
          <w:bCs/>
          <w:sz w:val="26"/>
          <w:szCs w:val="26"/>
        </w:rPr>
        <w:t>cenová hladina vzrostla ve 3. čtvrtletí proti 2. čtvrtletí o 3,6 %.</w:t>
      </w:r>
      <w:r w:rsidRPr="00BC27CB">
        <w:rPr>
          <w:rFonts w:asciiTheme="minorHAnsi" w:hAnsiTheme="minorHAnsi" w:cstheme="minorHAnsi"/>
          <w:sz w:val="26"/>
          <w:szCs w:val="26"/>
        </w:rPr>
        <w:t xml:space="preserve"> Mezičtvrtletní vývoj ovlivnilo zvýšení cen ve většině oddílů, zejména v</w:t>
      </w:r>
      <w:r>
        <w:rPr>
          <w:rFonts w:asciiTheme="minorHAnsi" w:hAnsiTheme="minorHAnsi" w:cstheme="minorHAnsi"/>
          <w:sz w:val="26"/>
          <w:szCs w:val="26"/>
        </w:rPr>
        <w:t xml:space="preserve"> </w:t>
      </w:r>
      <w:r w:rsidRPr="00BC27CB">
        <w:rPr>
          <w:rFonts w:asciiTheme="minorHAnsi" w:hAnsiTheme="minorHAnsi" w:cstheme="minorHAnsi"/>
          <w:sz w:val="26"/>
          <w:szCs w:val="26"/>
        </w:rPr>
        <w:t>oddílech bydlení</w:t>
      </w:r>
      <w:r>
        <w:rPr>
          <w:rFonts w:asciiTheme="minorHAnsi" w:hAnsiTheme="minorHAnsi" w:cstheme="minorHAnsi"/>
          <w:sz w:val="26"/>
          <w:szCs w:val="26"/>
        </w:rPr>
        <w:t xml:space="preserve"> a </w:t>
      </w:r>
      <w:r w:rsidRPr="00BC27CB">
        <w:rPr>
          <w:rFonts w:asciiTheme="minorHAnsi" w:hAnsiTheme="minorHAnsi" w:cstheme="minorHAnsi"/>
          <w:sz w:val="26"/>
          <w:szCs w:val="26"/>
        </w:rPr>
        <w:t xml:space="preserve">potraviny a nealkoholické nápoje. Protisměrně působil pouze pokles cen pohonných hmot a olejů. </w:t>
      </w:r>
    </w:p>
    <w:p w14:paraId="535E1A46" w14:textId="4B1AF486" w:rsidR="008B1FD8" w:rsidRDefault="008B1FD8" w:rsidP="008B1FD8">
      <w:pPr>
        <w:spacing w:after="240" w:line="360" w:lineRule="auto"/>
        <w:jc w:val="both"/>
        <w:rPr>
          <w:rFonts w:asciiTheme="minorHAnsi" w:hAnsiTheme="minorHAnsi" w:cstheme="minorHAnsi"/>
          <w:sz w:val="26"/>
          <w:szCs w:val="26"/>
        </w:rPr>
      </w:pPr>
      <w:r w:rsidRPr="00E61EAC">
        <w:rPr>
          <w:rFonts w:ascii="Calibri" w:hAnsi="Calibri"/>
          <w:szCs w:val="24"/>
        </w:rPr>
        <w:tab/>
      </w:r>
      <w:r w:rsidRPr="00232DEF">
        <w:rPr>
          <w:rFonts w:asciiTheme="minorHAnsi" w:hAnsiTheme="minorHAnsi" w:cstheme="minorHAnsi"/>
          <w:b/>
          <w:bCs/>
          <w:sz w:val="26"/>
          <w:szCs w:val="26"/>
        </w:rPr>
        <w:t>V meziročním pohledu byl</w:t>
      </w:r>
      <w:r w:rsidRPr="00232DEF">
        <w:rPr>
          <w:rFonts w:asciiTheme="minorHAnsi" w:hAnsiTheme="minorHAnsi" w:cstheme="minorHAnsi"/>
          <w:sz w:val="26"/>
          <w:szCs w:val="26"/>
        </w:rPr>
        <w:t xml:space="preserve"> </w:t>
      </w:r>
      <w:r w:rsidRPr="00232DEF">
        <w:rPr>
          <w:rFonts w:asciiTheme="minorHAnsi" w:hAnsiTheme="minorHAnsi" w:cstheme="minorHAnsi"/>
          <w:b/>
          <w:bCs/>
          <w:sz w:val="26"/>
          <w:szCs w:val="26"/>
        </w:rPr>
        <w:t>ve 3. čtvrtletí</w:t>
      </w:r>
      <w:r w:rsidRPr="00232DEF">
        <w:rPr>
          <w:rFonts w:asciiTheme="minorHAnsi" w:hAnsiTheme="minorHAnsi" w:cstheme="minorHAnsi"/>
          <w:sz w:val="26"/>
          <w:szCs w:val="26"/>
        </w:rPr>
        <w:t xml:space="preserve"> </w:t>
      </w:r>
      <w:r w:rsidRPr="00232DEF">
        <w:rPr>
          <w:rFonts w:asciiTheme="minorHAnsi" w:hAnsiTheme="minorHAnsi" w:cstheme="minorHAnsi"/>
          <w:b/>
          <w:sz w:val="26"/>
          <w:szCs w:val="26"/>
        </w:rPr>
        <w:t>2022</w:t>
      </w:r>
      <w:r w:rsidRPr="00232DEF">
        <w:rPr>
          <w:rFonts w:asciiTheme="minorHAnsi" w:hAnsiTheme="minorHAnsi" w:cstheme="minorHAnsi"/>
          <w:sz w:val="26"/>
          <w:szCs w:val="26"/>
        </w:rPr>
        <w:t xml:space="preserve"> vykázán </w:t>
      </w:r>
      <w:r w:rsidRPr="00232DEF">
        <w:rPr>
          <w:rFonts w:asciiTheme="minorHAnsi" w:hAnsiTheme="minorHAnsi" w:cstheme="minorHAnsi"/>
          <w:b/>
          <w:bCs/>
          <w:sz w:val="26"/>
          <w:szCs w:val="26"/>
        </w:rPr>
        <w:t>přírůstek 17,6 %</w:t>
      </w:r>
      <w:r w:rsidRPr="00232DEF">
        <w:rPr>
          <w:rFonts w:asciiTheme="minorHAnsi" w:hAnsiTheme="minorHAnsi" w:cstheme="minorHAnsi"/>
          <w:sz w:val="26"/>
          <w:szCs w:val="26"/>
        </w:rPr>
        <w:t xml:space="preserve"> (což bylo o 1,8 p. b. více než ve druhém čtvrtletí). Oproti trendům zmíněným </w:t>
      </w:r>
      <w:r w:rsidRPr="0080146E">
        <w:rPr>
          <w:rFonts w:asciiTheme="minorHAnsi" w:hAnsiTheme="minorHAnsi" w:cstheme="minorHAnsi"/>
          <w:sz w:val="26"/>
          <w:szCs w:val="26"/>
        </w:rPr>
        <w:t>v</w:t>
      </w:r>
      <w:r w:rsidR="0060019D" w:rsidRPr="0080146E">
        <w:rPr>
          <w:rFonts w:asciiTheme="minorHAnsi" w:hAnsiTheme="minorHAnsi" w:cstheme="minorHAnsi"/>
          <w:sz w:val="26"/>
          <w:szCs w:val="26"/>
        </w:rPr>
        <w:t> </w:t>
      </w:r>
      <w:r w:rsidRPr="0080146E">
        <w:rPr>
          <w:rFonts w:asciiTheme="minorHAnsi" w:hAnsiTheme="minorHAnsi" w:cstheme="minorHAnsi"/>
          <w:sz w:val="26"/>
          <w:szCs w:val="26"/>
        </w:rPr>
        <w:t>kapitole</w:t>
      </w:r>
      <w:r w:rsidR="0060019D" w:rsidRPr="0080146E">
        <w:rPr>
          <w:rFonts w:asciiTheme="minorHAnsi" w:hAnsiTheme="minorHAnsi" w:cstheme="minorHAnsi"/>
          <w:sz w:val="26"/>
          <w:szCs w:val="26"/>
        </w:rPr>
        <w:t> </w:t>
      </w:r>
      <w:r w:rsidRPr="0080146E">
        <w:rPr>
          <w:rFonts w:asciiTheme="minorHAnsi" w:hAnsiTheme="minorHAnsi" w:cstheme="minorHAnsi"/>
          <w:sz w:val="26"/>
          <w:szCs w:val="26"/>
        </w:rPr>
        <w:t>2</w:t>
      </w:r>
      <w:r w:rsidR="0060019D" w:rsidRPr="0080146E">
        <w:rPr>
          <w:rFonts w:asciiTheme="minorHAnsi" w:hAnsiTheme="minorHAnsi" w:cstheme="minorHAnsi"/>
          <w:sz w:val="26"/>
          <w:szCs w:val="26"/>
        </w:rPr>
        <w:t>.</w:t>
      </w:r>
      <w:r w:rsidRPr="0080146E">
        <w:rPr>
          <w:rFonts w:asciiTheme="minorHAnsi" w:hAnsiTheme="minorHAnsi" w:cstheme="minorHAnsi"/>
          <w:sz w:val="26"/>
          <w:szCs w:val="26"/>
        </w:rPr>
        <w:t xml:space="preserve"> došlo ve 3. čtvrtletí pouze k dílčím změnám v dynamice meziročního </w:t>
      </w:r>
      <w:r w:rsidRPr="00232DEF">
        <w:rPr>
          <w:rFonts w:asciiTheme="minorHAnsi" w:hAnsiTheme="minorHAnsi" w:cstheme="minorHAnsi"/>
          <w:sz w:val="26"/>
          <w:szCs w:val="26"/>
        </w:rPr>
        <w:t xml:space="preserve">vývoje cen. Cenový vývoj ovlivnilo zejména další zrychlení růstu nákladů v oddílech bydlení a potraviny a nealkoholické nápoje. Mírně naopak zpomalil růst cen v oddíle doprava. </w:t>
      </w:r>
      <w:r w:rsidRPr="00232DEF">
        <w:rPr>
          <w:rFonts w:asciiTheme="minorHAnsi" w:hAnsiTheme="minorHAnsi" w:cstheme="minorHAnsi"/>
          <w:b/>
          <w:bCs/>
          <w:sz w:val="26"/>
          <w:szCs w:val="26"/>
        </w:rPr>
        <w:t>V úhrnu za 1.</w:t>
      </w:r>
      <w:r>
        <w:rPr>
          <w:rFonts w:asciiTheme="minorHAnsi" w:hAnsiTheme="minorHAnsi" w:cstheme="minorHAnsi"/>
          <w:b/>
          <w:bCs/>
          <w:sz w:val="26"/>
          <w:szCs w:val="26"/>
        </w:rPr>
        <w:t xml:space="preserve"> </w:t>
      </w:r>
      <w:r w:rsidRPr="00232DEF">
        <w:rPr>
          <w:rFonts w:asciiTheme="minorHAnsi" w:hAnsiTheme="minorHAnsi" w:cstheme="minorHAnsi"/>
          <w:b/>
          <w:bCs/>
          <w:sz w:val="26"/>
          <w:szCs w:val="26"/>
        </w:rPr>
        <w:t>–</w:t>
      </w:r>
      <w:r>
        <w:rPr>
          <w:rFonts w:asciiTheme="minorHAnsi" w:hAnsiTheme="minorHAnsi" w:cstheme="minorHAnsi"/>
          <w:b/>
          <w:bCs/>
          <w:sz w:val="26"/>
          <w:szCs w:val="26"/>
        </w:rPr>
        <w:t xml:space="preserve"> </w:t>
      </w:r>
      <w:r w:rsidRPr="00232DEF">
        <w:rPr>
          <w:rFonts w:asciiTheme="minorHAnsi" w:hAnsiTheme="minorHAnsi" w:cstheme="minorHAnsi"/>
          <w:b/>
          <w:bCs/>
          <w:sz w:val="26"/>
          <w:szCs w:val="26"/>
        </w:rPr>
        <w:t>3. čtvrtletí 2022 byly</w:t>
      </w:r>
      <w:r w:rsidRPr="00232DEF">
        <w:rPr>
          <w:rFonts w:asciiTheme="minorHAnsi" w:hAnsiTheme="minorHAnsi" w:cstheme="minorHAnsi"/>
          <w:sz w:val="26"/>
          <w:szCs w:val="26"/>
        </w:rPr>
        <w:t xml:space="preserve"> spotřebitelské </w:t>
      </w:r>
      <w:r w:rsidRPr="00232DEF">
        <w:rPr>
          <w:rFonts w:asciiTheme="minorHAnsi" w:hAnsiTheme="minorHAnsi" w:cstheme="minorHAnsi"/>
          <w:b/>
          <w:bCs/>
          <w:sz w:val="26"/>
          <w:szCs w:val="26"/>
        </w:rPr>
        <w:t>ceny v průměru o 14,9</w:t>
      </w:r>
      <w:r w:rsidRPr="00232DEF">
        <w:rPr>
          <w:rFonts w:asciiTheme="minorHAnsi" w:hAnsiTheme="minorHAnsi" w:cstheme="minorHAnsi"/>
          <w:sz w:val="26"/>
          <w:szCs w:val="26"/>
        </w:rPr>
        <w:t> </w:t>
      </w:r>
      <w:r w:rsidRPr="00232DEF">
        <w:rPr>
          <w:rFonts w:asciiTheme="minorHAnsi" w:hAnsiTheme="minorHAnsi" w:cstheme="minorHAnsi"/>
          <w:b/>
          <w:bCs/>
          <w:sz w:val="26"/>
          <w:szCs w:val="26"/>
        </w:rPr>
        <w:t>% vyšší</w:t>
      </w:r>
      <w:r w:rsidRPr="00232DEF">
        <w:rPr>
          <w:rFonts w:asciiTheme="minorHAnsi" w:hAnsiTheme="minorHAnsi" w:cstheme="minorHAnsi"/>
          <w:sz w:val="26"/>
          <w:szCs w:val="26"/>
        </w:rPr>
        <w:t xml:space="preserve"> než ve stejném období roku 2021.</w:t>
      </w:r>
    </w:p>
    <w:p w14:paraId="355FB546" w14:textId="77777777" w:rsidR="00856B2D" w:rsidRPr="00B20A35" w:rsidRDefault="00856B2D" w:rsidP="008B1FD8">
      <w:pPr>
        <w:spacing w:after="240" w:line="360" w:lineRule="auto"/>
        <w:jc w:val="both"/>
        <w:rPr>
          <w:rFonts w:asciiTheme="minorHAnsi" w:hAnsiTheme="minorHAnsi" w:cstheme="minorHAnsi"/>
          <w:sz w:val="26"/>
          <w:szCs w:val="26"/>
        </w:rPr>
      </w:pPr>
    </w:p>
    <w:p w14:paraId="5C22C825" w14:textId="160FFEA0" w:rsidR="008B1FD8" w:rsidRPr="00B20A35" w:rsidRDefault="004A4A98" w:rsidP="008B1FD8">
      <w:pPr>
        <w:spacing w:after="360"/>
        <w:ind w:left="709"/>
        <w:jc w:val="both"/>
        <w:rPr>
          <w:rFonts w:asciiTheme="minorHAnsi" w:hAnsiTheme="minorHAnsi" w:cstheme="minorHAnsi"/>
          <w:b/>
          <w:sz w:val="26"/>
          <w:szCs w:val="26"/>
          <w:u w:val="single"/>
        </w:rPr>
      </w:pPr>
      <w:r w:rsidRPr="0080146E">
        <w:rPr>
          <w:rFonts w:asciiTheme="minorHAnsi" w:hAnsiTheme="minorHAnsi" w:cstheme="minorHAnsi"/>
          <w:b/>
          <w:sz w:val="26"/>
          <w:szCs w:val="26"/>
          <w:u w:val="single"/>
        </w:rPr>
        <w:t>Během roku</w:t>
      </w:r>
      <w:r w:rsidR="008B1FD8" w:rsidRPr="0080146E">
        <w:rPr>
          <w:rFonts w:asciiTheme="minorHAnsi" w:hAnsiTheme="minorHAnsi" w:cstheme="minorHAnsi"/>
          <w:b/>
          <w:sz w:val="26"/>
          <w:szCs w:val="26"/>
          <w:u w:val="single"/>
        </w:rPr>
        <w:t xml:space="preserve"> 2022 došlo ke značnému růstu cen bydlení, dopravy a potravin. </w:t>
      </w:r>
      <w:r w:rsidR="008B1FD8" w:rsidRPr="00B20A35">
        <w:rPr>
          <w:rFonts w:asciiTheme="minorHAnsi" w:hAnsiTheme="minorHAnsi" w:cstheme="minorHAnsi"/>
          <w:b/>
          <w:sz w:val="26"/>
          <w:szCs w:val="26"/>
          <w:u w:val="single"/>
        </w:rPr>
        <w:t>V případě nákladů zahrnutých v oddíle bydlení byl i v průběhu třetího čtvrtletí zaznamenán další růst cen elektřiny a plynu. Rovněž ve čtvrtém čtvrtletí budou domácnosti postupně přecházet na aktuální dražší tarify. Protiinflačně budou naopak působit vládní opatření (úsporný tarif a odpuštění plateb za obnovitelné zdroje). Důsledkem vysokého růstu cen materiálů je znatelně proinflační rovněž imputované nájemné (náklady vlastnického bydlení). Další příčinou vysoké inflace bylo zvýšení cen pohonných hmot, které rychle reagovaly na růst cen ropy. Ve druhé polovině roku však již dochází ke snížení těchto cen. U potravin lze nadále očekávat vysoký růst cen hlavně u pekárenských výrobků, obilovin, masa a olejů a tuků. Stále doznívajícím faktorem jsou taktéž vysoké dodavatelské ceny (náklady na materiály, paliva, výpadky v dodavatelských řetězcích a nedostatek základních surovin a komponentů na trzích). Invaze Ruské federace na Ukrajinu výrazně proinflačně posiluje všechny zmíněné faktory.</w:t>
      </w:r>
    </w:p>
    <w:p w14:paraId="3D650FAE" w14:textId="77777777" w:rsidR="008B1FD8" w:rsidRDefault="008B1FD8" w:rsidP="008B1FD8">
      <w:pPr>
        <w:spacing w:after="240"/>
        <w:ind w:left="709"/>
        <w:jc w:val="both"/>
        <w:rPr>
          <w:rFonts w:asciiTheme="minorHAnsi" w:hAnsiTheme="minorHAnsi" w:cstheme="minorHAnsi"/>
          <w:b/>
          <w:bCs/>
          <w:sz w:val="26"/>
          <w:szCs w:val="26"/>
          <w:u w:val="single"/>
        </w:rPr>
      </w:pPr>
      <w:r w:rsidRPr="00B20A35">
        <w:rPr>
          <w:rFonts w:asciiTheme="minorHAnsi" w:hAnsiTheme="minorHAnsi" w:cstheme="minorHAnsi"/>
          <w:b/>
          <w:sz w:val="26"/>
          <w:szCs w:val="26"/>
          <w:u w:val="single"/>
        </w:rPr>
        <w:t xml:space="preserve">Průměrná míra cenové inflace by se měla v roce 2022 pohybovat v intervalu 15,2 - 15,8 % (střed 15,5 %). </w:t>
      </w:r>
      <w:r w:rsidRPr="00B20A35">
        <w:rPr>
          <w:rFonts w:asciiTheme="minorHAnsi" w:hAnsiTheme="minorHAnsi" w:cstheme="minorHAnsi"/>
          <w:b/>
          <w:bCs/>
          <w:sz w:val="26"/>
          <w:szCs w:val="26"/>
          <w:u w:val="single"/>
        </w:rPr>
        <w:t xml:space="preserve">Výhled inflace na rok 2023 je v intervalu </w:t>
      </w:r>
      <w:r w:rsidRPr="00B20A35">
        <w:rPr>
          <w:rFonts w:asciiTheme="minorHAnsi" w:hAnsiTheme="minorHAnsi" w:cstheme="minorHAnsi"/>
          <w:b/>
          <w:bCs/>
          <w:sz w:val="26"/>
          <w:szCs w:val="26"/>
          <w:u w:val="single"/>
        </w:rPr>
        <w:br/>
        <w:t>6,8 - 10,0 % (střed 8,4 %).</w:t>
      </w:r>
    </w:p>
    <w:p w14:paraId="691750B0" w14:textId="77777777" w:rsidR="008B1FD8" w:rsidRPr="00B20A35" w:rsidRDefault="008B1FD8" w:rsidP="008B1FD8">
      <w:pPr>
        <w:ind w:left="708"/>
        <w:jc w:val="both"/>
        <w:rPr>
          <w:rFonts w:asciiTheme="minorHAnsi" w:hAnsiTheme="minorHAnsi" w:cstheme="minorHAnsi"/>
          <w:b/>
          <w:sz w:val="26"/>
          <w:szCs w:val="26"/>
          <w:u w:val="single"/>
        </w:rPr>
      </w:pPr>
    </w:p>
    <w:p w14:paraId="3E7F5EE8" w14:textId="77777777" w:rsidR="008B1FD8" w:rsidRDefault="008B1FD8" w:rsidP="008B1FD8">
      <w:pPr>
        <w:spacing w:after="160" w:line="259" w:lineRule="auto"/>
        <w:rPr>
          <w:rFonts w:asciiTheme="minorHAnsi" w:hAnsiTheme="minorHAnsi" w:cstheme="minorHAnsi"/>
          <w:sz w:val="26"/>
          <w:szCs w:val="26"/>
        </w:rPr>
      </w:pPr>
      <w:r>
        <w:rPr>
          <w:rFonts w:asciiTheme="minorHAnsi" w:hAnsiTheme="minorHAnsi" w:cstheme="minorHAnsi"/>
          <w:sz w:val="26"/>
          <w:szCs w:val="26"/>
        </w:rPr>
        <w:br w:type="page"/>
      </w:r>
    </w:p>
    <w:p w14:paraId="3768C47F" w14:textId="18BB858B" w:rsidR="008B1FD8" w:rsidRPr="00E400EA" w:rsidRDefault="008B1FD8" w:rsidP="008B1FD8">
      <w:pPr>
        <w:spacing w:after="240" w:line="360" w:lineRule="auto"/>
        <w:jc w:val="both"/>
        <w:rPr>
          <w:rFonts w:asciiTheme="minorHAnsi" w:hAnsiTheme="minorHAnsi" w:cstheme="minorHAnsi"/>
          <w:b/>
          <w:sz w:val="26"/>
          <w:szCs w:val="26"/>
        </w:rPr>
      </w:pPr>
      <w:r w:rsidRPr="00E61EAC">
        <w:rPr>
          <w:rFonts w:ascii="Calibri" w:hAnsi="Calibri"/>
          <w:szCs w:val="24"/>
        </w:rPr>
        <w:lastRenderedPageBreak/>
        <w:tab/>
      </w:r>
      <w:r w:rsidRPr="00081B5A">
        <w:rPr>
          <w:rFonts w:asciiTheme="minorHAnsi" w:hAnsiTheme="minorHAnsi" w:cstheme="minorHAnsi"/>
          <w:sz w:val="26"/>
          <w:szCs w:val="26"/>
        </w:rPr>
        <w:t xml:space="preserve">Dříve popsané hlavní </w:t>
      </w:r>
      <w:r w:rsidRPr="00081B5A">
        <w:rPr>
          <w:rFonts w:asciiTheme="minorHAnsi" w:hAnsiTheme="minorHAnsi" w:cstheme="minorHAnsi"/>
          <w:b/>
          <w:bCs/>
          <w:sz w:val="26"/>
          <w:szCs w:val="26"/>
        </w:rPr>
        <w:t xml:space="preserve">tendence ve vývoji </w:t>
      </w:r>
      <w:r w:rsidRPr="00081B5A">
        <w:rPr>
          <w:rFonts w:asciiTheme="minorHAnsi" w:hAnsiTheme="minorHAnsi" w:cstheme="minorHAnsi"/>
          <w:sz w:val="26"/>
          <w:szCs w:val="26"/>
        </w:rPr>
        <w:t xml:space="preserve">peněžních </w:t>
      </w:r>
      <w:r w:rsidRPr="00081B5A">
        <w:rPr>
          <w:rFonts w:asciiTheme="minorHAnsi" w:hAnsiTheme="minorHAnsi" w:cstheme="minorHAnsi"/>
          <w:b/>
          <w:bCs/>
          <w:sz w:val="26"/>
          <w:szCs w:val="26"/>
        </w:rPr>
        <w:t>půjček a úspor</w:t>
      </w:r>
      <w:r w:rsidRPr="00081B5A">
        <w:rPr>
          <w:rFonts w:asciiTheme="minorHAnsi" w:hAnsiTheme="minorHAnsi" w:cstheme="minorHAnsi"/>
          <w:sz w:val="26"/>
          <w:szCs w:val="26"/>
        </w:rPr>
        <w:t xml:space="preserve"> domácností </w:t>
      </w:r>
      <w:r w:rsidRPr="00081B5A">
        <w:rPr>
          <w:rFonts w:asciiTheme="minorHAnsi" w:hAnsiTheme="minorHAnsi" w:cstheme="minorHAnsi"/>
          <w:b/>
          <w:bCs/>
          <w:sz w:val="26"/>
          <w:szCs w:val="26"/>
        </w:rPr>
        <w:t>se</w:t>
      </w:r>
      <w:r w:rsidRPr="00081B5A">
        <w:rPr>
          <w:rFonts w:asciiTheme="minorHAnsi" w:hAnsiTheme="minorHAnsi" w:cstheme="minorHAnsi"/>
          <w:sz w:val="26"/>
          <w:szCs w:val="26"/>
        </w:rPr>
        <w:t xml:space="preserve"> v červenci a srpnu 2022 </w:t>
      </w:r>
      <w:r w:rsidRPr="00081B5A">
        <w:rPr>
          <w:rFonts w:asciiTheme="minorHAnsi" w:hAnsiTheme="minorHAnsi" w:cstheme="minorHAnsi"/>
          <w:b/>
          <w:bCs/>
          <w:sz w:val="26"/>
          <w:szCs w:val="26"/>
        </w:rPr>
        <w:t>výrazně</w:t>
      </w:r>
      <w:r w:rsidRPr="00081B5A">
        <w:rPr>
          <w:rFonts w:asciiTheme="minorHAnsi" w:hAnsiTheme="minorHAnsi" w:cstheme="minorHAnsi"/>
          <w:sz w:val="26"/>
          <w:szCs w:val="26"/>
        </w:rPr>
        <w:t xml:space="preserve"> </w:t>
      </w:r>
      <w:r w:rsidRPr="00081B5A">
        <w:rPr>
          <w:rFonts w:asciiTheme="minorHAnsi" w:hAnsiTheme="minorHAnsi" w:cstheme="minorHAnsi"/>
          <w:b/>
          <w:bCs/>
          <w:sz w:val="26"/>
          <w:szCs w:val="26"/>
        </w:rPr>
        <w:t xml:space="preserve">nezměnily. </w:t>
      </w:r>
      <w:r w:rsidRPr="00081B5A">
        <w:rPr>
          <w:rFonts w:asciiTheme="minorHAnsi" w:hAnsiTheme="minorHAnsi" w:cstheme="minorHAnsi"/>
          <w:bCs/>
          <w:sz w:val="26"/>
          <w:szCs w:val="26"/>
        </w:rPr>
        <w:t>S</w:t>
      </w:r>
      <w:r w:rsidRPr="00081B5A">
        <w:rPr>
          <w:rFonts w:asciiTheme="minorHAnsi" w:hAnsiTheme="minorHAnsi" w:cstheme="minorHAnsi"/>
          <w:sz w:val="26"/>
          <w:szCs w:val="26"/>
        </w:rPr>
        <w:t>tav bankovních</w:t>
      </w:r>
      <w:r w:rsidRPr="00081B5A">
        <w:rPr>
          <w:rFonts w:asciiTheme="minorHAnsi" w:hAnsiTheme="minorHAnsi" w:cstheme="minorHAnsi"/>
          <w:b/>
          <w:bCs/>
          <w:sz w:val="26"/>
          <w:szCs w:val="26"/>
        </w:rPr>
        <w:t xml:space="preserve"> úvěrů domácností</w:t>
      </w:r>
      <w:r w:rsidRPr="00081B5A">
        <w:rPr>
          <w:rFonts w:asciiTheme="minorHAnsi" w:hAnsiTheme="minorHAnsi" w:cstheme="minorHAnsi"/>
          <w:sz w:val="26"/>
          <w:szCs w:val="26"/>
        </w:rPr>
        <w:t xml:space="preserve"> </w:t>
      </w:r>
      <w:r w:rsidRPr="00081B5A">
        <w:rPr>
          <w:rFonts w:asciiTheme="minorHAnsi" w:hAnsiTheme="minorHAnsi" w:cstheme="minorHAnsi"/>
          <w:b/>
          <w:bCs/>
          <w:sz w:val="26"/>
          <w:szCs w:val="26"/>
        </w:rPr>
        <w:t>byl v srpnu vyšší</w:t>
      </w:r>
      <w:r w:rsidRPr="00081B5A">
        <w:rPr>
          <w:rFonts w:asciiTheme="minorHAnsi" w:hAnsiTheme="minorHAnsi" w:cstheme="minorHAnsi"/>
          <w:sz w:val="26"/>
          <w:szCs w:val="26"/>
        </w:rPr>
        <w:t xml:space="preserve"> proti červnu </w:t>
      </w:r>
      <w:r w:rsidRPr="00081B5A">
        <w:rPr>
          <w:rFonts w:asciiTheme="minorHAnsi" w:hAnsiTheme="minorHAnsi" w:cstheme="minorHAnsi"/>
          <w:b/>
          <w:bCs/>
          <w:sz w:val="26"/>
          <w:szCs w:val="26"/>
        </w:rPr>
        <w:t xml:space="preserve">o 16,9 mld. Kč </w:t>
      </w:r>
      <w:r w:rsidRPr="00081B5A">
        <w:rPr>
          <w:rFonts w:asciiTheme="minorHAnsi" w:hAnsiTheme="minorHAnsi" w:cstheme="minorHAnsi"/>
          <w:sz w:val="26"/>
          <w:szCs w:val="26"/>
        </w:rPr>
        <w:t>(což byl</w:t>
      </w:r>
      <w:r w:rsidRPr="00081B5A">
        <w:rPr>
          <w:rFonts w:asciiTheme="minorHAnsi" w:hAnsiTheme="minorHAnsi" w:cstheme="minorHAnsi"/>
          <w:b/>
          <w:bCs/>
          <w:sz w:val="26"/>
          <w:szCs w:val="26"/>
        </w:rPr>
        <w:t xml:space="preserve"> </w:t>
      </w:r>
      <w:r w:rsidRPr="00081B5A">
        <w:rPr>
          <w:rFonts w:asciiTheme="minorHAnsi" w:hAnsiTheme="minorHAnsi" w:cstheme="minorHAnsi"/>
          <w:bCs/>
          <w:sz w:val="26"/>
          <w:szCs w:val="26"/>
        </w:rPr>
        <w:t>o 18,7 mld. Kč nižší přírůstek</w:t>
      </w:r>
      <w:r w:rsidRPr="00081B5A">
        <w:rPr>
          <w:rFonts w:asciiTheme="minorHAnsi" w:hAnsiTheme="minorHAnsi" w:cstheme="minorHAnsi"/>
          <w:b/>
          <w:bCs/>
          <w:sz w:val="26"/>
          <w:szCs w:val="26"/>
        </w:rPr>
        <w:t xml:space="preserve"> </w:t>
      </w:r>
      <w:r w:rsidRPr="00081B5A">
        <w:rPr>
          <w:rFonts w:asciiTheme="minorHAnsi" w:hAnsiTheme="minorHAnsi" w:cstheme="minorHAnsi"/>
          <w:sz w:val="26"/>
          <w:szCs w:val="26"/>
        </w:rPr>
        <w:t>než ve stejném období roku 2021) a výraznou část uvedeného růstu představovaly úvěry na bydlení (+13,3 mld. Kč)</w:t>
      </w:r>
      <w:r w:rsidRPr="00081B5A">
        <w:rPr>
          <w:rFonts w:asciiTheme="minorHAnsi" w:hAnsiTheme="minorHAnsi" w:cstheme="minorHAnsi"/>
          <w:sz w:val="26"/>
          <w:szCs w:val="26"/>
          <w:lang w:val="en-US"/>
        </w:rPr>
        <w:t xml:space="preserve">; </w:t>
      </w:r>
      <w:r w:rsidRPr="00081B5A">
        <w:rPr>
          <w:rFonts w:asciiTheme="minorHAnsi" w:hAnsiTheme="minorHAnsi" w:cstheme="minorHAnsi"/>
          <w:b/>
          <w:sz w:val="26"/>
          <w:szCs w:val="26"/>
        </w:rPr>
        <w:t>celkový stav úvěrů domácností</w:t>
      </w:r>
      <w:r w:rsidRPr="00081B5A">
        <w:rPr>
          <w:rFonts w:asciiTheme="minorHAnsi" w:hAnsiTheme="minorHAnsi" w:cstheme="minorHAnsi"/>
          <w:sz w:val="26"/>
          <w:szCs w:val="26"/>
        </w:rPr>
        <w:t xml:space="preserve"> u bank činil </w:t>
      </w:r>
      <w:r w:rsidRPr="00081B5A">
        <w:rPr>
          <w:rFonts w:asciiTheme="minorHAnsi" w:hAnsiTheme="minorHAnsi" w:cstheme="minorHAnsi"/>
          <w:b/>
          <w:sz w:val="26"/>
          <w:szCs w:val="26"/>
        </w:rPr>
        <w:t>ke konci srpna</w:t>
      </w:r>
      <w:r w:rsidRPr="00081B5A">
        <w:rPr>
          <w:rFonts w:asciiTheme="minorHAnsi" w:hAnsiTheme="minorHAnsi" w:cstheme="minorHAnsi"/>
          <w:sz w:val="26"/>
          <w:szCs w:val="26"/>
        </w:rPr>
        <w:t xml:space="preserve"> </w:t>
      </w:r>
      <w:r w:rsidRPr="00081B5A">
        <w:rPr>
          <w:rFonts w:asciiTheme="minorHAnsi" w:hAnsiTheme="minorHAnsi" w:cstheme="minorHAnsi"/>
          <w:b/>
          <w:sz w:val="26"/>
          <w:szCs w:val="26"/>
        </w:rPr>
        <w:t>2 116,5 mld. Kč.</w:t>
      </w:r>
    </w:p>
    <w:p w14:paraId="49470A49" w14:textId="37242E9E" w:rsidR="008B1FD8" w:rsidRPr="00E400EA" w:rsidRDefault="008B1FD8" w:rsidP="008B1FD8">
      <w:pPr>
        <w:spacing w:after="240" w:line="360" w:lineRule="auto"/>
        <w:jc w:val="both"/>
        <w:rPr>
          <w:rFonts w:asciiTheme="minorHAnsi" w:hAnsiTheme="minorHAnsi" w:cstheme="minorHAnsi"/>
          <w:bCs/>
          <w:sz w:val="26"/>
          <w:szCs w:val="26"/>
        </w:rPr>
      </w:pPr>
      <w:r w:rsidRPr="00E61EAC">
        <w:rPr>
          <w:rFonts w:ascii="Calibri" w:hAnsi="Calibri"/>
          <w:szCs w:val="24"/>
        </w:rPr>
        <w:tab/>
      </w:r>
      <w:r w:rsidRPr="00E400EA">
        <w:rPr>
          <w:rFonts w:asciiTheme="minorHAnsi" w:hAnsiTheme="minorHAnsi" w:cstheme="minorHAnsi"/>
          <w:b/>
          <w:bCs/>
          <w:sz w:val="26"/>
          <w:szCs w:val="26"/>
        </w:rPr>
        <w:t>Přírůstek</w:t>
      </w:r>
      <w:r w:rsidRPr="00E400EA">
        <w:rPr>
          <w:rFonts w:asciiTheme="minorHAnsi" w:hAnsiTheme="minorHAnsi" w:cstheme="minorHAnsi"/>
          <w:sz w:val="26"/>
          <w:szCs w:val="26"/>
        </w:rPr>
        <w:t xml:space="preserve"> bankovních </w:t>
      </w:r>
      <w:r w:rsidRPr="00E400EA">
        <w:rPr>
          <w:rFonts w:asciiTheme="minorHAnsi" w:hAnsiTheme="minorHAnsi" w:cstheme="minorHAnsi"/>
          <w:b/>
          <w:bCs/>
          <w:sz w:val="26"/>
          <w:szCs w:val="26"/>
        </w:rPr>
        <w:t>úspor</w:t>
      </w:r>
      <w:r w:rsidRPr="00E400EA">
        <w:rPr>
          <w:rFonts w:asciiTheme="minorHAnsi" w:hAnsiTheme="minorHAnsi" w:cstheme="minorHAnsi"/>
          <w:sz w:val="26"/>
          <w:szCs w:val="26"/>
        </w:rPr>
        <w:t xml:space="preserve"> domácností </w:t>
      </w:r>
      <w:r w:rsidRPr="00E400EA">
        <w:rPr>
          <w:rFonts w:asciiTheme="minorHAnsi" w:hAnsiTheme="minorHAnsi" w:cstheme="minorHAnsi"/>
          <w:b/>
          <w:bCs/>
          <w:sz w:val="26"/>
          <w:szCs w:val="26"/>
        </w:rPr>
        <w:t>byl</w:t>
      </w:r>
      <w:r w:rsidRPr="00E400EA">
        <w:rPr>
          <w:rFonts w:asciiTheme="minorHAnsi" w:hAnsiTheme="minorHAnsi" w:cstheme="minorHAnsi"/>
          <w:sz w:val="26"/>
          <w:szCs w:val="26"/>
        </w:rPr>
        <w:t xml:space="preserve"> za první dva měsíce 3. čtvrtletí 2022 </w:t>
      </w:r>
      <w:r w:rsidRPr="0080146E">
        <w:rPr>
          <w:rFonts w:asciiTheme="minorHAnsi" w:hAnsiTheme="minorHAnsi" w:cstheme="minorHAnsi"/>
          <w:b/>
          <w:sz w:val="26"/>
          <w:szCs w:val="26"/>
        </w:rPr>
        <w:t>(+4,5 mld. Kč)</w:t>
      </w:r>
      <w:r w:rsidRPr="0080146E">
        <w:rPr>
          <w:rFonts w:asciiTheme="minorHAnsi" w:hAnsiTheme="minorHAnsi" w:cstheme="minorHAnsi"/>
          <w:sz w:val="26"/>
          <w:szCs w:val="26"/>
        </w:rPr>
        <w:t xml:space="preserve"> </w:t>
      </w:r>
      <w:r w:rsidRPr="0080146E">
        <w:rPr>
          <w:rFonts w:asciiTheme="minorHAnsi" w:hAnsiTheme="minorHAnsi" w:cstheme="minorHAnsi"/>
          <w:b/>
          <w:bCs/>
          <w:sz w:val="26"/>
          <w:szCs w:val="26"/>
        </w:rPr>
        <w:t>výrazně nižší</w:t>
      </w:r>
      <w:r w:rsidRPr="0080146E">
        <w:rPr>
          <w:rFonts w:asciiTheme="minorHAnsi" w:hAnsiTheme="minorHAnsi" w:cstheme="minorHAnsi"/>
          <w:b/>
          <w:sz w:val="26"/>
          <w:szCs w:val="26"/>
        </w:rPr>
        <w:t xml:space="preserve"> než před rokem </w:t>
      </w:r>
      <w:r w:rsidRPr="0080146E">
        <w:rPr>
          <w:rFonts w:asciiTheme="minorHAnsi" w:hAnsiTheme="minorHAnsi" w:cstheme="minorHAnsi"/>
          <w:sz w:val="26"/>
          <w:szCs w:val="26"/>
        </w:rPr>
        <w:t xml:space="preserve">(+30,5 mld. Kč) a byl dosažen výhradně </w:t>
      </w:r>
      <w:r w:rsidRPr="00E400EA">
        <w:rPr>
          <w:rFonts w:asciiTheme="minorHAnsi" w:hAnsiTheme="minorHAnsi" w:cstheme="minorHAnsi"/>
          <w:b/>
          <w:bCs/>
          <w:sz w:val="26"/>
          <w:szCs w:val="26"/>
        </w:rPr>
        <w:t>vlivem</w:t>
      </w:r>
      <w:r w:rsidRPr="00E400EA">
        <w:rPr>
          <w:rFonts w:asciiTheme="minorHAnsi" w:hAnsiTheme="minorHAnsi" w:cstheme="minorHAnsi"/>
          <w:sz w:val="26"/>
          <w:szCs w:val="26"/>
        </w:rPr>
        <w:t xml:space="preserve"> </w:t>
      </w:r>
      <w:r w:rsidRPr="00E400EA">
        <w:rPr>
          <w:rFonts w:asciiTheme="minorHAnsi" w:hAnsiTheme="minorHAnsi" w:cstheme="minorHAnsi"/>
          <w:b/>
          <w:bCs/>
          <w:sz w:val="26"/>
          <w:szCs w:val="26"/>
        </w:rPr>
        <w:t xml:space="preserve">vzestupu termínových vkladů </w:t>
      </w:r>
      <w:r w:rsidRPr="00E400EA">
        <w:rPr>
          <w:rFonts w:asciiTheme="minorHAnsi" w:hAnsiTheme="minorHAnsi" w:cstheme="minorHAnsi"/>
          <w:bCs/>
          <w:sz w:val="26"/>
          <w:szCs w:val="26"/>
        </w:rPr>
        <w:t xml:space="preserve">(+46,9 mld. Kč). </w:t>
      </w:r>
      <w:r w:rsidRPr="00E400EA">
        <w:rPr>
          <w:rFonts w:asciiTheme="minorHAnsi" w:hAnsiTheme="minorHAnsi" w:cstheme="minorHAnsi"/>
          <w:b/>
          <w:bCs/>
          <w:sz w:val="26"/>
          <w:szCs w:val="26"/>
        </w:rPr>
        <w:t xml:space="preserve">Netermínované vklady byly </w:t>
      </w:r>
      <w:r w:rsidRPr="00E400EA">
        <w:rPr>
          <w:rFonts w:asciiTheme="minorHAnsi" w:hAnsiTheme="minorHAnsi" w:cstheme="minorHAnsi"/>
          <w:bCs/>
          <w:sz w:val="26"/>
          <w:szCs w:val="26"/>
        </w:rPr>
        <w:t xml:space="preserve">na konci srpna </w:t>
      </w:r>
      <w:r w:rsidRPr="00E400EA">
        <w:rPr>
          <w:rFonts w:asciiTheme="minorHAnsi" w:hAnsiTheme="minorHAnsi" w:cstheme="minorHAnsi"/>
          <w:b/>
          <w:sz w:val="26"/>
          <w:szCs w:val="26"/>
        </w:rPr>
        <w:t>nižší</w:t>
      </w:r>
      <w:r w:rsidRPr="00E400EA">
        <w:rPr>
          <w:rFonts w:asciiTheme="minorHAnsi" w:hAnsiTheme="minorHAnsi" w:cstheme="minorHAnsi"/>
          <w:bCs/>
          <w:sz w:val="26"/>
          <w:szCs w:val="26"/>
        </w:rPr>
        <w:t xml:space="preserve"> oproti červnu o 42,4 mld. Kč.</w:t>
      </w:r>
    </w:p>
    <w:p w14:paraId="45627DAB" w14:textId="3785EFA5" w:rsidR="008B1FD8" w:rsidRPr="00F04A07" w:rsidRDefault="008B1FD8" w:rsidP="008B1FD8">
      <w:pPr>
        <w:ind w:left="708"/>
        <w:jc w:val="both"/>
        <w:rPr>
          <w:rFonts w:asciiTheme="minorHAnsi" w:hAnsiTheme="minorHAnsi" w:cstheme="minorHAnsi"/>
          <w:b/>
          <w:sz w:val="26"/>
          <w:szCs w:val="26"/>
          <w:u w:val="single"/>
        </w:rPr>
      </w:pPr>
      <w:r w:rsidRPr="00E400EA">
        <w:rPr>
          <w:rFonts w:asciiTheme="minorHAnsi" w:hAnsiTheme="minorHAnsi" w:cstheme="minorHAnsi"/>
          <w:b/>
          <w:sz w:val="26"/>
          <w:szCs w:val="26"/>
          <w:u w:val="single"/>
        </w:rPr>
        <w:t xml:space="preserve">V posledním čtvrtletí roku 2022 nelze očekávat zásadní obrat tendencí ve vývoji úvěrů a úspor domácností. Kombinace vysokých úrokových sazeb a zrychlující inflace bude mít nadále silný vliv na vývoj půjček a vkladů. </w:t>
      </w:r>
      <w:r>
        <w:rPr>
          <w:rFonts w:asciiTheme="minorHAnsi" w:hAnsiTheme="minorHAnsi" w:cstheme="minorHAnsi"/>
          <w:b/>
          <w:sz w:val="26"/>
          <w:szCs w:val="26"/>
          <w:u w:val="single"/>
        </w:rPr>
        <w:t xml:space="preserve">V případě úvěrů budou silně převažovat půjčky na bydlení oproti spotřebním úvěrům. Z pohledu celkové dynamiky však bude růst úvěrování domácností zpomalovat. Kromě úrokových sazeb je </w:t>
      </w:r>
      <w:r w:rsidR="00D819D1">
        <w:rPr>
          <w:rFonts w:asciiTheme="minorHAnsi" w:hAnsiTheme="minorHAnsi" w:cstheme="minorHAnsi"/>
          <w:b/>
          <w:sz w:val="26"/>
          <w:szCs w:val="26"/>
          <w:u w:val="single"/>
        </w:rPr>
        <w:t xml:space="preserve">rovněž </w:t>
      </w:r>
      <w:r>
        <w:rPr>
          <w:rFonts w:asciiTheme="minorHAnsi" w:hAnsiTheme="minorHAnsi" w:cstheme="minorHAnsi"/>
          <w:b/>
          <w:sz w:val="26"/>
          <w:szCs w:val="26"/>
          <w:u w:val="single"/>
        </w:rPr>
        <w:t xml:space="preserve">relevantním faktorem vysoká cena nemovitostí, které se postupně stávají čím dál více nedostupnými i pro střední třídu. U úspor budou domácnosti v důsledku výše zmíněných faktorů pravděpodobně ještě určitý čas pokračovat v přesunu své likvidity z netermínovaných účtů na termínové. Snaha domácností udržet si svou kupní sílu (spotřebu) při poklesu reálných (o inflaci očištěných) příjmů povede v celém roce 2022 k meziročnímu snížení míry úspor. I ve čtvrtém čtvrtletí je vysoce nepravděpodobná změna v tomto </w:t>
      </w:r>
      <w:r w:rsidRPr="00F04A07">
        <w:rPr>
          <w:rFonts w:asciiTheme="minorHAnsi" w:hAnsiTheme="minorHAnsi" w:cstheme="minorHAnsi"/>
          <w:b/>
          <w:sz w:val="26"/>
          <w:szCs w:val="26"/>
          <w:u w:val="single"/>
        </w:rPr>
        <w:t xml:space="preserve">trendu. </w:t>
      </w:r>
    </w:p>
    <w:p w14:paraId="6E7BD938" w14:textId="77777777" w:rsidR="008B1FD8" w:rsidRPr="00F04A07" w:rsidRDefault="008B1FD8" w:rsidP="008B1FD8">
      <w:pPr>
        <w:spacing w:after="480" w:line="360" w:lineRule="auto"/>
        <w:ind w:firstLine="709"/>
        <w:jc w:val="both"/>
        <w:rPr>
          <w:rFonts w:asciiTheme="minorHAnsi" w:hAnsiTheme="minorHAnsi" w:cstheme="minorHAnsi"/>
          <w:b/>
          <w:bCs/>
          <w:sz w:val="26"/>
          <w:szCs w:val="26"/>
        </w:rPr>
      </w:pPr>
    </w:p>
    <w:p w14:paraId="204919DB" w14:textId="77777777" w:rsidR="008B1FD8" w:rsidRPr="00A128A8" w:rsidRDefault="008B1FD8" w:rsidP="008B1FD8">
      <w:pPr>
        <w:spacing w:after="240" w:line="360" w:lineRule="auto"/>
        <w:jc w:val="center"/>
        <w:rPr>
          <w:rFonts w:asciiTheme="minorHAnsi" w:hAnsiTheme="minorHAnsi" w:cstheme="minorHAnsi"/>
          <w:i/>
          <w:iCs/>
          <w:sz w:val="26"/>
          <w:szCs w:val="26"/>
        </w:rPr>
      </w:pPr>
      <w:r w:rsidRPr="00A128A8">
        <w:rPr>
          <w:rFonts w:asciiTheme="minorHAnsi" w:hAnsiTheme="minorHAnsi" w:cstheme="minorHAnsi"/>
          <w:bCs/>
          <w:sz w:val="26"/>
          <w:szCs w:val="26"/>
        </w:rPr>
        <w:t>*</w:t>
      </w:r>
      <w:r w:rsidRPr="00A128A8">
        <w:rPr>
          <w:rFonts w:asciiTheme="minorHAnsi" w:hAnsiTheme="minorHAnsi" w:cstheme="minorHAnsi"/>
          <w:i/>
          <w:iCs/>
          <w:sz w:val="26"/>
          <w:szCs w:val="26"/>
        </w:rPr>
        <w:t xml:space="preserve">                         *                         *</w:t>
      </w:r>
    </w:p>
    <w:p w14:paraId="2F71983D" w14:textId="77777777" w:rsidR="008B1FD8" w:rsidRPr="00A128A8" w:rsidRDefault="008B1FD8" w:rsidP="008B1FD8">
      <w:pPr>
        <w:spacing w:line="360" w:lineRule="auto"/>
        <w:ind w:firstLine="709"/>
        <w:jc w:val="both"/>
        <w:rPr>
          <w:rFonts w:asciiTheme="minorHAnsi" w:hAnsiTheme="minorHAnsi" w:cstheme="minorHAnsi"/>
          <w:b/>
          <w:bCs/>
          <w:sz w:val="26"/>
          <w:szCs w:val="26"/>
        </w:rPr>
      </w:pPr>
    </w:p>
    <w:p w14:paraId="33EA200C" w14:textId="72AB0007" w:rsidR="008B1FD8" w:rsidRDefault="008B1FD8" w:rsidP="008B1FD8">
      <w:pPr>
        <w:pStyle w:val="Zkladntext"/>
      </w:pPr>
      <w:r w:rsidRPr="00E61EAC">
        <w:rPr>
          <w:rFonts w:ascii="Calibri" w:hAnsi="Calibri"/>
          <w:szCs w:val="24"/>
        </w:rPr>
        <w:tab/>
      </w:r>
      <w:r w:rsidRPr="00A128A8">
        <w:rPr>
          <w:rFonts w:asciiTheme="minorHAnsi" w:hAnsiTheme="minorHAnsi" w:cstheme="minorHAnsi"/>
          <w:i/>
          <w:sz w:val="26"/>
          <w:szCs w:val="26"/>
        </w:rPr>
        <w:t>Aktuálnější</w:t>
      </w:r>
      <w:r w:rsidRPr="00A128A8">
        <w:rPr>
          <w:rFonts w:asciiTheme="minorHAnsi" w:hAnsiTheme="minorHAnsi" w:cstheme="minorHAnsi"/>
          <w:i/>
          <w:iCs/>
          <w:sz w:val="26"/>
          <w:szCs w:val="26"/>
        </w:rPr>
        <w:t xml:space="preserve"> a komplexní údaje týkající se příjmové a výdajové situace českých domácností ve 3. čtvrtletí roku 202</w:t>
      </w:r>
      <w:r>
        <w:rPr>
          <w:rFonts w:asciiTheme="minorHAnsi" w:hAnsiTheme="minorHAnsi" w:cstheme="minorHAnsi"/>
          <w:i/>
          <w:iCs/>
          <w:sz w:val="26"/>
          <w:szCs w:val="26"/>
        </w:rPr>
        <w:t>2</w:t>
      </w:r>
      <w:r w:rsidRPr="00A128A8">
        <w:rPr>
          <w:rFonts w:asciiTheme="minorHAnsi" w:hAnsiTheme="minorHAnsi" w:cstheme="minorHAnsi"/>
          <w:i/>
          <w:iCs/>
          <w:sz w:val="26"/>
          <w:szCs w:val="26"/>
        </w:rPr>
        <w:t xml:space="preserve"> nebyly v době zpracování materiálu k dispozici. </w:t>
      </w:r>
      <w:r>
        <w:rPr>
          <w:rFonts w:asciiTheme="minorHAnsi" w:hAnsiTheme="minorHAnsi" w:cstheme="minorHAnsi"/>
          <w:i/>
          <w:iCs/>
          <w:sz w:val="26"/>
          <w:szCs w:val="26"/>
        </w:rPr>
        <w:t>Budou uvedeny</w:t>
      </w:r>
      <w:r w:rsidRPr="00A128A8">
        <w:rPr>
          <w:rFonts w:asciiTheme="minorHAnsi" w:hAnsiTheme="minorHAnsi" w:cstheme="minorHAnsi"/>
          <w:i/>
          <w:iCs/>
          <w:sz w:val="26"/>
          <w:szCs w:val="26"/>
        </w:rPr>
        <w:t xml:space="preserve"> </w:t>
      </w:r>
      <w:r>
        <w:rPr>
          <w:rFonts w:asciiTheme="minorHAnsi" w:hAnsiTheme="minorHAnsi" w:cstheme="minorHAnsi"/>
          <w:i/>
          <w:iCs/>
          <w:sz w:val="26"/>
          <w:szCs w:val="26"/>
        </w:rPr>
        <w:t xml:space="preserve">ve </w:t>
      </w:r>
      <w:r w:rsidRPr="00A128A8">
        <w:rPr>
          <w:rFonts w:asciiTheme="minorHAnsi" w:hAnsiTheme="minorHAnsi" w:cstheme="minorHAnsi"/>
          <w:i/>
          <w:iCs/>
          <w:sz w:val="26"/>
          <w:szCs w:val="26"/>
        </w:rPr>
        <w:t>„Zpráv</w:t>
      </w:r>
      <w:r>
        <w:rPr>
          <w:rFonts w:asciiTheme="minorHAnsi" w:hAnsiTheme="minorHAnsi" w:cstheme="minorHAnsi"/>
          <w:i/>
          <w:iCs/>
          <w:sz w:val="26"/>
          <w:szCs w:val="26"/>
        </w:rPr>
        <w:t>ě</w:t>
      </w:r>
      <w:r w:rsidRPr="00A128A8">
        <w:rPr>
          <w:rFonts w:asciiTheme="minorHAnsi" w:hAnsiTheme="minorHAnsi" w:cstheme="minorHAnsi"/>
          <w:i/>
          <w:iCs/>
          <w:sz w:val="26"/>
          <w:szCs w:val="26"/>
        </w:rPr>
        <w:t xml:space="preserve"> o základních tendencích příjmové a výdajové situace domácností ČR v 1.</w:t>
      </w:r>
      <w:r>
        <w:rPr>
          <w:rFonts w:asciiTheme="minorHAnsi" w:hAnsiTheme="minorHAnsi" w:cstheme="minorHAnsi"/>
          <w:i/>
          <w:iCs/>
          <w:sz w:val="26"/>
          <w:szCs w:val="26"/>
        </w:rPr>
        <w:t> – </w:t>
      </w:r>
      <w:r w:rsidRPr="00A128A8">
        <w:rPr>
          <w:rFonts w:asciiTheme="minorHAnsi" w:hAnsiTheme="minorHAnsi" w:cstheme="minorHAnsi"/>
          <w:i/>
          <w:iCs/>
          <w:sz w:val="26"/>
          <w:szCs w:val="26"/>
        </w:rPr>
        <w:t>3. čtvrtletí 202</w:t>
      </w:r>
      <w:r>
        <w:rPr>
          <w:rFonts w:asciiTheme="minorHAnsi" w:hAnsiTheme="minorHAnsi" w:cstheme="minorHAnsi"/>
          <w:i/>
          <w:iCs/>
          <w:sz w:val="26"/>
          <w:szCs w:val="26"/>
        </w:rPr>
        <w:t>2</w:t>
      </w:r>
      <w:r w:rsidRPr="00A128A8">
        <w:rPr>
          <w:rFonts w:asciiTheme="minorHAnsi" w:hAnsiTheme="minorHAnsi" w:cstheme="minorHAnsi"/>
          <w:i/>
          <w:iCs/>
          <w:sz w:val="26"/>
          <w:szCs w:val="26"/>
        </w:rPr>
        <w:t>“, která bude zveřejněna v lednu 202</w:t>
      </w:r>
      <w:r>
        <w:rPr>
          <w:rFonts w:asciiTheme="minorHAnsi" w:hAnsiTheme="minorHAnsi" w:cstheme="minorHAnsi"/>
          <w:i/>
          <w:iCs/>
          <w:sz w:val="26"/>
          <w:szCs w:val="26"/>
        </w:rPr>
        <w:t>3</w:t>
      </w:r>
      <w:r w:rsidRPr="00A128A8">
        <w:rPr>
          <w:rFonts w:asciiTheme="minorHAnsi" w:hAnsiTheme="minorHAnsi" w:cstheme="minorHAnsi"/>
          <w:i/>
          <w:iCs/>
          <w:sz w:val="26"/>
          <w:szCs w:val="26"/>
        </w:rPr>
        <w:t>.</w:t>
      </w:r>
    </w:p>
    <w:p w14:paraId="57F431D9" w14:textId="126E2274" w:rsidR="00171EA0" w:rsidRDefault="00171EA0" w:rsidP="00E61EAC">
      <w:pPr>
        <w:spacing w:before="100" w:beforeAutospacing="1" w:after="240" w:line="360" w:lineRule="auto"/>
        <w:jc w:val="both"/>
        <w:rPr>
          <w:rFonts w:ascii="Calibri" w:hAnsi="Calibri"/>
          <w:szCs w:val="24"/>
        </w:rPr>
      </w:pPr>
    </w:p>
    <w:sectPr w:rsidR="00171EA0" w:rsidSect="00A96EE8">
      <w:footerReference w:type="default" r:id="rId26"/>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17C" w14:textId="77777777" w:rsidR="00023218" w:rsidRDefault="00023218">
      <w:r>
        <w:separator/>
      </w:r>
    </w:p>
  </w:endnote>
  <w:endnote w:type="continuationSeparator" w:id="0">
    <w:p w14:paraId="1AEF6ADE" w14:textId="77777777" w:rsidR="00023218" w:rsidRDefault="0002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8B84" w14:textId="77777777" w:rsidR="00621D94" w:rsidRDefault="00621D94" w:rsidP="009D61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46ECCC" w14:textId="77777777" w:rsidR="00621D94" w:rsidRDefault="00621D94" w:rsidP="009D61EF">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1B25" w14:textId="77777777" w:rsidR="00621D94" w:rsidRDefault="00621D94" w:rsidP="009D61EF">
    <w:pPr>
      <w:pStyle w:val="Zpat"/>
      <w:framePr w:wrap="around" w:vAnchor="text" w:hAnchor="margin" w:xAlign="center" w:y="1"/>
      <w:ind w:right="360"/>
      <w:rPr>
        <w:rStyle w:val="slostrnky"/>
      </w:rPr>
    </w:pPr>
  </w:p>
  <w:p w14:paraId="499F0AD8" w14:textId="77777777" w:rsidR="00621D94" w:rsidRDefault="00621D94" w:rsidP="0012791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2181" w14:textId="77777777" w:rsidR="00621D94" w:rsidRDefault="00621D9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3DE" w14:textId="77777777" w:rsidR="00621D94" w:rsidRPr="00A96EE8" w:rsidRDefault="00621D94">
    <w:pPr>
      <w:pStyle w:val="Zpat"/>
      <w:jc w:val="center"/>
    </w:pPr>
    <w:r w:rsidRPr="00A96EE8">
      <w:fldChar w:fldCharType="begin"/>
    </w:r>
    <w:r w:rsidRPr="00A96EE8">
      <w:instrText>PAGE   \* MERGEFORMAT</w:instrText>
    </w:r>
    <w:r w:rsidRPr="00A96EE8">
      <w:fldChar w:fldCharType="separate"/>
    </w:r>
    <w:r>
      <w:rPr>
        <w:noProof/>
      </w:rPr>
      <w:t>43</w:t>
    </w:r>
    <w:r w:rsidRPr="00A96EE8">
      <w:fldChar w:fldCharType="end"/>
    </w:r>
  </w:p>
  <w:p w14:paraId="7EA040E0" w14:textId="77777777" w:rsidR="00621D94" w:rsidRDefault="00621D94" w:rsidP="009D61EF">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AF45" w14:textId="77777777" w:rsidR="00023218" w:rsidRDefault="00023218">
      <w:r>
        <w:separator/>
      </w:r>
    </w:p>
  </w:footnote>
  <w:footnote w:type="continuationSeparator" w:id="0">
    <w:p w14:paraId="13FE7EBB" w14:textId="77777777" w:rsidR="00023218" w:rsidRDefault="0002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496" w14:textId="77777777" w:rsidR="00621D94" w:rsidRDefault="00621D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4776" w14:textId="77777777" w:rsidR="00621D94" w:rsidRDefault="00621D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1758" w14:textId="77777777" w:rsidR="00621D94" w:rsidRDefault="00621D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26B"/>
      </v:shape>
    </w:pict>
  </w:numPicBullet>
  <w:abstractNum w:abstractNumId="0" w15:restartNumberingAfterBreak="0">
    <w:nsid w:val="00DD5D20"/>
    <w:multiLevelType w:val="hybridMultilevel"/>
    <w:tmpl w:val="C0A86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834585"/>
    <w:multiLevelType w:val="hybridMultilevel"/>
    <w:tmpl w:val="D02247C8"/>
    <w:lvl w:ilvl="0" w:tplc="59580EFA">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B678A"/>
    <w:multiLevelType w:val="hybridMultilevel"/>
    <w:tmpl w:val="DE445D8C"/>
    <w:lvl w:ilvl="0" w:tplc="0405000B">
      <w:start w:val="1"/>
      <w:numFmt w:val="bullet"/>
      <w:lvlText w:val=""/>
      <w:lvlJc w:val="left"/>
      <w:pPr>
        <w:ind w:left="360" w:hanging="360"/>
      </w:pPr>
      <w:rPr>
        <w:rFonts w:ascii="Wingdings" w:hAnsi="Wingdings"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5" w15:restartNumberingAfterBreak="0">
    <w:nsid w:val="08207009"/>
    <w:multiLevelType w:val="hybridMultilevel"/>
    <w:tmpl w:val="98B84D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A7B3801"/>
    <w:multiLevelType w:val="hybridMultilevel"/>
    <w:tmpl w:val="7238315E"/>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AE76170"/>
    <w:multiLevelType w:val="hybridMultilevel"/>
    <w:tmpl w:val="86DAC360"/>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EE93C2A"/>
    <w:multiLevelType w:val="hybridMultilevel"/>
    <w:tmpl w:val="D3725410"/>
    <w:lvl w:ilvl="0" w:tplc="43406100">
      <w:start w:val="1"/>
      <w:numFmt w:val="bullet"/>
      <w:lvlText w:val=""/>
      <w:lvlJc w:val="left"/>
      <w:pPr>
        <w:ind w:left="360" w:hanging="360"/>
      </w:pPr>
      <w:rPr>
        <w:rFonts w:ascii="Symbol" w:hAnsi="Symbol"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17E3104"/>
    <w:multiLevelType w:val="hybridMultilevel"/>
    <w:tmpl w:val="65B65A1A"/>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1D0077"/>
    <w:multiLevelType w:val="hybridMultilevel"/>
    <w:tmpl w:val="B61005B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891E73"/>
    <w:multiLevelType w:val="hybridMultilevel"/>
    <w:tmpl w:val="62A0EE6E"/>
    <w:lvl w:ilvl="0" w:tplc="8DC2ACC0">
      <w:start w:val="1"/>
      <w:numFmt w:val="upperLetter"/>
      <w:lvlText w:val="%1."/>
      <w:lvlJc w:val="left"/>
      <w:pPr>
        <w:ind w:left="390" w:hanging="39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CC1E15"/>
    <w:multiLevelType w:val="hybridMultilevel"/>
    <w:tmpl w:val="627002B6"/>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FAC48C6"/>
    <w:multiLevelType w:val="hybridMultilevel"/>
    <w:tmpl w:val="188E47CE"/>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7" w15:restartNumberingAfterBreak="0">
    <w:nsid w:val="21D8175A"/>
    <w:multiLevelType w:val="hybridMultilevel"/>
    <w:tmpl w:val="FF8C49CC"/>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2676EF2"/>
    <w:multiLevelType w:val="hybridMultilevel"/>
    <w:tmpl w:val="C75CA790"/>
    <w:lvl w:ilvl="0" w:tplc="28046BB6">
      <w:start w:val="1"/>
      <w:numFmt w:val="bullet"/>
      <w:lvlText w:val=""/>
      <w:lvlJc w:val="left"/>
      <w:pPr>
        <w:ind w:left="720" w:hanging="360"/>
      </w:pPr>
      <w:rPr>
        <w:rFonts w:ascii="Symbol" w:hAnsi="Symbol" w:hint="default"/>
        <w:b/>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6B70D0"/>
    <w:multiLevelType w:val="hybridMultilevel"/>
    <w:tmpl w:val="7C28A360"/>
    <w:lvl w:ilvl="0" w:tplc="43406100">
      <w:start w:val="1"/>
      <w:numFmt w:val="bullet"/>
      <w:lvlText w:val=""/>
      <w:lvlJc w:val="left"/>
      <w:pPr>
        <w:tabs>
          <w:tab w:val="num" w:pos="360"/>
        </w:tabs>
        <w:ind w:left="360" w:hanging="360"/>
      </w:pPr>
      <w:rPr>
        <w:rFonts w:ascii="Symbol" w:hAnsi="Symbol" w:hint="default"/>
        <w:b/>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3C2F5E"/>
    <w:multiLevelType w:val="hybridMultilevel"/>
    <w:tmpl w:val="C50627FA"/>
    <w:lvl w:ilvl="0" w:tplc="43406100">
      <w:start w:val="1"/>
      <w:numFmt w:val="bullet"/>
      <w:lvlText w:val=""/>
      <w:lvlJc w:val="left"/>
      <w:pPr>
        <w:ind w:left="360" w:hanging="360"/>
      </w:pPr>
      <w:rPr>
        <w:rFonts w:ascii="Symbol" w:hAnsi="Symbol"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22" w15:restartNumberingAfterBreak="0">
    <w:nsid w:val="2EC75493"/>
    <w:multiLevelType w:val="hybridMultilevel"/>
    <w:tmpl w:val="AE880CA0"/>
    <w:lvl w:ilvl="0" w:tplc="0405000B">
      <w:start w:val="1"/>
      <w:numFmt w:val="bullet"/>
      <w:lvlText w:val=""/>
      <w:lvlJc w:val="left"/>
      <w:pPr>
        <w:ind w:left="360" w:hanging="360"/>
      </w:pPr>
      <w:rPr>
        <w:rFonts w:ascii="Wingdings" w:hAnsi="Wingdings" w:hint="default"/>
        <w:b/>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3FC04DE"/>
    <w:multiLevelType w:val="hybridMultilevel"/>
    <w:tmpl w:val="39AAC296"/>
    <w:lvl w:ilvl="0" w:tplc="6ADE2EB4">
      <w:start w:val="1"/>
      <w:numFmt w:val="bullet"/>
      <w:lvlText w:val=""/>
      <w:lvlJc w:val="left"/>
      <w:pPr>
        <w:ind w:left="720" w:hanging="360"/>
      </w:pPr>
      <w:rPr>
        <w:rFonts w:ascii="Wingdings" w:hAnsi="Wingdings" w:hint="default"/>
        <w:b/>
        <w:bCs w:val="0"/>
        <w:color w:val="auto"/>
        <w:sz w:val="26"/>
        <w:szCs w:val="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46E1E37"/>
    <w:multiLevelType w:val="hybridMultilevel"/>
    <w:tmpl w:val="BA9A555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E2540CB"/>
    <w:multiLevelType w:val="hybridMultilevel"/>
    <w:tmpl w:val="01964678"/>
    <w:lvl w:ilvl="0" w:tplc="43406100">
      <w:start w:val="1"/>
      <w:numFmt w:val="bullet"/>
      <w:lvlText w:val=""/>
      <w:lvlJc w:val="left"/>
      <w:pPr>
        <w:tabs>
          <w:tab w:val="num" w:pos="360"/>
        </w:tabs>
        <w:ind w:left="360" w:hanging="360"/>
      </w:pPr>
      <w:rPr>
        <w:rFonts w:ascii="Symbol" w:hAnsi="Symbol" w:hint="default"/>
        <w:b/>
        <w:color w:val="auto"/>
      </w:rPr>
    </w:lvl>
    <w:lvl w:ilvl="1" w:tplc="04050003">
      <w:start w:val="1"/>
      <w:numFmt w:val="bullet"/>
      <w:lvlText w:val="o"/>
      <w:lvlJc w:val="left"/>
      <w:pPr>
        <w:tabs>
          <w:tab w:val="num" w:pos="2149"/>
        </w:tabs>
        <w:ind w:left="2149" w:hanging="360"/>
      </w:pPr>
      <w:rPr>
        <w:rFonts w:ascii="Courier New" w:hAnsi="Courier New" w:cs="Times New Roman"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cs="Times New Roman"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cs="Times New Roman"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3E837192"/>
    <w:multiLevelType w:val="hybridMultilevel"/>
    <w:tmpl w:val="6C24FC1A"/>
    <w:lvl w:ilvl="0" w:tplc="0405000B">
      <w:start w:val="1"/>
      <w:numFmt w:val="bullet"/>
      <w:lvlText w:val=""/>
      <w:lvlJc w:val="left"/>
      <w:pPr>
        <w:ind w:left="360" w:hanging="360"/>
      </w:pPr>
      <w:rPr>
        <w:rFonts w:ascii="Wingdings" w:hAnsi="Wingdings"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1064CDC"/>
    <w:multiLevelType w:val="hybridMultilevel"/>
    <w:tmpl w:val="BA5AB442"/>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5C6970"/>
    <w:multiLevelType w:val="hybridMultilevel"/>
    <w:tmpl w:val="7C58D846"/>
    <w:lvl w:ilvl="0" w:tplc="B3069C9E">
      <w:start w:val="1"/>
      <w:numFmt w:val="bullet"/>
      <w:lvlText w:val=""/>
      <w:lvlJc w:val="left"/>
      <w:pPr>
        <w:tabs>
          <w:tab w:val="num" w:pos="1434"/>
        </w:tabs>
        <w:ind w:left="1434" w:hanging="360"/>
      </w:pPr>
      <w:rPr>
        <w:rFonts w:ascii="Wingdings" w:hAnsi="Wingdings" w:hint="default"/>
        <w:b/>
        <w:color w:val="auto"/>
      </w:rPr>
    </w:lvl>
    <w:lvl w:ilvl="1" w:tplc="04050003" w:tentative="1">
      <w:start w:val="1"/>
      <w:numFmt w:val="bullet"/>
      <w:lvlText w:val="o"/>
      <w:lvlJc w:val="left"/>
      <w:pPr>
        <w:tabs>
          <w:tab w:val="num" w:pos="2154"/>
        </w:tabs>
        <w:ind w:left="2154" w:hanging="360"/>
      </w:pPr>
      <w:rPr>
        <w:rFonts w:ascii="Courier New" w:hAnsi="Courier New" w:hint="default"/>
      </w:rPr>
    </w:lvl>
    <w:lvl w:ilvl="2" w:tplc="04050005" w:tentative="1">
      <w:start w:val="1"/>
      <w:numFmt w:val="bullet"/>
      <w:lvlText w:val=""/>
      <w:lvlJc w:val="left"/>
      <w:pPr>
        <w:tabs>
          <w:tab w:val="num" w:pos="2874"/>
        </w:tabs>
        <w:ind w:left="2874" w:hanging="360"/>
      </w:pPr>
      <w:rPr>
        <w:rFonts w:ascii="Wingdings" w:hAnsi="Wingdings" w:hint="default"/>
      </w:rPr>
    </w:lvl>
    <w:lvl w:ilvl="3" w:tplc="04050001" w:tentative="1">
      <w:start w:val="1"/>
      <w:numFmt w:val="bullet"/>
      <w:lvlText w:val=""/>
      <w:lvlJc w:val="left"/>
      <w:pPr>
        <w:tabs>
          <w:tab w:val="num" w:pos="3594"/>
        </w:tabs>
        <w:ind w:left="3594" w:hanging="360"/>
      </w:pPr>
      <w:rPr>
        <w:rFonts w:ascii="Symbol" w:hAnsi="Symbol" w:hint="default"/>
      </w:rPr>
    </w:lvl>
    <w:lvl w:ilvl="4" w:tplc="04050003" w:tentative="1">
      <w:start w:val="1"/>
      <w:numFmt w:val="bullet"/>
      <w:lvlText w:val="o"/>
      <w:lvlJc w:val="left"/>
      <w:pPr>
        <w:tabs>
          <w:tab w:val="num" w:pos="4314"/>
        </w:tabs>
        <w:ind w:left="4314" w:hanging="360"/>
      </w:pPr>
      <w:rPr>
        <w:rFonts w:ascii="Courier New" w:hAnsi="Courier New" w:hint="default"/>
      </w:rPr>
    </w:lvl>
    <w:lvl w:ilvl="5" w:tplc="04050005" w:tentative="1">
      <w:start w:val="1"/>
      <w:numFmt w:val="bullet"/>
      <w:lvlText w:val=""/>
      <w:lvlJc w:val="left"/>
      <w:pPr>
        <w:tabs>
          <w:tab w:val="num" w:pos="5034"/>
        </w:tabs>
        <w:ind w:left="5034" w:hanging="360"/>
      </w:pPr>
      <w:rPr>
        <w:rFonts w:ascii="Wingdings" w:hAnsi="Wingdings" w:hint="default"/>
      </w:rPr>
    </w:lvl>
    <w:lvl w:ilvl="6" w:tplc="04050001" w:tentative="1">
      <w:start w:val="1"/>
      <w:numFmt w:val="bullet"/>
      <w:lvlText w:val=""/>
      <w:lvlJc w:val="left"/>
      <w:pPr>
        <w:tabs>
          <w:tab w:val="num" w:pos="5754"/>
        </w:tabs>
        <w:ind w:left="5754" w:hanging="360"/>
      </w:pPr>
      <w:rPr>
        <w:rFonts w:ascii="Symbol" w:hAnsi="Symbol" w:hint="default"/>
      </w:rPr>
    </w:lvl>
    <w:lvl w:ilvl="7" w:tplc="04050003" w:tentative="1">
      <w:start w:val="1"/>
      <w:numFmt w:val="bullet"/>
      <w:lvlText w:val="o"/>
      <w:lvlJc w:val="left"/>
      <w:pPr>
        <w:tabs>
          <w:tab w:val="num" w:pos="6474"/>
        </w:tabs>
        <w:ind w:left="6474" w:hanging="360"/>
      </w:pPr>
      <w:rPr>
        <w:rFonts w:ascii="Courier New" w:hAnsi="Courier New" w:hint="default"/>
      </w:rPr>
    </w:lvl>
    <w:lvl w:ilvl="8" w:tplc="04050005" w:tentative="1">
      <w:start w:val="1"/>
      <w:numFmt w:val="bullet"/>
      <w:lvlText w:val=""/>
      <w:lvlJc w:val="left"/>
      <w:pPr>
        <w:tabs>
          <w:tab w:val="num" w:pos="7194"/>
        </w:tabs>
        <w:ind w:left="7194" w:hanging="360"/>
      </w:pPr>
      <w:rPr>
        <w:rFonts w:ascii="Wingdings" w:hAnsi="Wingdings" w:hint="default"/>
      </w:rPr>
    </w:lvl>
  </w:abstractNum>
  <w:abstractNum w:abstractNumId="29" w15:restartNumberingAfterBreak="0">
    <w:nsid w:val="4B5956B9"/>
    <w:multiLevelType w:val="hybridMultilevel"/>
    <w:tmpl w:val="9F7C047A"/>
    <w:lvl w:ilvl="0" w:tplc="B218C6EE">
      <w:start w:val="1"/>
      <w:numFmt w:val="bullet"/>
      <w:lvlText w:val=""/>
      <w:lvlJc w:val="left"/>
      <w:pPr>
        <w:ind w:left="360" w:hanging="360"/>
      </w:pPr>
      <w:rPr>
        <w:rFonts w:ascii="Symbol" w:hAnsi="Symbol" w:hint="default"/>
        <w:b/>
        <w:color w:val="auto"/>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71C124E"/>
    <w:multiLevelType w:val="hybridMultilevel"/>
    <w:tmpl w:val="E864C3A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973501E"/>
    <w:multiLevelType w:val="hybridMultilevel"/>
    <w:tmpl w:val="A3C2C80E"/>
    <w:lvl w:ilvl="0" w:tplc="0405000B">
      <w:start w:val="1"/>
      <w:numFmt w:val="bullet"/>
      <w:lvlText w:val=""/>
      <w:lvlJc w:val="left"/>
      <w:pPr>
        <w:ind w:left="360" w:hanging="360"/>
      </w:pPr>
      <w:rPr>
        <w:rFonts w:ascii="Wingdings" w:hAnsi="Wingdings" w:hint="default"/>
        <w:b/>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B9B1823"/>
    <w:multiLevelType w:val="hybridMultilevel"/>
    <w:tmpl w:val="585E85F0"/>
    <w:lvl w:ilvl="0" w:tplc="B218C6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EE70EF1"/>
    <w:multiLevelType w:val="hybridMultilevel"/>
    <w:tmpl w:val="EB9C4E0A"/>
    <w:lvl w:ilvl="0" w:tplc="B218C6EE">
      <w:start w:val="1"/>
      <w:numFmt w:val="bullet"/>
      <w:lvlText w:val=""/>
      <w:lvlJc w:val="left"/>
      <w:pPr>
        <w:tabs>
          <w:tab w:val="num" w:pos="360"/>
        </w:tabs>
        <w:ind w:left="360" w:hanging="360"/>
      </w:pPr>
      <w:rPr>
        <w:rFonts w:ascii="Symbol" w:hAnsi="Symbol" w:hint="default"/>
        <w:b/>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6053A8"/>
    <w:multiLevelType w:val="hybridMultilevel"/>
    <w:tmpl w:val="45D6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64277A"/>
    <w:multiLevelType w:val="hybridMultilevel"/>
    <w:tmpl w:val="42C2767C"/>
    <w:lvl w:ilvl="0" w:tplc="337C7620">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87345C1"/>
    <w:multiLevelType w:val="hybridMultilevel"/>
    <w:tmpl w:val="76A4D6B0"/>
    <w:lvl w:ilvl="0" w:tplc="28046BB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5A688E"/>
    <w:multiLevelType w:val="hybridMultilevel"/>
    <w:tmpl w:val="198A2502"/>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F5C6458"/>
    <w:multiLevelType w:val="hybridMultilevel"/>
    <w:tmpl w:val="E592D802"/>
    <w:lvl w:ilvl="0" w:tplc="46F69A2C">
      <w:start w:val="1"/>
      <w:numFmt w:val="bullet"/>
      <w:lvlText w:val=""/>
      <w:lvlJc w:val="left"/>
      <w:pPr>
        <w:ind w:left="720" w:hanging="360"/>
      </w:pPr>
      <w:rPr>
        <w:rFonts w:ascii="Wingdings" w:hAnsi="Wingdings" w:hint="default"/>
        <w:b/>
        <w:bCs/>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EF494F"/>
    <w:multiLevelType w:val="hybridMultilevel"/>
    <w:tmpl w:val="4710AC70"/>
    <w:lvl w:ilvl="0" w:tplc="0405000B">
      <w:start w:val="1"/>
      <w:numFmt w:val="bullet"/>
      <w:lvlText w:val=""/>
      <w:lvlJc w:val="left"/>
      <w:pPr>
        <w:tabs>
          <w:tab w:val="num" w:pos="360"/>
        </w:tabs>
        <w:ind w:left="360" w:hanging="360"/>
      </w:pPr>
      <w:rPr>
        <w:rFonts w:ascii="Wingdings" w:hAnsi="Wingdings" w:hint="default"/>
        <w:b/>
        <w:color w:val="auto"/>
      </w:rPr>
    </w:lvl>
    <w:lvl w:ilvl="1" w:tplc="FFFFFFFF">
      <w:start w:val="1"/>
      <w:numFmt w:val="bullet"/>
      <w:lvlText w:val="o"/>
      <w:lvlJc w:val="left"/>
      <w:pPr>
        <w:tabs>
          <w:tab w:val="num" w:pos="2149"/>
        </w:tabs>
        <w:ind w:left="2149" w:hanging="360"/>
      </w:pPr>
      <w:rPr>
        <w:rFonts w:ascii="Courier New" w:hAnsi="Courier New" w:cs="Times New Roman"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Times New Roman"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Times New Roman"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A4A4368"/>
    <w:multiLevelType w:val="hybridMultilevel"/>
    <w:tmpl w:val="CB88BFD8"/>
    <w:lvl w:ilvl="0" w:tplc="B3069C9E">
      <w:start w:val="1"/>
      <w:numFmt w:val="bullet"/>
      <w:lvlText w:val=""/>
      <w:lvlJc w:val="left"/>
      <w:pPr>
        <w:ind w:left="360" w:hanging="360"/>
      </w:pPr>
      <w:rPr>
        <w:rFonts w:ascii="Wingdings" w:hAnsi="Wingdings" w:hint="default"/>
        <w:b/>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DDD4BBB"/>
    <w:multiLevelType w:val="hybridMultilevel"/>
    <w:tmpl w:val="33300D24"/>
    <w:lvl w:ilvl="0" w:tplc="43406100">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5"/>
  </w:num>
  <w:num w:numId="5">
    <w:abstractNumId w:val="41"/>
  </w:num>
  <w:num w:numId="6">
    <w:abstractNumId w:val="9"/>
  </w:num>
  <w:num w:numId="7">
    <w:abstractNumId w:val="8"/>
  </w:num>
  <w:num w:numId="8">
    <w:abstractNumId w:val="19"/>
  </w:num>
  <w:num w:numId="9">
    <w:abstractNumId w:val="20"/>
  </w:num>
  <w:num w:numId="10">
    <w:abstractNumId w:val="18"/>
  </w:num>
  <w:num w:numId="11">
    <w:abstractNumId w:val="14"/>
  </w:num>
  <w:num w:numId="12">
    <w:abstractNumId w:val="40"/>
  </w:num>
  <w:num w:numId="13">
    <w:abstractNumId w:val="27"/>
  </w:num>
  <w:num w:numId="14">
    <w:abstractNumId w:val="37"/>
  </w:num>
  <w:num w:numId="15">
    <w:abstractNumId w:val="3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3"/>
  </w:num>
  <w:num w:numId="20">
    <w:abstractNumId w:val="34"/>
  </w:num>
  <w:num w:numId="21">
    <w:abstractNumId w:val="7"/>
  </w:num>
  <w:num w:numId="22">
    <w:abstractNumId w:val="21"/>
  </w:num>
  <w:num w:numId="23">
    <w:abstractNumId w:val="28"/>
  </w:num>
  <w:num w:numId="24">
    <w:abstractNumId w:val="10"/>
  </w:num>
  <w:num w:numId="25">
    <w:abstractNumId w:val="2"/>
  </w:num>
  <w:num w:numId="26">
    <w:abstractNumId w:val="1"/>
  </w:num>
  <w:num w:numId="27">
    <w:abstractNumId w:val="16"/>
  </w:num>
  <w:num w:numId="28">
    <w:abstractNumId w:val="38"/>
  </w:num>
  <w:num w:numId="29">
    <w:abstractNumId w:val="24"/>
  </w:num>
  <w:num w:numId="30">
    <w:abstractNumId w:val="0"/>
  </w:num>
  <w:num w:numId="31">
    <w:abstractNumId w:val="5"/>
  </w:num>
  <w:num w:numId="32">
    <w:abstractNumId w:val="29"/>
  </w:num>
  <w:num w:numId="33">
    <w:abstractNumId w:val="32"/>
  </w:num>
  <w:num w:numId="34">
    <w:abstractNumId w:val="17"/>
  </w:num>
  <w:num w:numId="35">
    <w:abstractNumId w:val="6"/>
  </w:num>
  <w:num w:numId="36">
    <w:abstractNumId w:val="33"/>
  </w:num>
  <w:num w:numId="37">
    <w:abstractNumId w:val="25"/>
  </w:num>
  <w:num w:numId="38">
    <w:abstractNumId w:val="35"/>
  </w:num>
  <w:num w:numId="39">
    <w:abstractNumId w:val="3"/>
  </w:num>
  <w:num w:numId="40">
    <w:abstractNumId w:val="30"/>
  </w:num>
  <w:num w:numId="41">
    <w:abstractNumId w:val="22"/>
  </w:num>
  <w:num w:numId="42">
    <w:abstractNumId w:val="31"/>
  </w:num>
  <w:num w:numId="43">
    <w:abstractNumId w:val="39"/>
  </w:num>
  <w:num w:numId="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43"/>
    <w:rsid w:val="000000EB"/>
    <w:rsid w:val="00002D09"/>
    <w:rsid w:val="00005478"/>
    <w:rsid w:val="00006EB7"/>
    <w:rsid w:val="00010CDA"/>
    <w:rsid w:val="00010F96"/>
    <w:rsid w:val="0001234D"/>
    <w:rsid w:val="00014B1B"/>
    <w:rsid w:val="00015139"/>
    <w:rsid w:val="00016405"/>
    <w:rsid w:val="0001665E"/>
    <w:rsid w:val="00016781"/>
    <w:rsid w:val="00020DCA"/>
    <w:rsid w:val="00023218"/>
    <w:rsid w:val="00023279"/>
    <w:rsid w:val="0002342F"/>
    <w:rsid w:val="00023B53"/>
    <w:rsid w:val="00024DB4"/>
    <w:rsid w:val="00025091"/>
    <w:rsid w:val="00026922"/>
    <w:rsid w:val="00027377"/>
    <w:rsid w:val="00032402"/>
    <w:rsid w:val="000328D2"/>
    <w:rsid w:val="0003341E"/>
    <w:rsid w:val="00034073"/>
    <w:rsid w:val="000346F9"/>
    <w:rsid w:val="00034F71"/>
    <w:rsid w:val="00035DAA"/>
    <w:rsid w:val="00035DBA"/>
    <w:rsid w:val="000369D6"/>
    <w:rsid w:val="00041CA3"/>
    <w:rsid w:val="0004205F"/>
    <w:rsid w:val="000440BF"/>
    <w:rsid w:val="00044BD5"/>
    <w:rsid w:val="0004595A"/>
    <w:rsid w:val="000500B2"/>
    <w:rsid w:val="000502BC"/>
    <w:rsid w:val="000504EF"/>
    <w:rsid w:val="00053578"/>
    <w:rsid w:val="000566EE"/>
    <w:rsid w:val="00056EE9"/>
    <w:rsid w:val="00057478"/>
    <w:rsid w:val="00060C4C"/>
    <w:rsid w:val="000661B2"/>
    <w:rsid w:val="0006719E"/>
    <w:rsid w:val="0006792F"/>
    <w:rsid w:val="00067C1D"/>
    <w:rsid w:val="00067E16"/>
    <w:rsid w:val="000701AD"/>
    <w:rsid w:val="000726C6"/>
    <w:rsid w:val="00073B3B"/>
    <w:rsid w:val="00073B40"/>
    <w:rsid w:val="00074F34"/>
    <w:rsid w:val="000762FD"/>
    <w:rsid w:val="00081885"/>
    <w:rsid w:val="00081987"/>
    <w:rsid w:val="000826CF"/>
    <w:rsid w:val="000836FA"/>
    <w:rsid w:val="00084795"/>
    <w:rsid w:val="0008481A"/>
    <w:rsid w:val="000854E7"/>
    <w:rsid w:val="00086F29"/>
    <w:rsid w:val="0008744E"/>
    <w:rsid w:val="00087F32"/>
    <w:rsid w:val="00092543"/>
    <w:rsid w:val="0009468A"/>
    <w:rsid w:val="00094C4B"/>
    <w:rsid w:val="0009519D"/>
    <w:rsid w:val="000955E9"/>
    <w:rsid w:val="00096186"/>
    <w:rsid w:val="00096434"/>
    <w:rsid w:val="000967B3"/>
    <w:rsid w:val="00096A7F"/>
    <w:rsid w:val="000A1BD3"/>
    <w:rsid w:val="000A23FD"/>
    <w:rsid w:val="000A2D06"/>
    <w:rsid w:val="000A49DF"/>
    <w:rsid w:val="000A51B8"/>
    <w:rsid w:val="000A6F73"/>
    <w:rsid w:val="000A78CB"/>
    <w:rsid w:val="000B040F"/>
    <w:rsid w:val="000B146B"/>
    <w:rsid w:val="000B2A8F"/>
    <w:rsid w:val="000B2C7E"/>
    <w:rsid w:val="000B2D06"/>
    <w:rsid w:val="000B3FEE"/>
    <w:rsid w:val="000B4160"/>
    <w:rsid w:val="000B4596"/>
    <w:rsid w:val="000B544B"/>
    <w:rsid w:val="000B5B59"/>
    <w:rsid w:val="000B5DDB"/>
    <w:rsid w:val="000B63CD"/>
    <w:rsid w:val="000B65FB"/>
    <w:rsid w:val="000C156C"/>
    <w:rsid w:val="000C1FB7"/>
    <w:rsid w:val="000C2543"/>
    <w:rsid w:val="000C47CB"/>
    <w:rsid w:val="000C7AE9"/>
    <w:rsid w:val="000D1F1D"/>
    <w:rsid w:val="000D22CA"/>
    <w:rsid w:val="000D2643"/>
    <w:rsid w:val="000D2729"/>
    <w:rsid w:val="000D2D91"/>
    <w:rsid w:val="000D3364"/>
    <w:rsid w:val="000D4D6E"/>
    <w:rsid w:val="000D7192"/>
    <w:rsid w:val="000D795E"/>
    <w:rsid w:val="000E23ED"/>
    <w:rsid w:val="000E250B"/>
    <w:rsid w:val="000E2B1C"/>
    <w:rsid w:val="000E511A"/>
    <w:rsid w:val="000E5736"/>
    <w:rsid w:val="000E5CDF"/>
    <w:rsid w:val="000F09FF"/>
    <w:rsid w:val="000F100F"/>
    <w:rsid w:val="000F2E55"/>
    <w:rsid w:val="000F4D5D"/>
    <w:rsid w:val="000F4E83"/>
    <w:rsid w:val="000F61B6"/>
    <w:rsid w:val="000F74BA"/>
    <w:rsid w:val="000F7D3E"/>
    <w:rsid w:val="000F7E02"/>
    <w:rsid w:val="0010018E"/>
    <w:rsid w:val="00100BEB"/>
    <w:rsid w:val="00100DA4"/>
    <w:rsid w:val="0010283B"/>
    <w:rsid w:val="00105FEC"/>
    <w:rsid w:val="00106D26"/>
    <w:rsid w:val="0011023E"/>
    <w:rsid w:val="00110817"/>
    <w:rsid w:val="00110C58"/>
    <w:rsid w:val="0011361B"/>
    <w:rsid w:val="001153B4"/>
    <w:rsid w:val="00115B02"/>
    <w:rsid w:val="00120272"/>
    <w:rsid w:val="00120885"/>
    <w:rsid w:val="00120A88"/>
    <w:rsid w:val="00120BA1"/>
    <w:rsid w:val="0012342A"/>
    <w:rsid w:val="00127830"/>
    <w:rsid w:val="0012791D"/>
    <w:rsid w:val="00130524"/>
    <w:rsid w:val="00132392"/>
    <w:rsid w:val="00132B48"/>
    <w:rsid w:val="00133E09"/>
    <w:rsid w:val="00135798"/>
    <w:rsid w:val="00136131"/>
    <w:rsid w:val="001367A5"/>
    <w:rsid w:val="001377E1"/>
    <w:rsid w:val="00137FE0"/>
    <w:rsid w:val="00140D80"/>
    <w:rsid w:val="001428A0"/>
    <w:rsid w:val="00143504"/>
    <w:rsid w:val="00145D4A"/>
    <w:rsid w:val="00145F26"/>
    <w:rsid w:val="001477AF"/>
    <w:rsid w:val="00147B50"/>
    <w:rsid w:val="00147D8B"/>
    <w:rsid w:val="00147E2D"/>
    <w:rsid w:val="00151010"/>
    <w:rsid w:val="001510AF"/>
    <w:rsid w:val="001517E9"/>
    <w:rsid w:val="00152475"/>
    <w:rsid w:val="00153554"/>
    <w:rsid w:val="00156FD4"/>
    <w:rsid w:val="0015735E"/>
    <w:rsid w:val="0015767E"/>
    <w:rsid w:val="001606C1"/>
    <w:rsid w:val="00161574"/>
    <w:rsid w:val="00161851"/>
    <w:rsid w:val="00161EFC"/>
    <w:rsid w:val="00165FA8"/>
    <w:rsid w:val="00167FBB"/>
    <w:rsid w:val="0017030E"/>
    <w:rsid w:val="00171413"/>
    <w:rsid w:val="00171D7C"/>
    <w:rsid w:val="00171EA0"/>
    <w:rsid w:val="00172938"/>
    <w:rsid w:val="0017383F"/>
    <w:rsid w:val="00176A2D"/>
    <w:rsid w:val="00176DF1"/>
    <w:rsid w:val="0017713A"/>
    <w:rsid w:val="00180012"/>
    <w:rsid w:val="00180982"/>
    <w:rsid w:val="00181966"/>
    <w:rsid w:val="00181ABD"/>
    <w:rsid w:val="0018209C"/>
    <w:rsid w:val="00182E4A"/>
    <w:rsid w:val="00185755"/>
    <w:rsid w:val="00187C6B"/>
    <w:rsid w:val="00190F8C"/>
    <w:rsid w:val="00191E64"/>
    <w:rsid w:val="001920B8"/>
    <w:rsid w:val="0019239A"/>
    <w:rsid w:val="001931AC"/>
    <w:rsid w:val="00194236"/>
    <w:rsid w:val="00195299"/>
    <w:rsid w:val="001966D7"/>
    <w:rsid w:val="001968B0"/>
    <w:rsid w:val="001A09FA"/>
    <w:rsid w:val="001A2454"/>
    <w:rsid w:val="001A277F"/>
    <w:rsid w:val="001A2EFC"/>
    <w:rsid w:val="001A38B4"/>
    <w:rsid w:val="001A3D6D"/>
    <w:rsid w:val="001A408C"/>
    <w:rsid w:val="001A4B38"/>
    <w:rsid w:val="001A5A88"/>
    <w:rsid w:val="001A6B10"/>
    <w:rsid w:val="001B0B97"/>
    <w:rsid w:val="001B1157"/>
    <w:rsid w:val="001B128E"/>
    <w:rsid w:val="001B53E1"/>
    <w:rsid w:val="001B5575"/>
    <w:rsid w:val="001B658E"/>
    <w:rsid w:val="001B6F34"/>
    <w:rsid w:val="001C00DC"/>
    <w:rsid w:val="001C27D9"/>
    <w:rsid w:val="001C6544"/>
    <w:rsid w:val="001D0DF4"/>
    <w:rsid w:val="001D2A62"/>
    <w:rsid w:val="001D374E"/>
    <w:rsid w:val="001D58C4"/>
    <w:rsid w:val="001D5B7B"/>
    <w:rsid w:val="001D6C57"/>
    <w:rsid w:val="001E1680"/>
    <w:rsid w:val="001E252D"/>
    <w:rsid w:val="001E2B3F"/>
    <w:rsid w:val="001E336C"/>
    <w:rsid w:val="001E3F11"/>
    <w:rsid w:val="001E43C5"/>
    <w:rsid w:val="001E5077"/>
    <w:rsid w:val="001E5C7D"/>
    <w:rsid w:val="001E7439"/>
    <w:rsid w:val="001F0111"/>
    <w:rsid w:val="001F14A5"/>
    <w:rsid w:val="001F2749"/>
    <w:rsid w:val="001F3E7B"/>
    <w:rsid w:val="001F459A"/>
    <w:rsid w:val="001F5296"/>
    <w:rsid w:val="0020140E"/>
    <w:rsid w:val="00201826"/>
    <w:rsid w:val="00205E50"/>
    <w:rsid w:val="0020644C"/>
    <w:rsid w:val="0020740A"/>
    <w:rsid w:val="00211895"/>
    <w:rsid w:val="002137FC"/>
    <w:rsid w:val="00213C93"/>
    <w:rsid w:val="0021527E"/>
    <w:rsid w:val="00215776"/>
    <w:rsid w:val="00215C3E"/>
    <w:rsid w:val="0021651C"/>
    <w:rsid w:val="00216DE1"/>
    <w:rsid w:val="0022177B"/>
    <w:rsid w:val="00222F2A"/>
    <w:rsid w:val="0022352C"/>
    <w:rsid w:val="00225A56"/>
    <w:rsid w:val="00225CEB"/>
    <w:rsid w:val="002260E9"/>
    <w:rsid w:val="00227B36"/>
    <w:rsid w:val="0023028A"/>
    <w:rsid w:val="00232F20"/>
    <w:rsid w:val="00235872"/>
    <w:rsid w:val="00235DC0"/>
    <w:rsid w:val="00236559"/>
    <w:rsid w:val="00236F05"/>
    <w:rsid w:val="0024166C"/>
    <w:rsid w:val="00241A60"/>
    <w:rsid w:val="00244164"/>
    <w:rsid w:val="002449FA"/>
    <w:rsid w:val="0024630B"/>
    <w:rsid w:val="00252F44"/>
    <w:rsid w:val="00255B67"/>
    <w:rsid w:val="00256E24"/>
    <w:rsid w:val="00262743"/>
    <w:rsid w:val="00262C4E"/>
    <w:rsid w:val="002632A7"/>
    <w:rsid w:val="002632B5"/>
    <w:rsid w:val="00263534"/>
    <w:rsid w:val="00263617"/>
    <w:rsid w:val="002641B2"/>
    <w:rsid w:val="0026455F"/>
    <w:rsid w:val="00265AE4"/>
    <w:rsid w:val="00266116"/>
    <w:rsid w:val="00266CD3"/>
    <w:rsid w:val="00272630"/>
    <w:rsid w:val="00273F73"/>
    <w:rsid w:val="0027649D"/>
    <w:rsid w:val="002774A7"/>
    <w:rsid w:val="0027763A"/>
    <w:rsid w:val="00280FA1"/>
    <w:rsid w:val="002811A6"/>
    <w:rsid w:val="002824D6"/>
    <w:rsid w:val="00282C9F"/>
    <w:rsid w:val="002870FA"/>
    <w:rsid w:val="002906EE"/>
    <w:rsid w:val="00292417"/>
    <w:rsid w:val="00292F9B"/>
    <w:rsid w:val="002931A9"/>
    <w:rsid w:val="00293309"/>
    <w:rsid w:val="002962F8"/>
    <w:rsid w:val="00297482"/>
    <w:rsid w:val="002975AF"/>
    <w:rsid w:val="00297944"/>
    <w:rsid w:val="002A06EE"/>
    <w:rsid w:val="002A27E1"/>
    <w:rsid w:val="002A2DA4"/>
    <w:rsid w:val="002A3698"/>
    <w:rsid w:val="002A5D35"/>
    <w:rsid w:val="002A761D"/>
    <w:rsid w:val="002B04E3"/>
    <w:rsid w:val="002B0520"/>
    <w:rsid w:val="002B0DA2"/>
    <w:rsid w:val="002B3C16"/>
    <w:rsid w:val="002B41D9"/>
    <w:rsid w:val="002B4927"/>
    <w:rsid w:val="002B49B5"/>
    <w:rsid w:val="002B4FAD"/>
    <w:rsid w:val="002B5737"/>
    <w:rsid w:val="002B57AB"/>
    <w:rsid w:val="002B5F67"/>
    <w:rsid w:val="002B6B13"/>
    <w:rsid w:val="002C1344"/>
    <w:rsid w:val="002C349C"/>
    <w:rsid w:val="002C4F03"/>
    <w:rsid w:val="002C5635"/>
    <w:rsid w:val="002D0513"/>
    <w:rsid w:val="002D2480"/>
    <w:rsid w:val="002D3148"/>
    <w:rsid w:val="002D5860"/>
    <w:rsid w:val="002D6851"/>
    <w:rsid w:val="002D784C"/>
    <w:rsid w:val="002E16FC"/>
    <w:rsid w:val="002E2198"/>
    <w:rsid w:val="002E577C"/>
    <w:rsid w:val="002E6107"/>
    <w:rsid w:val="002E6A48"/>
    <w:rsid w:val="002E6E34"/>
    <w:rsid w:val="002E72EE"/>
    <w:rsid w:val="002F0A3D"/>
    <w:rsid w:val="002F23BA"/>
    <w:rsid w:val="002F2A13"/>
    <w:rsid w:val="002F2A17"/>
    <w:rsid w:val="002F42EA"/>
    <w:rsid w:val="002F484C"/>
    <w:rsid w:val="002F48B8"/>
    <w:rsid w:val="002F5EC4"/>
    <w:rsid w:val="002F7979"/>
    <w:rsid w:val="00301681"/>
    <w:rsid w:val="00302A17"/>
    <w:rsid w:val="00304AB9"/>
    <w:rsid w:val="003071AC"/>
    <w:rsid w:val="00307756"/>
    <w:rsid w:val="0031187B"/>
    <w:rsid w:val="00312156"/>
    <w:rsid w:val="0031452D"/>
    <w:rsid w:val="003160DB"/>
    <w:rsid w:val="00317A34"/>
    <w:rsid w:val="003201D6"/>
    <w:rsid w:val="00321CB8"/>
    <w:rsid w:val="00322690"/>
    <w:rsid w:val="003233CB"/>
    <w:rsid w:val="00323B0B"/>
    <w:rsid w:val="00323C5F"/>
    <w:rsid w:val="00323FC6"/>
    <w:rsid w:val="00324A24"/>
    <w:rsid w:val="00324CFC"/>
    <w:rsid w:val="003326DF"/>
    <w:rsid w:val="00332E16"/>
    <w:rsid w:val="003331C6"/>
    <w:rsid w:val="003334BB"/>
    <w:rsid w:val="00333BDB"/>
    <w:rsid w:val="0033488C"/>
    <w:rsid w:val="00334B09"/>
    <w:rsid w:val="00335422"/>
    <w:rsid w:val="00335876"/>
    <w:rsid w:val="00335FCC"/>
    <w:rsid w:val="00336B98"/>
    <w:rsid w:val="003402F3"/>
    <w:rsid w:val="00340D55"/>
    <w:rsid w:val="00341F6A"/>
    <w:rsid w:val="003448C2"/>
    <w:rsid w:val="00346852"/>
    <w:rsid w:val="00347013"/>
    <w:rsid w:val="003501F0"/>
    <w:rsid w:val="00352002"/>
    <w:rsid w:val="00353ED1"/>
    <w:rsid w:val="00355C21"/>
    <w:rsid w:val="00357EA8"/>
    <w:rsid w:val="00360495"/>
    <w:rsid w:val="0036224E"/>
    <w:rsid w:val="003632E9"/>
    <w:rsid w:val="003639C8"/>
    <w:rsid w:val="0036666D"/>
    <w:rsid w:val="00366B48"/>
    <w:rsid w:val="00367104"/>
    <w:rsid w:val="0037030C"/>
    <w:rsid w:val="00371419"/>
    <w:rsid w:val="00371A5A"/>
    <w:rsid w:val="00373A15"/>
    <w:rsid w:val="00373F59"/>
    <w:rsid w:val="0037489B"/>
    <w:rsid w:val="00374E47"/>
    <w:rsid w:val="003765A0"/>
    <w:rsid w:val="0037747C"/>
    <w:rsid w:val="0037789C"/>
    <w:rsid w:val="00377D70"/>
    <w:rsid w:val="0038102F"/>
    <w:rsid w:val="00381122"/>
    <w:rsid w:val="00381E4A"/>
    <w:rsid w:val="00382F48"/>
    <w:rsid w:val="00385A7D"/>
    <w:rsid w:val="00390B45"/>
    <w:rsid w:val="0039170A"/>
    <w:rsid w:val="00391AAE"/>
    <w:rsid w:val="003939D2"/>
    <w:rsid w:val="00394280"/>
    <w:rsid w:val="003948AB"/>
    <w:rsid w:val="00394EC5"/>
    <w:rsid w:val="00397E8F"/>
    <w:rsid w:val="003A18D1"/>
    <w:rsid w:val="003A1C1B"/>
    <w:rsid w:val="003A5FF3"/>
    <w:rsid w:val="003B0FD0"/>
    <w:rsid w:val="003B18D4"/>
    <w:rsid w:val="003B1911"/>
    <w:rsid w:val="003B1C3F"/>
    <w:rsid w:val="003B25DB"/>
    <w:rsid w:val="003B2934"/>
    <w:rsid w:val="003B5B55"/>
    <w:rsid w:val="003C126B"/>
    <w:rsid w:val="003C1513"/>
    <w:rsid w:val="003C1AD7"/>
    <w:rsid w:val="003C25A9"/>
    <w:rsid w:val="003C2A0B"/>
    <w:rsid w:val="003C36AA"/>
    <w:rsid w:val="003C37B1"/>
    <w:rsid w:val="003C3E2F"/>
    <w:rsid w:val="003C5A78"/>
    <w:rsid w:val="003C5FE0"/>
    <w:rsid w:val="003D0781"/>
    <w:rsid w:val="003D0C8E"/>
    <w:rsid w:val="003D1333"/>
    <w:rsid w:val="003D4B36"/>
    <w:rsid w:val="003D679C"/>
    <w:rsid w:val="003D6FEE"/>
    <w:rsid w:val="003D7AD8"/>
    <w:rsid w:val="003E0230"/>
    <w:rsid w:val="003E0F95"/>
    <w:rsid w:val="003E1D08"/>
    <w:rsid w:val="003E2F2B"/>
    <w:rsid w:val="003E3400"/>
    <w:rsid w:val="003E5052"/>
    <w:rsid w:val="003E5BD4"/>
    <w:rsid w:val="003E6081"/>
    <w:rsid w:val="003E6C1F"/>
    <w:rsid w:val="003E7BC5"/>
    <w:rsid w:val="003F0B13"/>
    <w:rsid w:val="003F0BF7"/>
    <w:rsid w:val="003F0ED3"/>
    <w:rsid w:val="003F1A7F"/>
    <w:rsid w:val="003F2A46"/>
    <w:rsid w:val="003F3BED"/>
    <w:rsid w:val="003F42DF"/>
    <w:rsid w:val="003F4E28"/>
    <w:rsid w:val="003F51E5"/>
    <w:rsid w:val="003F5656"/>
    <w:rsid w:val="003F6B21"/>
    <w:rsid w:val="003F6CC1"/>
    <w:rsid w:val="003F70E9"/>
    <w:rsid w:val="003F71D8"/>
    <w:rsid w:val="003F7BC7"/>
    <w:rsid w:val="00400B00"/>
    <w:rsid w:val="004042A6"/>
    <w:rsid w:val="00405F2E"/>
    <w:rsid w:val="00406F56"/>
    <w:rsid w:val="004075F3"/>
    <w:rsid w:val="00410CC3"/>
    <w:rsid w:val="004114D2"/>
    <w:rsid w:val="004118C0"/>
    <w:rsid w:val="00411A9D"/>
    <w:rsid w:val="00412803"/>
    <w:rsid w:val="00413CAB"/>
    <w:rsid w:val="00415A64"/>
    <w:rsid w:val="004165A9"/>
    <w:rsid w:val="00417EB1"/>
    <w:rsid w:val="00420D2D"/>
    <w:rsid w:val="0042117A"/>
    <w:rsid w:val="004218BD"/>
    <w:rsid w:val="004222BE"/>
    <w:rsid w:val="004226CD"/>
    <w:rsid w:val="00422785"/>
    <w:rsid w:val="00423244"/>
    <w:rsid w:val="00423BC2"/>
    <w:rsid w:val="00423EE0"/>
    <w:rsid w:val="0042410B"/>
    <w:rsid w:val="004268E2"/>
    <w:rsid w:val="004270DF"/>
    <w:rsid w:val="00427D52"/>
    <w:rsid w:val="00427F15"/>
    <w:rsid w:val="00430582"/>
    <w:rsid w:val="004311C4"/>
    <w:rsid w:val="00431CCA"/>
    <w:rsid w:val="00431D77"/>
    <w:rsid w:val="004340F6"/>
    <w:rsid w:val="004348C8"/>
    <w:rsid w:val="00441AE6"/>
    <w:rsid w:val="004423E3"/>
    <w:rsid w:val="00445218"/>
    <w:rsid w:val="004452EB"/>
    <w:rsid w:val="0044610D"/>
    <w:rsid w:val="00446D1B"/>
    <w:rsid w:val="004471FB"/>
    <w:rsid w:val="00451255"/>
    <w:rsid w:val="0045165C"/>
    <w:rsid w:val="00451986"/>
    <w:rsid w:val="004519FC"/>
    <w:rsid w:val="00452544"/>
    <w:rsid w:val="00454EBE"/>
    <w:rsid w:val="00455376"/>
    <w:rsid w:val="00455F7F"/>
    <w:rsid w:val="0045602D"/>
    <w:rsid w:val="004564DE"/>
    <w:rsid w:val="0045768D"/>
    <w:rsid w:val="00460545"/>
    <w:rsid w:val="004621C0"/>
    <w:rsid w:val="00462BB2"/>
    <w:rsid w:val="00462D7E"/>
    <w:rsid w:val="00467B5F"/>
    <w:rsid w:val="00470505"/>
    <w:rsid w:val="00472764"/>
    <w:rsid w:val="00473782"/>
    <w:rsid w:val="00474014"/>
    <w:rsid w:val="00475AEE"/>
    <w:rsid w:val="00476A5C"/>
    <w:rsid w:val="004824CD"/>
    <w:rsid w:val="00483D70"/>
    <w:rsid w:val="004852E1"/>
    <w:rsid w:val="00485DCE"/>
    <w:rsid w:val="004910D4"/>
    <w:rsid w:val="004913F9"/>
    <w:rsid w:val="0049246E"/>
    <w:rsid w:val="00492CD6"/>
    <w:rsid w:val="00492FAD"/>
    <w:rsid w:val="00493FBD"/>
    <w:rsid w:val="00494046"/>
    <w:rsid w:val="0049472C"/>
    <w:rsid w:val="00494D51"/>
    <w:rsid w:val="00494FB1"/>
    <w:rsid w:val="00496576"/>
    <w:rsid w:val="00496638"/>
    <w:rsid w:val="00497659"/>
    <w:rsid w:val="004A045F"/>
    <w:rsid w:val="004A10B4"/>
    <w:rsid w:val="004A1968"/>
    <w:rsid w:val="004A1DE0"/>
    <w:rsid w:val="004A1DF1"/>
    <w:rsid w:val="004A3DE9"/>
    <w:rsid w:val="004A4A98"/>
    <w:rsid w:val="004A5C60"/>
    <w:rsid w:val="004A6A3E"/>
    <w:rsid w:val="004A6E89"/>
    <w:rsid w:val="004A7712"/>
    <w:rsid w:val="004B26D4"/>
    <w:rsid w:val="004B378F"/>
    <w:rsid w:val="004B42BF"/>
    <w:rsid w:val="004B4C9C"/>
    <w:rsid w:val="004B5743"/>
    <w:rsid w:val="004B72DB"/>
    <w:rsid w:val="004B7F23"/>
    <w:rsid w:val="004C0A00"/>
    <w:rsid w:val="004C18AA"/>
    <w:rsid w:val="004C2CEA"/>
    <w:rsid w:val="004C4D9B"/>
    <w:rsid w:val="004C5082"/>
    <w:rsid w:val="004C5426"/>
    <w:rsid w:val="004C673D"/>
    <w:rsid w:val="004C6BCD"/>
    <w:rsid w:val="004C7903"/>
    <w:rsid w:val="004C7B36"/>
    <w:rsid w:val="004D06D9"/>
    <w:rsid w:val="004D41EE"/>
    <w:rsid w:val="004D4B6E"/>
    <w:rsid w:val="004D6443"/>
    <w:rsid w:val="004D6AAE"/>
    <w:rsid w:val="004D71A2"/>
    <w:rsid w:val="004D7AB2"/>
    <w:rsid w:val="004D7F06"/>
    <w:rsid w:val="004E07DB"/>
    <w:rsid w:val="004E081E"/>
    <w:rsid w:val="004E0A50"/>
    <w:rsid w:val="004E1008"/>
    <w:rsid w:val="004E29D8"/>
    <w:rsid w:val="004E4535"/>
    <w:rsid w:val="004E5413"/>
    <w:rsid w:val="004E6D52"/>
    <w:rsid w:val="004E7DF0"/>
    <w:rsid w:val="004F136D"/>
    <w:rsid w:val="004F2C07"/>
    <w:rsid w:val="004F34F0"/>
    <w:rsid w:val="004F3FD4"/>
    <w:rsid w:val="004F6711"/>
    <w:rsid w:val="004F6E68"/>
    <w:rsid w:val="004F77DF"/>
    <w:rsid w:val="0050058A"/>
    <w:rsid w:val="0050199A"/>
    <w:rsid w:val="00501B0E"/>
    <w:rsid w:val="00503AF0"/>
    <w:rsid w:val="00504A63"/>
    <w:rsid w:val="00506539"/>
    <w:rsid w:val="00507809"/>
    <w:rsid w:val="00510802"/>
    <w:rsid w:val="00510E87"/>
    <w:rsid w:val="005124CE"/>
    <w:rsid w:val="0051346B"/>
    <w:rsid w:val="00514811"/>
    <w:rsid w:val="00515D0F"/>
    <w:rsid w:val="00517087"/>
    <w:rsid w:val="005172A1"/>
    <w:rsid w:val="00522516"/>
    <w:rsid w:val="00530D4F"/>
    <w:rsid w:val="00531223"/>
    <w:rsid w:val="005339C5"/>
    <w:rsid w:val="005402D1"/>
    <w:rsid w:val="00540BB1"/>
    <w:rsid w:val="0054220F"/>
    <w:rsid w:val="00542F8E"/>
    <w:rsid w:val="005438F8"/>
    <w:rsid w:val="005441B6"/>
    <w:rsid w:val="0054516F"/>
    <w:rsid w:val="0054569A"/>
    <w:rsid w:val="00547851"/>
    <w:rsid w:val="0055000D"/>
    <w:rsid w:val="0055037D"/>
    <w:rsid w:val="005509E5"/>
    <w:rsid w:val="00554155"/>
    <w:rsid w:val="00554AC7"/>
    <w:rsid w:val="00555558"/>
    <w:rsid w:val="0055621D"/>
    <w:rsid w:val="00557044"/>
    <w:rsid w:val="00557EDE"/>
    <w:rsid w:val="00557F1F"/>
    <w:rsid w:val="00563A06"/>
    <w:rsid w:val="00563A5B"/>
    <w:rsid w:val="00563FCF"/>
    <w:rsid w:val="00565248"/>
    <w:rsid w:val="00565E53"/>
    <w:rsid w:val="005663BC"/>
    <w:rsid w:val="00566AA9"/>
    <w:rsid w:val="00566B12"/>
    <w:rsid w:val="005672CA"/>
    <w:rsid w:val="00567AC1"/>
    <w:rsid w:val="00570084"/>
    <w:rsid w:val="005703F0"/>
    <w:rsid w:val="00570657"/>
    <w:rsid w:val="0057079C"/>
    <w:rsid w:val="005717BF"/>
    <w:rsid w:val="00573435"/>
    <w:rsid w:val="005734FA"/>
    <w:rsid w:val="00573E6D"/>
    <w:rsid w:val="00573FFB"/>
    <w:rsid w:val="00575A4A"/>
    <w:rsid w:val="00576EFD"/>
    <w:rsid w:val="00576F73"/>
    <w:rsid w:val="00577C63"/>
    <w:rsid w:val="00577C71"/>
    <w:rsid w:val="00577CF1"/>
    <w:rsid w:val="005802B7"/>
    <w:rsid w:val="00580EBD"/>
    <w:rsid w:val="00584653"/>
    <w:rsid w:val="005849C0"/>
    <w:rsid w:val="005856AF"/>
    <w:rsid w:val="005860BF"/>
    <w:rsid w:val="00586BE7"/>
    <w:rsid w:val="00587B54"/>
    <w:rsid w:val="00590C67"/>
    <w:rsid w:val="00591A06"/>
    <w:rsid w:val="00591A6A"/>
    <w:rsid w:val="00591B1F"/>
    <w:rsid w:val="00593782"/>
    <w:rsid w:val="00595766"/>
    <w:rsid w:val="00597768"/>
    <w:rsid w:val="00597C8A"/>
    <w:rsid w:val="005A0F7D"/>
    <w:rsid w:val="005A1797"/>
    <w:rsid w:val="005A217B"/>
    <w:rsid w:val="005A269D"/>
    <w:rsid w:val="005A3543"/>
    <w:rsid w:val="005A6459"/>
    <w:rsid w:val="005A6FBA"/>
    <w:rsid w:val="005A7F32"/>
    <w:rsid w:val="005B01F6"/>
    <w:rsid w:val="005B040D"/>
    <w:rsid w:val="005B0EE3"/>
    <w:rsid w:val="005B25AF"/>
    <w:rsid w:val="005B273F"/>
    <w:rsid w:val="005B573A"/>
    <w:rsid w:val="005B6F12"/>
    <w:rsid w:val="005B70BD"/>
    <w:rsid w:val="005B7BC5"/>
    <w:rsid w:val="005C03CA"/>
    <w:rsid w:val="005C05A6"/>
    <w:rsid w:val="005C0C11"/>
    <w:rsid w:val="005C1470"/>
    <w:rsid w:val="005C1E45"/>
    <w:rsid w:val="005C2A93"/>
    <w:rsid w:val="005C2FDE"/>
    <w:rsid w:val="005C33C9"/>
    <w:rsid w:val="005C34A2"/>
    <w:rsid w:val="005C3B4C"/>
    <w:rsid w:val="005C53D3"/>
    <w:rsid w:val="005C57B5"/>
    <w:rsid w:val="005C5AFB"/>
    <w:rsid w:val="005C7A38"/>
    <w:rsid w:val="005C7DD8"/>
    <w:rsid w:val="005D0133"/>
    <w:rsid w:val="005D14EF"/>
    <w:rsid w:val="005D2AF6"/>
    <w:rsid w:val="005D33B3"/>
    <w:rsid w:val="005D4043"/>
    <w:rsid w:val="005D52D9"/>
    <w:rsid w:val="005D6DAE"/>
    <w:rsid w:val="005D710F"/>
    <w:rsid w:val="005E003C"/>
    <w:rsid w:val="005E051F"/>
    <w:rsid w:val="005E1910"/>
    <w:rsid w:val="005E2703"/>
    <w:rsid w:val="005E2B27"/>
    <w:rsid w:val="005E3C65"/>
    <w:rsid w:val="005E4170"/>
    <w:rsid w:val="005E43B8"/>
    <w:rsid w:val="005E4CBE"/>
    <w:rsid w:val="005E50DE"/>
    <w:rsid w:val="005E6641"/>
    <w:rsid w:val="005E6822"/>
    <w:rsid w:val="005F034F"/>
    <w:rsid w:val="005F102E"/>
    <w:rsid w:val="005F1660"/>
    <w:rsid w:val="005F1CF2"/>
    <w:rsid w:val="005F43AE"/>
    <w:rsid w:val="005F4A82"/>
    <w:rsid w:val="005F4D2D"/>
    <w:rsid w:val="0060019D"/>
    <w:rsid w:val="00600A92"/>
    <w:rsid w:val="006033A6"/>
    <w:rsid w:val="00604FF0"/>
    <w:rsid w:val="0060585A"/>
    <w:rsid w:val="006066C8"/>
    <w:rsid w:val="00606E35"/>
    <w:rsid w:val="00612FA1"/>
    <w:rsid w:val="0061358F"/>
    <w:rsid w:val="006141E2"/>
    <w:rsid w:val="006144A4"/>
    <w:rsid w:val="00614DCE"/>
    <w:rsid w:val="00614EB7"/>
    <w:rsid w:val="00615774"/>
    <w:rsid w:val="00615E77"/>
    <w:rsid w:val="00621D94"/>
    <w:rsid w:val="00623AAB"/>
    <w:rsid w:val="00624F08"/>
    <w:rsid w:val="006250D1"/>
    <w:rsid w:val="00626CF7"/>
    <w:rsid w:val="00626E91"/>
    <w:rsid w:val="0063020A"/>
    <w:rsid w:val="006305E6"/>
    <w:rsid w:val="0063238A"/>
    <w:rsid w:val="00633397"/>
    <w:rsid w:val="00634810"/>
    <w:rsid w:val="00637AB1"/>
    <w:rsid w:val="00640200"/>
    <w:rsid w:val="006402BC"/>
    <w:rsid w:val="00640D70"/>
    <w:rsid w:val="00641DCE"/>
    <w:rsid w:val="00643A5A"/>
    <w:rsid w:val="0064409D"/>
    <w:rsid w:val="006440FB"/>
    <w:rsid w:val="00644827"/>
    <w:rsid w:val="00645C4B"/>
    <w:rsid w:val="00646947"/>
    <w:rsid w:val="00646A01"/>
    <w:rsid w:val="00647027"/>
    <w:rsid w:val="00647D77"/>
    <w:rsid w:val="00652724"/>
    <w:rsid w:val="00654800"/>
    <w:rsid w:val="00654BB5"/>
    <w:rsid w:val="006558D9"/>
    <w:rsid w:val="006600CC"/>
    <w:rsid w:val="006608F0"/>
    <w:rsid w:val="00661EF6"/>
    <w:rsid w:val="00662B6E"/>
    <w:rsid w:val="00662FC9"/>
    <w:rsid w:val="0066383F"/>
    <w:rsid w:val="00663BBE"/>
    <w:rsid w:val="00665932"/>
    <w:rsid w:val="00666149"/>
    <w:rsid w:val="00666967"/>
    <w:rsid w:val="006700CD"/>
    <w:rsid w:val="00671A11"/>
    <w:rsid w:val="00672D65"/>
    <w:rsid w:val="006747DF"/>
    <w:rsid w:val="00674E8C"/>
    <w:rsid w:val="00675B4E"/>
    <w:rsid w:val="006805B8"/>
    <w:rsid w:val="006805E4"/>
    <w:rsid w:val="0068188E"/>
    <w:rsid w:val="00681B88"/>
    <w:rsid w:val="0068370B"/>
    <w:rsid w:val="00683964"/>
    <w:rsid w:val="00683D80"/>
    <w:rsid w:val="00685097"/>
    <w:rsid w:val="00685794"/>
    <w:rsid w:val="006871EA"/>
    <w:rsid w:val="006878E4"/>
    <w:rsid w:val="006879D5"/>
    <w:rsid w:val="00687AA8"/>
    <w:rsid w:val="00687BEC"/>
    <w:rsid w:val="00687F51"/>
    <w:rsid w:val="00691F5B"/>
    <w:rsid w:val="006927C2"/>
    <w:rsid w:val="00693D30"/>
    <w:rsid w:val="006974F0"/>
    <w:rsid w:val="006978AE"/>
    <w:rsid w:val="006A298A"/>
    <w:rsid w:val="006A2F94"/>
    <w:rsid w:val="006A36D4"/>
    <w:rsid w:val="006A402E"/>
    <w:rsid w:val="006A4084"/>
    <w:rsid w:val="006A4460"/>
    <w:rsid w:val="006A53C9"/>
    <w:rsid w:val="006A6B60"/>
    <w:rsid w:val="006B02CD"/>
    <w:rsid w:val="006B0D59"/>
    <w:rsid w:val="006B22D8"/>
    <w:rsid w:val="006B3717"/>
    <w:rsid w:val="006B402A"/>
    <w:rsid w:val="006C1204"/>
    <w:rsid w:val="006C226C"/>
    <w:rsid w:val="006C3C15"/>
    <w:rsid w:val="006C42C0"/>
    <w:rsid w:val="006C576E"/>
    <w:rsid w:val="006C758D"/>
    <w:rsid w:val="006C7FD1"/>
    <w:rsid w:val="006D0153"/>
    <w:rsid w:val="006D1327"/>
    <w:rsid w:val="006D2032"/>
    <w:rsid w:val="006D2A77"/>
    <w:rsid w:val="006D409C"/>
    <w:rsid w:val="006D4827"/>
    <w:rsid w:val="006D5623"/>
    <w:rsid w:val="006D5882"/>
    <w:rsid w:val="006D66B6"/>
    <w:rsid w:val="006D67AD"/>
    <w:rsid w:val="006D7769"/>
    <w:rsid w:val="006E167F"/>
    <w:rsid w:val="006E299A"/>
    <w:rsid w:val="006E3B0B"/>
    <w:rsid w:val="006E49C9"/>
    <w:rsid w:val="006E5E12"/>
    <w:rsid w:val="006F2FD9"/>
    <w:rsid w:val="006F3736"/>
    <w:rsid w:val="006F68F3"/>
    <w:rsid w:val="006F7259"/>
    <w:rsid w:val="00702041"/>
    <w:rsid w:val="00704397"/>
    <w:rsid w:val="00705A01"/>
    <w:rsid w:val="0070659C"/>
    <w:rsid w:val="0070672F"/>
    <w:rsid w:val="00710160"/>
    <w:rsid w:val="007102E2"/>
    <w:rsid w:val="00710521"/>
    <w:rsid w:val="00710980"/>
    <w:rsid w:val="00712D65"/>
    <w:rsid w:val="00715243"/>
    <w:rsid w:val="007170C4"/>
    <w:rsid w:val="007222C0"/>
    <w:rsid w:val="00725484"/>
    <w:rsid w:val="0072711F"/>
    <w:rsid w:val="00730D63"/>
    <w:rsid w:val="00731F0A"/>
    <w:rsid w:val="00731F4C"/>
    <w:rsid w:val="00731FEB"/>
    <w:rsid w:val="007320BA"/>
    <w:rsid w:val="00735201"/>
    <w:rsid w:val="00737CFB"/>
    <w:rsid w:val="007402FA"/>
    <w:rsid w:val="00741B58"/>
    <w:rsid w:val="007438E8"/>
    <w:rsid w:val="00744A1D"/>
    <w:rsid w:val="0074552D"/>
    <w:rsid w:val="00750F17"/>
    <w:rsid w:val="007549DF"/>
    <w:rsid w:val="007568BB"/>
    <w:rsid w:val="007617BA"/>
    <w:rsid w:val="007624A3"/>
    <w:rsid w:val="00763A14"/>
    <w:rsid w:val="0076589B"/>
    <w:rsid w:val="00766015"/>
    <w:rsid w:val="007660EB"/>
    <w:rsid w:val="00770959"/>
    <w:rsid w:val="00770E13"/>
    <w:rsid w:val="00771DAB"/>
    <w:rsid w:val="007735B8"/>
    <w:rsid w:val="0077636A"/>
    <w:rsid w:val="00776C52"/>
    <w:rsid w:val="00782200"/>
    <w:rsid w:val="00782526"/>
    <w:rsid w:val="00783AEF"/>
    <w:rsid w:val="007856C9"/>
    <w:rsid w:val="00785747"/>
    <w:rsid w:val="00786151"/>
    <w:rsid w:val="00786D4B"/>
    <w:rsid w:val="007876B0"/>
    <w:rsid w:val="00787E8E"/>
    <w:rsid w:val="00790329"/>
    <w:rsid w:val="00791B4B"/>
    <w:rsid w:val="00792BAC"/>
    <w:rsid w:val="0079505A"/>
    <w:rsid w:val="00795A30"/>
    <w:rsid w:val="007A1632"/>
    <w:rsid w:val="007A1799"/>
    <w:rsid w:val="007A1C32"/>
    <w:rsid w:val="007A2F8B"/>
    <w:rsid w:val="007A3740"/>
    <w:rsid w:val="007A503A"/>
    <w:rsid w:val="007A5E1C"/>
    <w:rsid w:val="007A68DE"/>
    <w:rsid w:val="007A7E51"/>
    <w:rsid w:val="007B22BF"/>
    <w:rsid w:val="007B262B"/>
    <w:rsid w:val="007B2BDE"/>
    <w:rsid w:val="007B2BE6"/>
    <w:rsid w:val="007B583E"/>
    <w:rsid w:val="007C0695"/>
    <w:rsid w:val="007C361E"/>
    <w:rsid w:val="007D0A4A"/>
    <w:rsid w:val="007D1351"/>
    <w:rsid w:val="007D2335"/>
    <w:rsid w:val="007D2620"/>
    <w:rsid w:val="007D2D2A"/>
    <w:rsid w:val="007D30B1"/>
    <w:rsid w:val="007D39F8"/>
    <w:rsid w:val="007D4563"/>
    <w:rsid w:val="007D464A"/>
    <w:rsid w:val="007D5AF3"/>
    <w:rsid w:val="007E1683"/>
    <w:rsid w:val="007E25A3"/>
    <w:rsid w:val="007E270F"/>
    <w:rsid w:val="007E3256"/>
    <w:rsid w:val="007E32D6"/>
    <w:rsid w:val="007E3BC9"/>
    <w:rsid w:val="007E3F77"/>
    <w:rsid w:val="007E5857"/>
    <w:rsid w:val="007E7D32"/>
    <w:rsid w:val="007F089D"/>
    <w:rsid w:val="007F0AB4"/>
    <w:rsid w:val="007F0B57"/>
    <w:rsid w:val="007F17FC"/>
    <w:rsid w:val="007F1D8D"/>
    <w:rsid w:val="007F1DC0"/>
    <w:rsid w:val="007F25A8"/>
    <w:rsid w:val="007F3EF0"/>
    <w:rsid w:val="00801084"/>
    <w:rsid w:val="0080135F"/>
    <w:rsid w:val="0080146E"/>
    <w:rsid w:val="00803A14"/>
    <w:rsid w:val="00803F71"/>
    <w:rsid w:val="008068F1"/>
    <w:rsid w:val="0080691F"/>
    <w:rsid w:val="00807C66"/>
    <w:rsid w:val="0081077A"/>
    <w:rsid w:val="00810791"/>
    <w:rsid w:val="00810F2D"/>
    <w:rsid w:val="00811248"/>
    <w:rsid w:val="00811A99"/>
    <w:rsid w:val="00812AA4"/>
    <w:rsid w:val="008135DB"/>
    <w:rsid w:val="0081546E"/>
    <w:rsid w:val="00815E83"/>
    <w:rsid w:val="00817598"/>
    <w:rsid w:val="00820118"/>
    <w:rsid w:val="00820A43"/>
    <w:rsid w:val="008212BD"/>
    <w:rsid w:val="0082277A"/>
    <w:rsid w:val="00825245"/>
    <w:rsid w:val="00827008"/>
    <w:rsid w:val="00827C93"/>
    <w:rsid w:val="008301CA"/>
    <w:rsid w:val="008302B9"/>
    <w:rsid w:val="008305FB"/>
    <w:rsid w:val="008318C5"/>
    <w:rsid w:val="00831F46"/>
    <w:rsid w:val="00832678"/>
    <w:rsid w:val="008331A9"/>
    <w:rsid w:val="00835B38"/>
    <w:rsid w:val="00836BBE"/>
    <w:rsid w:val="00837572"/>
    <w:rsid w:val="008407C6"/>
    <w:rsid w:val="00840FD1"/>
    <w:rsid w:val="00841003"/>
    <w:rsid w:val="00842B3A"/>
    <w:rsid w:val="00844D9D"/>
    <w:rsid w:val="008453B3"/>
    <w:rsid w:val="00845F55"/>
    <w:rsid w:val="00846880"/>
    <w:rsid w:val="0085209C"/>
    <w:rsid w:val="008529B7"/>
    <w:rsid w:val="008533F7"/>
    <w:rsid w:val="00856187"/>
    <w:rsid w:val="00856B2D"/>
    <w:rsid w:val="00857974"/>
    <w:rsid w:val="0086049B"/>
    <w:rsid w:val="00861644"/>
    <w:rsid w:val="0086164A"/>
    <w:rsid w:val="00862990"/>
    <w:rsid w:val="00862E3F"/>
    <w:rsid w:val="008645AB"/>
    <w:rsid w:val="008645D6"/>
    <w:rsid w:val="008668F0"/>
    <w:rsid w:val="00866911"/>
    <w:rsid w:val="00870AC9"/>
    <w:rsid w:val="00871F9D"/>
    <w:rsid w:val="008722D9"/>
    <w:rsid w:val="00873D3A"/>
    <w:rsid w:val="00875416"/>
    <w:rsid w:val="008842CB"/>
    <w:rsid w:val="0088733A"/>
    <w:rsid w:val="008879BC"/>
    <w:rsid w:val="00890B60"/>
    <w:rsid w:val="0089360C"/>
    <w:rsid w:val="00893A94"/>
    <w:rsid w:val="0089630D"/>
    <w:rsid w:val="008A25F0"/>
    <w:rsid w:val="008A2647"/>
    <w:rsid w:val="008A2E9E"/>
    <w:rsid w:val="008A41BA"/>
    <w:rsid w:val="008A5249"/>
    <w:rsid w:val="008A61B2"/>
    <w:rsid w:val="008A75FA"/>
    <w:rsid w:val="008A7BFD"/>
    <w:rsid w:val="008B1762"/>
    <w:rsid w:val="008B1FD8"/>
    <w:rsid w:val="008B287C"/>
    <w:rsid w:val="008B36E5"/>
    <w:rsid w:val="008B7048"/>
    <w:rsid w:val="008B753E"/>
    <w:rsid w:val="008B7BBE"/>
    <w:rsid w:val="008C0010"/>
    <w:rsid w:val="008C453A"/>
    <w:rsid w:val="008C47FA"/>
    <w:rsid w:val="008C4B41"/>
    <w:rsid w:val="008C60E6"/>
    <w:rsid w:val="008D0072"/>
    <w:rsid w:val="008D17A8"/>
    <w:rsid w:val="008D2419"/>
    <w:rsid w:val="008D347B"/>
    <w:rsid w:val="008D3716"/>
    <w:rsid w:val="008D5692"/>
    <w:rsid w:val="008D5774"/>
    <w:rsid w:val="008D60EC"/>
    <w:rsid w:val="008D640A"/>
    <w:rsid w:val="008E1B66"/>
    <w:rsid w:val="008E1C8D"/>
    <w:rsid w:val="008E28DA"/>
    <w:rsid w:val="008E6AAD"/>
    <w:rsid w:val="008E72B4"/>
    <w:rsid w:val="008E7F2E"/>
    <w:rsid w:val="008F4672"/>
    <w:rsid w:val="008F4CDE"/>
    <w:rsid w:val="008F5359"/>
    <w:rsid w:val="008F602E"/>
    <w:rsid w:val="008F71FB"/>
    <w:rsid w:val="00903406"/>
    <w:rsid w:val="009056F2"/>
    <w:rsid w:val="00905B05"/>
    <w:rsid w:val="00906612"/>
    <w:rsid w:val="0091051C"/>
    <w:rsid w:val="00914425"/>
    <w:rsid w:val="0091573C"/>
    <w:rsid w:val="009158A3"/>
    <w:rsid w:val="00922631"/>
    <w:rsid w:val="00922BC5"/>
    <w:rsid w:val="00922E70"/>
    <w:rsid w:val="00923DE4"/>
    <w:rsid w:val="009241F3"/>
    <w:rsid w:val="009243D1"/>
    <w:rsid w:val="009254C8"/>
    <w:rsid w:val="00925588"/>
    <w:rsid w:val="00926985"/>
    <w:rsid w:val="009277AB"/>
    <w:rsid w:val="00927F73"/>
    <w:rsid w:val="009306BE"/>
    <w:rsid w:val="00930D43"/>
    <w:rsid w:val="00931CF4"/>
    <w:rsid w:val="00934740"/>
    <w:rsid w:val="00936106"/>
    <w:rsid w:val="00937AD8"/>
    <w:rsid w:val="00942F87"/>
    <w:rsid w:val="009432BE"/>
    <w:rsid w:val="009447B4"/>
    <w:rsid w:val="00944899"/>
    <w:rsid w:val="0094584B"/>
    <w:rsid w:val="009478AD"/>
    <w:rsid w:val="00950169"/>
    <w:rsid w:val="00950CA4"/>
    <w:rsid w:val="00951115"/>
    <w:rsid w:val="009519CD"/>
    <w:rsid w:val="009543C6"/>
    <w:rsid w:val="009551B0"/>
    <w:rsid w:val="009569B5"/>
    <w:rsid w:val="00957415"/>
    <w:rsid w:val="00957694"/>
    <w:rsid w:val="0095787A"/>
    <w:rsid w:val="009614DE"/>
    <w:rsid w:val="00961919"/>
    <w:rsid w:val="0096237A"/>
    <w:rsid w:val="009640F4"/>
    <w:rsid w:val="009664F0"/>
    <w:rsid w:val="00970B2A"/>
    <w:rsid w:val="00971423"/>
    <w:rsid w:val="009727BB"/>
    <w:rsid w:val="00972AC8"/>
    <w:rsid w:val="00972CF7"/>
    <w:rsid w:val="009746B8"/>
    <w:rsid w:val="00980781"/>
    <w:rsid w:val="00981811"/>
    <w:rsid w:val="009820DA"/>
    <w:rsid w:val="009829FA"/>
    <w:rsid w:val="00985DB2"/>
    <w:rsid w:val="009865F6"/>
    <w:rsid w:val="009879CE"/>
    <w:rsid w:val="00990DA2"/>
    <w:rsid w:val="00992A1E"/>
    <w:rsid w:val="00993E30"/>
    <w:rsid w:val="00993F10"/>
    <w:rsid w:val="009941D6"/>
    <w:rsid w:val="00994A55"/>
    <w:rsid w:val="009951B9"/>
    <w:rsid w:val="00995999"/>
    <w:rsid w:val="00996637"/>
    <w:rsid w:val="009A00D1"/>
    <w:rsid w:val="009A28DF"/>
    <w:rsid w:val="009A2C5A"/>
    <w:rsid w:val="009A3E51"/>
    <w:rsid w:val="009A46E2"/>
    <w:rsid w:val="009A555A"/>
    <w:rsid w:val="009A59B1"/>
    <w:rsid w:val="009A5DCE"/>
    <w:rsid w:val="009A632A"/>
    <w:rsid w:val="009B02F9"/>
    <w:rsid w:val="009B0BF9"/>
    <w:rsid w:val="009B0DB9"/>
    <w:rsid w:val="009B1FDF"/>
    <w:rsid w:val="009B2ABE"/>
    <w:rsid w:val="009B3AEB"/>
    <w:rsid w:val="009B3B7A"/>
    <w:rsid w:val="009B43EC"/>
    <w:rsid w:val="009B63E1"/>
    <w:rsid w:val="009B65DC"/>
    <w:rsid w:val="009C244C"/>
    <w:rsid w:val="009C4C29"/>
    <w:rsid w:val="009C6061"/>
    <w:rsid w:val="009C6443"/>
    <w:rsid w:val="009D087D"/>
    <w:rsid w:val="009D1B54"/>
    <w:rsid w:val="009D2C32"/>
    <w:rsid w:val="009D5B7E"/>
    <w:rsid w:val="009D61EF"/>
    <w:rsid w:val="009E2C72"/>
    <w:rsid w:val="009E320F"/>
    <w:rsid w:val="009E3382"/>
    <w:rsid w:val="009E422D"/>
    <w:rsid w:val="009E6A26"/>
    <w:rsid w:val="009F12BC"/>
    <w:rsid w:val="009F15FD"/>
    <w:rsid w:val="009F18B2"/>
    <w:rsid w:val="009F224B"/>
    <w:rsid w:val="009F283A"/>
    <w:rsid w:val="009F40CD"/>
    <w:rsid w:val="009F4501"/>
    <w:rsid w:val="009F7132"/>
    <w:rsid w:val="009F767B"/>
    <w:rsid w:val="009F76AF"/>
    <w:rsid w:val="009F7D87"/>
    <w:rsid w:val="00A00EE6"/>
    <w:rsid w:val="00A01683"/>
    <w:rsid w:val="00A0214E"/>
    <w:rsid w:val="00A03E16"/>
    <w:rsid w:val="00A05211"/>
    <w:rsid w:val="00A059CA"/>
    <w:rsid w:val="00A1128A"/>
    <w:rsid w:val="00A11A6C"/>
    <w:rsid w:val="00A11CA4"/>
    <w:rsid w:val="00A121C1"/>
    <w:rsid w:val="00A12D71"/>
    <w:rsid w:val="00A131F3"/>
    <w:rsid w:val="00A13A43"/>
    <w:rsid w:val="00A14692"/>
    <w:rsid w:val="00A14D7F"/>
    <w:rsid w:val="00A15007"/>
    <w:rsid w:val="00A167D7"/>
    <w:rsid w:val="00A16D18"/>
    <w:rsid w:val="00A16E74"/>
    <w:rsid w:val="00A17C54"/>
    <w:rsid w:val="00A204A6"/>
    <w:rsid w:val="00A2053F"/>
    <w:rsid w:val="00A20D54"/>
    <w:rsid w:val="00A20EFD"/>
    <w:rsid w:val="00A2123D"/>
    <w:rsid w:val="00A21461"/>
    <w:rsid w:val="00A21697"/>
    <w:rsid w:val="00A2197F"/>
    <w:rsid w:val="00A2362F"/>
    <w:rsid w:val="00A26555"/>
    <w:rsid w:val="00A26A0D"/>
    <w:rsid w:val="00A275C9"/>
    <w:rsid w:val="00A30061"/>
    <w:rsid w:val="00A3180C"/>
    <w:rsid w:val="00A32163"/>
    <w:rsid w:val="00A335C7"/>
    <w:rsid w:val="00A33FF2"/>
    <w:rsid w:val="00A34E16"/>
    <w:rsid w:val="00A3567B"/>
    <w:rsid w:val="00A360BF"/>
    <w:rsid w:val="00A36A67"/>
    <w:rsid w:val="00A4022F"/>
    <w:rsid w:val="00A406D5"/>
    <w:rsid w:val="00A407BE"/>
    <w:rsid w:val="00A409BA"/>
    <w:rsid w:val="00A41FBF"/>
    <w:rsid w:val="00A422AB"/>
    <w:rsid w:val="00A4270A"/>
    <w:rsid w:val="00A46281"/>
    <w:rsid w:val="00A46B90"/>
    <w:rsid w:val="00A55476"/>
    <w:rsid w:val="00A55962"/>
    <w:rsid w:val="00A57530"/>
    <w:rsid w:val="00A60156"/>
    <w:rsid w:val="00A6130C"/>
    <w:rsid w:val="00A619CB"/>
    <w:rsid w:val="00A61A02"/>
    <w:rsid w:val="00A631A0"/>
    <w:rsid w:val="00A638BF"/>
    <w:rsid w:val="00A65B61"/>
    <w:rsid w:val="00A661E6"/>
    <w:rsid w:val="00A71106"/>
    <w:rsid w:val="00A7254D"/>
    <w:rsid w:val="00A72C2C"/>
    <w:rsid w:val="00A73BE8"/>
    <w:rsid w:val="00A75214"/>
    <w:rsid w:val="00A752B0"/>
    <w:rsid w:val="00A75933"/>
    <w:rsid w:val="00A77226"/>
    <w:rsid w:val="00A77B88"/>
    <w:rsid w:val="00A77D35"/>
    <w:rsid w:val="00A83A8E"/>
    <w:rsid w:val="00A83B18"/>
    <w:rsid w:val="00A83C41"/>
    <w:rsid w:val="00A84322"/>
    <w:rsid w:val="00A85F1A"/>
    <w:rsid w:val="00A860C9"/>
    <w:rsid w:val="00A86619"/>
    <w:rsid w:val="00A87610"/>
    <w:rsid w:val="00A92AA2"/>
    <w:rsid w:val="00A95CBD"/>
    <w:rsid w:val="00A96EE8"/>
    <w:rsid w:val="00A97996"/>
    <w:rsid w:val="00A97E12"/>
    <w:rsid w:val="00AA3927"/>
    <w:rsid w:val="00AA3A93"/>
    <w:rsid w:val="00AA3FF5"/>
    <w:rsid w:val="00AA489A"/>
    <w:rsid w:val="00AA5264"/>
    <w:rsid w:val="00AA5973"/>
    <w:rsid w:val="00AA6653"/>
    <w:rsid w:val="00AA7816"/>
    <w:rsid w:val="00AA7A96"/>
    <w:rsid w:val="00AB0380"/>
    <w:rsid w:val="00AB3526"/>
    <w:rsid w:val="00AB5ED0"/>
    <w:rsid w:val="00AC1208"/>
    <w:rsid w:val="00AC1ACE"/>
    <w:rsid w:val="00AC289D"/>
    <w:rsid w:val="00AC5D21"/>
    <w:rsid w:val="00AC5E6F"/>
    <w:rsid w:val="00AC6090"/>
    <w:rsid w:val="00AC716E"/>
    <w:rsid w:val="00AD0D8D"/>
    <w:rsid w:val="00AD170F"/>
    <w:rsid w:val="00AD1EE2"/>
    <w:rsid w:val="00AD2DFF"/>
    <w:rsid w:val="00AD3AB1"/>
    <w:rsid w:val="00AD41B4"/>
    <w:rsid w:val="00AD72CE"/>
    <w:rsid w:val="00AE008D"/>
    <w:rsid w:val="00AE1B0D"/>
    <w:rsid w:val="00AE1E7A"/>
    <w:rsid w:val="00AE23AC"/>
    <w:rsid w:val="00AE27DB"/>
    <w:rsid w:val="00AE27E1"/>
    <w:rsid w:val="00AE3CAB"/>
    <w:rsid w:val="00AE3CE0"/>
    <w:rsid w:val="00AE475E"/>
    <w:rsid w:val="00AE4992"/>
    <w:rsid w:val="00AE6189"/>
    <w:rsid w:val="00AE733F"/>
    <w:rsid w:val="00AE765A"/>
    <w:rsid w:val="00AF1F7D"/>
    <w:rsid w:val="00AF3BC8"/>
    <w:rsid w:val="00AF584B"/>
    <w:rsid w:val="00AF6158"/>
    <w:rsid w:val="00AF688E"/>
    <w:rsid w:val="00B00270"/>
    <w:rsid w:val="00B00579"/>
    <w:rsid w:val="00B01C9E"/>
    <w:rsid w:val="00B0216C"/>
    <w:rsid w:val="00B02AF1"/>
    <w:rsid w:val="00B0772E"/>
    <w:rsid w:val="00B1040E"/>
    <w:rsid w:val="00B10976"/>
    <w:rsid w:val="00B127BD"/>
    <w:rsid w:val="00B13D46"/>
    <w:rsid w:val="00B1573B"/>
    <w:rsid w:val="00B202FE"/>
    <w:rsid w:val="00B20373"/>
    <w:rsid w:val="00B2362C"/>
    <w:rsid w:val="00B24636"/>
    <w:rsid w:val="00B306E7"/>
    <w:rsid w:val="00B3115C"/>
    <w:rsid w:val="00B314B0"/>
    <w:rsid w:val="00B33B21"/>
    <w:rsid w:val="00B34F39"/>
    <w:rsid w:val="00B3572D"/>
    <w:rsid w:val="00B3593E"/>
    <w:rsid w:val="00B35C74"/>
    <w:rsid w:val="00B36A6E"/>
    <w:rsid w:val="00B4198B"/>
    <w:rsid w:val="00B44239"/>
    <w:rsid w:val="00B4580D"/>
    <w:rsid w:val="00B51B99"/>
    <w:rsid w:val="00B53716"/>
    <w:rsid w:val="00B54205"/>
    <w:rsid w:val="00B558CA"/>
    <w:rsid w:val="00B56895"/>
    <w:rsid w:val="00B56CC6"/>
    <w:rsid w:val="00B60C7F"/>
    <w:rsid w:val="00B61812"/>
    <w:rsid w:val="00B61D17"/>
    <w:rsid w:val="00B64B1A"/>
    <w:rsid w:val="00B6559F"/>
    <w:rsid w:val="00B65E54"/>
    <w:rsid w:val="00B66096"/>
    <w:rsid w:val="00B7237D"/>
    <w:rsid w:val="00B72AB8"/>
    <w:rsid w:val="00B73B3C"/>
    <w:rsid w:val="00B76A73"/>
    <w:rsid w:val="00B832D4"/>
    <w:rsid w:val="00B83CCE"/>
    <w:rsid w:val="00B863CC"/>
    <w:rsid w:val="00B9061D"/>
    <w:rsid w:val="00B9151B"/>
    <w:rsid w:val="00B92318"/>
    <w:rsid w:val="00B925CE"/>
    <w:rsid w:val="00B95398"/>
    <w:rsid w:val="00B953F6"/>
    <w:rsid w:val="00BA0CBC"/>
    <w:rsid w:val="00BA35BC"/>
    <w:rsid w:val="00BA66CD"/>
    <w:rsid w:val="00BA7DB0"/>
    <w:rsid w:val="00BB0B26"/>
    <w:rsid w:val="00BB2369"/>
    <w:rsid w:val="00BB2D7A"/>
    <w:rsid w:val="00BB3595"/>
    <w:rsid w:val="00BB446C"/>
    <w:rsid w:val="00BB4605"/>
    <w:rsid w:val="00BB5BDE"/>
    <w:rsid w:val="00BB7FD3"/>
    <w:rsid w:val="00BC05FA"/>
    <w:rsid w:val="00BC0937"/>
    <w:rsid w:val="00BC14FD"/>
    <w:rsid w:val="00BC3086"/>
    <w:rsid w:val="00BC37BD"/>
    <w:rsid w:val="00BC5095"/>
    <w:rsid w:val="00BC5344"/>
    <w:rsid w:val="00BC60F0"/>
    <w:rsid w:val="00BC7584"/>
    <w:rsid w:val="00BD35C3"/>
    <w:rsid w:val="00BD4290"/>
    <w:rsid w:val="00BD44F4"/>
    <w:rsid w:val="00BD65B3"/>
    <w:rsid w:val="00BD73AB"/>
    <w:rsid w:val="00BD7B7D"/>
    <w:rsid w:val="00BE2C45"/>
    <w:rsid w:val="00BE2CE1"/>
    <w:rsid w:val="00BE4833"/>
    <w:rsid w:val="00BE5121"/>
    <w:rsid w:val="00BE5B22"/>
    <w:rsid w:val="00BE5BE8"/>
    <w:rsid w:val="00BE68E4"/>
    <w:rsid w:val="00BE710B"/>
    <w:rsid w:val="00BE7295"/>
    <w:rsid w:val="00BE7E4E"/>
    <w:rsid w:val="00BF0B29"/>
    <w:rsid w:val="00BF53FF"/>
    <w:rsid w:val="00BF5F94"/>
    <w:rsid w:val="00BF682B"/>
    <w:rsid w:val="00BF7E5C"/>
    <w:rsid w:val="00C01810"/>
    <w:rsid w:val="00C034B5"/>
    <w:rsid w:val="00C06943"/>
    <w:rsid w:val="00C07F73"/>
    <w:rsid w:val="00C10348"/>
    <w:rsid w:val="00C14626"/>
    <w:rsid w:val="00C17AC9"/>
    <w:rsid w:val="00C21283"/>
    <w:rsid w:val="00C22CC4"/>
    <w:rsid w:val="00C23D9E"/>
    <w:rsid w:val="00C306CD"/>
    <w:rsid w:val="00C30BE2"/>
    <w:rsid w:val="00C31B0A"/>
    <w:rsid w:val="00C31BF9"/>
    <w:rsid w:val="00C32F86"/>
    <w:rsid w:val="00C35AD7"/>
    <w:rsid w:val="00C36C69"/>
    <w:rsid w:val="00C4008A"/>
    <w:rsid w:val="00C41133"/>
    <w:rsid w:val="00C42F1B"/>
    <w:rsid w:val="00C436B5"/>
    <w:rsid w:val="00C4422D"/>
    <w:rsid w:val="00C450AD"/>
    <w:rsid w:val="00C4677D"/>
    <w:rsid w:val="00C46B3B"/>
    <w:rsid w:val="00C47177"/>
    <w:rsid w:val="00C47EDB"/>
    <w:rsid w:val="00C50D89"/>
    <w:rsid w:val="00C50F4F"/>
    <w:rsid w:val="00C51BE1"/>
    <w:rsid w:val="00C5505D"/>
    <w:rsid w:val="00C567AE"/>
    <w:rsid w:val="00C62602"/>
    <w:rsid w:val="00C631B5"/>
    <w:rsid w:val="00C6336D"/>
    <w:rsid w:val="00C64682"/>
    <w:rsid w:val="00C6516C"/>
    <w:rsid w:val="00C66BCF"/>
    <w:rsid w:val="00C67B8E"/>
    <w:rsid w:val="00C72759"/>
    <w:rsid w:val="00C72937"/>
    <w:rsid w:val="00C741D2"/>
    <w:rsid w:val="00C75873"/>
    <w:rsid w:val="00C765D7"/>
    <w:rsid w:val="00C77583"/>
    <w:rsid w:val="00C77B66"/>
    <w:rsid w:val="00C85796"/>
    <w:rsid w:val="00C859B2"/>
    <w:rsid w:val="00C86732"/>
    <w:rsid w:val="00C86C73"/>
    <w:rsid w:val="00C872EA"/>
    <w:rsid w:val="00C87D62"/>
    <w:rsid w:val="00C92890"/>
    <w:rsid w:val="00C936CF"/>
    <w:rsid w:val="00C95DD0"/>
    <w:rsid w:val="00C960D1"/>
    <w:rsid w:val="00C96693"/>
    <w:rsid w:val="00C976D8"/>
    <w:rsid w:val="00C97EB4"/>
    <w:rsid w:val="00CA05F0"/>
    <w:rsid w:val="00CA07BC"/>
    <w:rsid w:val="00CA09FC"/>
    <w:rsid w:val="00CA0C2D"/>
    <w:rsid w:val="00CA3B1D"/>
    <w:rsid w:val="00CA5B05"/>
    <w:rsid w:val="00CB12A5"/>
    <w:rsid w:val="00CB1C19"/>
    <w:rsid w:val="00CB3FDF"/>
    <w:rsid w:val="00CB4822"/>
    <w:rsid w:val="00CB5069"/>
    <w:rsid w:val="00CB6098"/>
    <w:rsid w:val="00CC34BE"/>
    <w:rsid w:val="00CC3BA8"/>
    <w:rsid w:val="00CC3DD7"/>
    <w:rsid w:val="00CC427A"/>
    <w:rsid w:val="00CC5983"/>
    <w:rsid w:val="00CC651A"/>
    <w:rsid w:val="00CC7BB7"/>
    <w:rsid w:val="00CD0332"/>
    <w:rsid w:val="00CD0E58"/>
    <w:rsid w:val="00CD414F"/>
    <w:rsid w:val="00CD4B32"/>
    <w:rsid w:val="00CD5E09"/>
    <w:rsid w:val="00CD648D"/>
    <w:rsid w:val="00CD785D"/>
    <w:rsid w:val="00CE1769"/>
    <w:rsid w:val="00CE2DE3"/>
    <w:rsid w:val="00CE3D9D"/>
    <w:rsid w:val="00CE42E3"/>
    <w:rsid w:val="00CE55BE"/>
    <w:rsid w:val="00CE6532"/>
    <w:rsid w:val="00CE7E31"/>
    <w:rsid w:val="00CF18EF"/>
    <w:rsid w:val="00CF2ADD"/>
    <w:rsid w:val="00CF41C1"/>
    <w:rsid w:val="00CF48C2"/>
    <w:rsid w:val="00CF4947"/>
    <w:rsid w:val="00CF4D80"/>
    <w:rsid w:val="00CF5E36"/>
    <w:rsid w:val="00CF63EC"/>
    <w:rsid w:val="00CF7B55"/>
    <w:rsid w:val="00D03B40"/>
    <w:rsid w:val="00D05217"/>
    <w:rsid w:val="00D06104"/>
    <w:rsid w:val="00D100E8"/>
    <w:rsid w:val="00D1044C"/>
    <w:rsid w:val="00D1081F"/>
    <w:rsid w:val="00D11599"/>
    <w:rsid w:val="00D11EBE"/>
    <w:rsid w:val="00D13281"/>
    <w:rsid w:val="00D13546"/>
    <w:rsid w:val="00D15492"/>
    <w:rsid w:val="00D16195"/>
    <w:rsid w:val="00D20BDE"/>
    <w:rsid w:val="00D21454"/>
    <w:rsid w:val="00D2417E"/>
    <w:rsid w:val="00D24EE4"/>
    <w:rsid w:val="00D2505A"/>
    <w:rsid w:val="00D31E64"/>
    <w:rsid w:val="00D31F70"/>
    <w:rsid w:val="00D324D1"/>
    <w:rsid w:val="00D3376B"/>
    <w:rsid w:val="00D34C37"/>
    <w:rsid w:val="00D360F0"/>
    <w:rsid w:val="00D365B7"/>
    <w:rsid w:val="00D36DEA"/>
    <w:rsid w:val="00D40CAB"/>
    <w:rsid w:val="00D4447E"/>
    <w:rsid w:val="00D444E2"/>
    <w:rsid w:val="00D445B9"/>
    <w:rsid w:val="00D44B35"/>
    <w:rsid w:val="00D44C64"/>
    <w:rsid w:val="00D450C3"/>
    <w:rsid w:val="00D45A80"/>
    <w:rsid w:val="00D47D85"/>
    <w:rsid w:val="00D5144A"/>
    <w:rsid w:val="00D53D1A"/>
    <w:rsid w:val="00D5575B"/>
    <w:rsid w:val="00D57D0D"/>
    <w:rsid w:val="00D612A3"/>
    <w:rsid w:val="00D61BCF"/>
    <w:rsid w:val="00D62192"/>
    <w:rsid w:val="00D63DBD"/>
    <w:rsid w:val="00D63F6A"/>
    <w:rsid w:val="00D649F7"/>
    <w:rsid w:val="00D64D9B"/>
    <w:rsid w:val="00D6660D"/>
    <w:rsid w:val="00D67AF9"/>
    <w:rsid w:val="00D7063A"/>
    <w:rsid w:val="00D71B2C"/>
    <w:rsid w:val="00D74368"/>
    <w:rsid w:val="00D764E0"/>
    <w:rsid w:val="00D76691"/>
    <w:rsid w:val="00D779A2"/>
    <w:rsid w:val="00D80040"/>
    <w:rsid w:val="00D819D1"/>
    <w:rsid w:val="00D8223D"/>
    <w:rsid w:val="00D822DA"/>
    <w:rsid w:val="00D83B35"/>
    <w:rsid w:val="00D85B05"/>
    <w:rsid w:val="00D8663C"/>
    <w:rsid w:val="00D87574"/>
    <w:rsid w:val="00D90713"/>
    <w:rsid w:val="00D90D60"/>
    <w:rsid w:val="00D91F07"/>
    <w:rsid w:val="00D9447B"/>
    <w:rsid w:val="00D951DA"/>
    <w:rsid w:val="00D9661F"/>
    <w:rsid w:val="00D969DA"/>
    <w:rsid w:val="00D97A60"/>
    <w:rsid w:val="00DA441D"/>
    <w:rsid w:val="00DA49C2"/>
    <w:rsid w:val="00DA50E3"/>
    <w:rsid w:val="00DA7006"/>
    <w:rsid w:val="00DA7333"/>
    <w:rsid w:val="00DB04A0"/>
    <w:rsid w:val="00DB0B81"/>
    <w:rsid w:val="00DB1047"/>
    <w:rsid w:val="00DB22CB"/>
    <w:rsid w:val="00DB2A2D"/>
    <w:rsid w:val="00DB349C"/>
    <w:rsid w:val="00DB3C63"/>
    <w:rsid w:val="00DB3D5E"/>
    <w:rsid w:val="00DB456F"/>
    <w:rsid w:val="00DB4F70"/>
    <w:rsid w:val="00DB52B7"/>
    <w:rsid w:val="00DB5426"/>
    <w:rsid w:val="00DB56EA"/>
    <w:rsid w:val="00DC1B1E"/>
    <w:rsid w:val="00DC1C04"/>
    <w:rsid w:val="00DC21DB"/>
    <w:rsid w:val="00DC2514"/>
    <w:rsid w:val="00DC4498"/>
    <w:rsid w:val="00DC5B59"/>
    <w:rsid w:val="00DC648C"/>
    <w:rsid w:val="00DC73C4"/>
    <w:rsid w:val="00DC7ACC"/>
    <w:rsid w:val="00DC7E4E"/>
    <w:rsid w:val="00DC7F5B"/>
    <w:rsid w:val="00DD1D09"/>
    <w:rsid w:val="00DD2318"/>
    <w:rsid w:val="00DD2C5E"/>
    <w:rsid w:val="00DD36C4"/>
    <w:rsid w:val="00DD3A78"/>
    <w:rsid w:val="00DD4BAC"/>
    <w:rsid w:val="00DD5014"/>
    <w:rsid w:val="00DD5161"/>
    <w:rsid w:val="00DD635B"/>
    <w:rsid w:val="00DD6991"/>
    <w:rsid w:val="00DD7E7F"/>
    <w:rsid w:val="00DE011F"/>
    <w:rsid w:val="00DE0907"/>
    <w:rsid w:val="00DE097F"/>
    <w:rsid w:val="00DE0D93"/>
    <w:rsid w:val="00DE31BB"/>
    <w:rsid w:val="00DE4291"/>
    <w:rsid w:val="00DE5263"/>
    <w:rsid w:val="00DE678F"/>
    <w:rsid w:val="00DE6C8F"/>
    <w:rsid w:val="00DF021A"/>
    <w:rsid w:val="00DF0695"/>
    <w:rsid w:val="00DF1CED"/>
    <w:rsid w:val="00DF21D0"/>
    <w:rsid w:val="00DF29D2"/>
    <w:rsid w:val="00DF2E06"/>
    <w:rsid w:val="00DF4486"/>
    <w:rsid w:val="00DF4AE4"/>
    <w:rsid w:val="00DF4BEE"/>
    <w:rsid w:val="00DF4C55"/>
    <w:rsid w:val="00DF74CF"/>
    <w:rsid w:val="00E000ED"/>
    <w:rsid w:val="00E00EF6"/>
    <w:rsid w:val="00E054F6"/>
    <w:rsid w:val="00E0749B"/>
    <w:rsid w:val="00E1144B"/>
    <w:rsid w:val="00E12528"/>
    <w:rsid w:val="00E13333"/>
    <w:rsid w:val="00E14CD5"/>
    <w:rsid w:val="00E16E56"/>
    <w:rsid w:val="00E218C0"/>
    <w:rsid w:val="00E22162"/>
    <w:rsid w:val="00E22311"/>
    <w:rsid w:val="00E23A49"/>
    <w:rsid w:val="00E2507A"/>
    <w:rsid w:val="00E25A44"/>
    <w:rsid w:val="00E265C5"/>
    <w:rsid w:val="00E26D16"/>
    <w:rsid w:val="00E26D2B"/>
    <w:rsid w:val="00E272FC"/>
    <w:rsid w:val="00E27545"/>
    <w:rsid w:val="00E27625"/>
    <w:rsid w:val="00E27F35"/>
    <w:rsid w:val="00E307A6"/>
    <w:rsid w:val="00E33BF8"/>
    <w:rsid w:val="00E35193"/>
    <w:rsid w:val="00E3678F"/>
    <w:rsid w:val="00E36919"/>
    <w:rsid w:val="00E36FF6"/>
    <w:rsid w:val="00E41A19"/>
    <w:rsid w:val="00E47407"/>
    <w:rsid w:val="00E5060D"/>
    <w:rsid w:val="00E51698"/>
    <w:rsid w:val="00E53E0F"/>
    <w:rsid w:val="00E549E7"/>
    <w:rsid w:val="00E576C1"/>
    <w:rsid w:val="00E61EAC"/>
    <w:rsid w:val="00E62D74"/>
    <w:rsid w:val="00E656DC"/>
    <w:rsid w:val="00E6719A"/>
    <w:rsid w:val="00E6758A"/>
    <w:rsid w:val="00E67EFF"/>
    <w:rsid w:val="00E722E0"/>
    <w:rsid w:val="00E7294E"/>
    <w:rsid w:val="00E73C3B"/>
    <w:rsid w:val="00E74AB2"/>
    <w:rsid w:val="00E75B38"/>
    <w:rsid w:val="00E75C2E"/>
    <w:rsid w:val="00E765A3"/>
    <w:rsid w:val="00E76BF1"/>
    <w:rsid w:val="00E77CE0"/>
    <w:rsid w:val="00E80D00"/>
    <w:rsid w:val="00E824B0"/>
    <w:rsid w:val="00E828F1"/>
    <w:rsid w:val="00E8607C"/>
    <w:rsid w:val="00E862BC"/>
    <w:rsid w:val="00E87B52"/>
    <w:rsid w:val="00E9081E"/>
    <w:rsid w:val="00E90DA7"/>
    <w:rsid w:val="00E91EE1"/>
    <w:rsid w:val="00E924D0"/>
    <w:rsid w:val="00E93CED"/>
    <w:rsid w:val="00E93E3E"/>
    <w:rsid w:val="00E956CE"/>
    <w:rsid w:val="00E96D69"/>
    <w:rsid w:val="00EA0D72"/>
    <w:rsid w:val="00EA4712"/>
    <w:rsid w:val="00EA567A"/>
    <w:rsid w:val="00EA5C2E"/>
    <w:rsid w:val="00EA6667"/>
    <w:rsid w:val="00EA695B"/>
    <w:rsid w:val="00EA6E60"/>
    <w:rsid w:val="00EB3CDF"/>
    <w:rsid w:val="00EB49BF"/>
    <w:rsid w:val="00EB4D00"/>
    <w:rsid w:val="00EB523D"/>
    <w:rsid w:val="00EB69FC"/>
    <w:rsid w:val="00EC27E2"/>
    <w:rsid w:val="00EC2CEF"/>
    <w:rsid w:val="00EC6787"/>
    <w:rsid w:val="00EC6C61"/>
    <w:rsid w:val="00EC777D"/>
    <w:rsid w:val="00EC7B6F"/>
    <w:rsid w:val="00ED05E7"/>
    <w:rsid w:val="00ED080A"/>
    <w:rsid w:val="00ED121B"/>
    <w:rsid w:val="00ED2B92"/>
    <w:rsid w:val="00ED3C09"/>
    <w:rsid w:val="00ED4155"/>
    <w:rsid w:val="00ED440A"/>
    <w:rsid w:val="00ED541B"/>
    <w:rsid w:val="00ED58FA"/>
    <w:rsid w:val="00ED747A"/>
    <w:rsid w:val="00EE0414"/>
    <w:rsid w:val="00EE091A"/>
    <w:rsid w:val="00EE29EE"/>
    <w:rsid w:val="00EE2FB9"/>
    <w:rsid w:val="00EE3FA6"/>
    <w:rsid w:val="00EE4996"/>
    <w:rsid w:val="00EE611F"/>
    <w:rsid w:val="00EE77FB"/>
    <w:rsid w:val="00EF449B"/>
    <w:rsid w:val="00EF565F"/>
    <w:rsid w:val="00EF64C6"/>
    <w:rsid w:val="00F010F5"/>
    <w:rsid w:val="00F017F6"/>
    <w:rsid w:val="00F02B74"/>
    <w:rsid w:val="00F033D4"/>
    <w:rsid w:val="00F0622B"/>
    <w:rsid w:val="00F0651C"/>
    <w:rsid w:val="00F06531"/>
    <w:rsid w:val="00F06B62"/>
    <w:rsid w:val="00F0702D"/>
    <w:rsid w:val="00F078B7"/>
    <w:rsid w:val="00F07F6D"/>
    <w:rsid w:val="00F111C6"/>
    <w:rsid w:val="00F11367"/>
    <w:rsid w:val="00F11C5D"/>
    <w:rsid w:val="00F121F6"/>
    <w:rsid w:val="00F12F8D"/>
    <w:rsid w:val="00F13EC2"/>
    <w:rsid w:val="00F14CE9"/>
    <w:rsid w:val="00F15A28"/>
    <w:rsid w:val="00F16974"/>
    <w:rsid w:val="00F16C79"/>
    <w:rsid w:val="00F170CE"/>
    <w:rsid w:val="00F17450"/>
    <w:rsid w:val="00F215C5"/>
    <w:rsid w:val="00F23EF2"/>
    <w:rsid w:val="00F320C0"/>
    <w:rsid w:val="00F33A95"/>
    <w:rsid w:val="00F35257"/>
    <w:rsid w:val="00F35511"/>
    <w:rsid w:val="00F36320"/>
    <w:rsid w:val="00F36FA3"/>
    <w:rsid w:val="00F3716F"/>
    <w:rsid w:val="00F37975"/>
    <w:rsid w:val="00F40152"/>
    <w:rsid w:val="00F406E1"/>
    <w:rsid w:val="00F41156"/>
    <w:rsid w:val="00F41EEB"/>
    <w:rsid w:val="00F4259E"/>
    <w:rsid w:val="00F44122"/>
    <w:rsid w:val="00F4675F"/>
    <w:rsid w:val="00F46BCA"/>
    <w:rsid w:val="00F471FB"/>
    <w:rsid w:val="00F47301"/>
    <w:rsid w:val="00F50651"/>
    <w:rsid w:val="00F50B83"/>
    <w:rsid w:val="00F51846"/>
    <w:rsid w:val="00F52AF2"/>
    <w:rsid w:val="00F52D31"/>
    <w:rsid w:val="00F549C4"/>
    <w:rsid w:val="00F54A23"/>
    <w:rsid w:val="00F55CCF"/>
    <w:rsid w:val="00F55CF9"/>
    <w:rsid w:val="00F566A9"/>
    <w:rsid w:val="00F6054A"/>
    <w:rsid w:val="00F606DA"/>
    <w:rsid w:val="00F60B6A"/>
    <w:rsid w:val="00F60FCB"/>
    <w:rsid w:val="00F61188"/>
    <w:rsid w:val="00F62909"/>
    <w:rsid w:val="00F62D84"/>
    <w:rsid w:val="00F63DD2"/>
    <w:rsid w:val="00F64B7B"/>
    <w:rsid w:val="00F64C30"/>
    <w:rsid w:val="00F652A3"/>
    <w:rsid w:val="00F652D4"/>
    <w:rsid w:val="00F70E7B"/>
    <w:rsid w:val="00F712C0"/>
    <w:rsid w:val="00F7143B"/>
    <w:rsid w:val="00F720DE"/>
    <w:rsid w:val="00F74630"/>
    <w:rsid w:val="00F746A9"/>
    <w:rsid w:val="00F76564"/>
    <w:rsid w:val="00F76E82"/>
    <w:rsid w:val="00F80B37"/>
    <w:rsid w:val="00F85048"/>
    <w:rsid w:val="00F8554A"/>
    <w:rsid w:val="00F858EC"/>
    <w:rsid w:val="00F859CE"/>
    <w:rsid w:val="00F86DF8"/>
    <w:rsid w:val="00F87AA2"/>
    <w:rsid w:val="00F87F88"/>
    <w:rsid w:val="00F90403"/>
    <w:rsid w:val="00F92245"/>
    <w:rsid w:val="00F927E8"/>
    <w:rsid w:val="00F933D9"/>
    <w:rsid w:val="00F9453F"/>
    <w:rsid w:val="00F9465C"/>
    <w:rsid w:val="00F96144"/>
    <w:rsid w:val="00FA0D07"/>
    <w:rsid w:val="00FA2F61"/>
    <w:rsid w:val="00FA5BD0"/>
    <w:rsid w:val="00FA6B0E"/>
    <w:rsid w:val="00FA720F"/>
    <w:rsid w:val="00FA7616"/>
    <w:rsid w:val="00FB19C3"/>
    <w:rsid w:val="00FB1DD1"/>
    <w:rsid w:val="00FB1EC3"/>
    <w:rsid w:val="00FB43D5"/>
    <w:rsid w:val="00FB4C83"/>
    <w:rsid w:val="00FB4DB8"/>
    <w:rsid w:val="00FB52A7"/>
    <w:rsid w:val="00FB5F98"/>
    <w:rsid w:val="00FB63C4"/>
    <w:rsid w:val="00FB67C9"/>
    <w:rsid w:val="00FB6BD0"/>
    <w:rsid w:val="00FC1643"/>
    <w:rsid w:val="00FC31F0"/>
    <w:rsid w:val="00FC416A"/>
    <w:rsid w:val="00FC4C6C"/>
    <w:rsid w:val="00FC5D6B"/>
    <w:rsid w:val="00FC66BC"/>
    <w:rsid w:val="00FD0ACC"/>
    <w:rsid w:val="00FD3713"/>
    <w:rsid w:val="00FD43FF"/>
    <w:rsid w:val="00FD4D91"/>
    <w:rsid w:val="00FD747E"/>
    <w:rsid w:val="00FE1BE8"/>
    <w:rsid w:val="00FE1CF6"/>
    <w:rsid w:val="00FE264A"/>
    <w:rsid w:val="00FE26D1"/>
    <w:rsid w:val="00FE2AF7"/>
    <w:rsid w:val="00FE3F25"/>
    <w:rsid w:val="00FE6502"/>
    <w:rsid w:val="00FE6E28"/>
    <w:rsid w:val="00FF192D"/>
    <w:rsid w:val="00FF2697"/>
    <w:rsid w:val="00FF3776"/>
    <w:rsid w:val="00FF6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68D1F89D"/>
  <w15:docId w15:val="{8282A125-6243-4BA5-8485-632A695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pPr>
      <w:keepNext/>
      <w:numPr>
        <w:numId w:val="1"/>
      </w:numPr>
      <w:spacing w:line="360" w:lineRule="auto"/>
      <w:jc w:val="both"/>
      <w:outlineLvl w:val="0"/>
    </w:pPr>
    <w:rPr>
      <w:b/>
      <w:bCs/>
      <w:sz w:val="36"/>
    </w:rPr>
  </w:style>
  <w:style w:type="paragraph" w:styleId="Nadpis2">
    <w:name w:val="heading 2"/>
    <w:basedOn w:val="Normln"/>
    <w:next w:val="Normln"/>
    <w:qFormat/>
    <w:pPr>
      <w:keepNext/>
      <w:numPr>
        <w:ilvl w:val="1"/>
        <w:numId w:val="1"/>
      </w:numPr>
      <w:spacing w:line="360" w:lineRule="auto"/>
      <w:jc w:val="both"/>
      <w:outlineLvl w:val="1"/>
    </w:pPr>
    <w:rPr>
      <w:b/>
      <w:bCs/>
      <w:sz w:val="32"/>
    </w:rPr>
  </w:style>
  <w:style w:type="paragraph" w:styleId="Nadpis3">
    <w:name w:val="heading 3"/>
    <w:basedOn w:val="Normln"/>
    <w:next w:val="Normln"/>
    <w:qFormat/>
    <w:pPr>
      <w:keepNext/>
      <w:numPr>
        <w:ilvl w:val="2"/>
        <w:numId w:val="1"/>
      </w:numPr>
      <w:spacing w:line="360" w:lineRule="auto"/>
      <w:jc w:val="both"/>
      <w:outlineLvl w:val="2"/>
    </w:pPr>
    <w:rPr>
      <w:b/>
      <w:bCs/>
      <w:i/>
      <w:iCs/>
      <w:sz w:val="32"/>
    </w:rPr>
  </w:style>
  <w:style w:type="paragraph" w:styleId="Nadpis4">
    <w:name w:val="heading 4"/>
    <w:basedOn w:val="Normln"/>
    <w:next w:val="Normln"/>
    <w:qFormat/>
    <w:pPr>
      <w:keepNext/>
      <w:numPr>
        <w:ilvl w:val="3"/>
        <w:numId w:val="1"/>
      </w:numPr>
      <w:jc w:val="both"/>
      <w:outlineLvl w:val="3"/>
    </w:pPr>
    <w:rPr>
      <w:b/>
      <w:bCs/>
      <w:i/>
      <w:iCs/>
      <w:sz w:val="20"/>
    </w:rPr>
  </w:style>
  <w:style w:type="paragraph" w:styleId="Nadpis5">
    <w:name w:val="heading 5"/>
    <w:basedOn w:val="Normln"/>
    <w:next w:val="Normln"/>
    <w:qFormat/>
    <w:pPr>
      <w:keepNext/>
      <w:numPr>
        <w:ilvl w:val="4"/>
        <w:numId w:val="1"/>
      </w:numPr>
      <w:spacing w:line="360" w:lineRule="auto"/>
      <w:jc w:val="both"/>
      <w:outlineLvl w:val="4"/>
    </w:pPr>
    <w:rPr>
      <w:b/>
      <w:bCs/>
    </w:rPr>
  </w:style>
  <w:style w:type="paragraph" w:styleId="Nadpis6">
    <w:name w:val="heading 6"/>
    <w:basedOn w:val="Normln"/>
    <w:next w:val="Normln"/>
    <w:qFormat/>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qFormat/>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qFormat/>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qFormat/>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styleId="Zkladntextodsazen">
    <w:name w:val="Body Text Indent"/>
    <w:basedOn w:val="Normln"/>
    <w:pPr>
      <w:spacing w:line="360" w:lineRule="auto"/>
      <w:ind w:firstLine="360"/>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pPr>
      <w:spacing w:line="360" w:lineRule="auto"/>
      <w:jc w:val="both"/>
    </w:pPr>
  </w:style>
  <w:style w:type="paragraph" w:styleId="Zkladntextodsazen2">
    <w:name w:val="Body Text Indent 2"/>
    <w:basedOn w:val="Normln"/>
    <w:pPr>
      <w:spacing w:line="480" w:lineRule="auto"/>
      <w:ind w:firstLine="708"/>
      <w:jc w:val="both"/>
    </w:pPr>
    <w:rPr>
      <w:color w:val="FF0000"/>
    </w:rPr>
  </w:style>
  <w:style w:type="paragraph" w:styleId="Zkladntext3">
    <w:name w:val="Body Text 3"/>
    <w:basedOn w:val="Normln"/>
    <w:pPr>
      <w:spacing w:line="360" w:lineRule="auto"/>
      <w:jc w:val="both"/>
    </w:pPr>
    <w:rPr>
      <w:rFonts w:cs="Arial"/>
      <w:color w:val="008000"/>
    </w:rPr>
  </w:style>
  <w:style w:type="paragraph" w:styleId="Zkladntextodsazen3">
    <w:name w:val="Body Text Indent 3"/>
    <w:basedOn w:val="Normln"/>
    <w:pPr>
      <w:ind w:left="709"/>
      <w:jc w:val="both"/>
    </w:pPr>
  </w:style>
  <w:style w:type="character" w:styleId="Hypertextovodkaz">
    <w:name w:val="Hyperlink"/>
    <w:rPr>
      <w:color w:val="0000FF"/>
      <w:u w:val="single"/>
    </w:rPr>
  </w:style>
  <w:style w:type="paragraph" w:styleId="Rozloendokumentu">
    <w:name w:val="Document Map"/>
    <w:basedOn w:val="Normln"/>
    <w:semiHidden/>
    <w:rsid w:val="005E6641"/>
    <w:pPr>
      <w:shd w:val="clear" w:color="auto" w:fill="000080"/>
    </w:pPr>
    <w:rPr>
      <w:rFonts w:ascii="Tahoma" w:hAnsi="Tahoma" w:cs="Tahoma"/>
      <w:sz w:val="20"/>
    </w:rPr>
  </w:style>
  <w:style w:type="paragraph" w:styleId="Textbubliny">
    <w:name w:val="Balloon Text"/>
    <w:basedOn w:val="Normln"/>
    <w:link w:val="TextbublinyChar"/>
    <w:uiPriority w:val="99"/>
    <w:semiHidden/>
    <w:rsid w:val="006558D9"/>
    <w:rPr>
      <w:rFonts w:ascii="Tahoma" w:hAnsi="Tahoma" w:cs="Tahoma"/>
      <w:sz w:val="16"/>
      <w:szCs w:val="16"/>
    </w:rPr>
  </w:style>
  <w:style w:type="character" w:customStyle="1" w:styleId="ZpatChar">
    <w:name w:val="Zápatí Char"/>
    <w:link w:val="Zpat"/>
    <w:uiPriority w:val="99"/>
    <w:rsid w:val="008C453A"/>
    <w:rPr>
      <w:rFonts w:ascii="Arial" w:hAnsi="Arial"/>
      <w:sz w:val="24"/>
    </w:rPr>
  </w:style>
  <w:style w:type="character" w:customStyle="1" w:styleId="TextpoznpodarouChar">
    <w:name w:val="Text pozn. pod čarou Char"/>
    <w:link w:val="Textpoznpodarou"/>
    <w:semiHidden/>
    <w:locked/>
    <w:rsid w:val="00D06104"/>
    <w:rPr>
      <w:rFonts w:ascii="Arial" w:hAnsi="Arial"/>
      <w:lang w:val="cs-CZ" w:eastAsia="cs-CZ" w:bidi="ar-SA"/>
    </w:rPr>
  </w:style>
  <w:style w:type="paragraph" w:styleId="Odstavecseseznamem">
    <w:name w:val="List Paragraph"/>
    <w:basedOn w:val="Normln"/>
    <w:uiPriority w:val="34"/>
    <w:qFormat/>
    <w:rsid w:val="003765A0"/>
    <w:pPr>
      <w:ind w:left="708"/>
    </w:pPr>
  </w:style>
  <w:style w:type="character" w:customStyle="1" w:styleId="ZhlavChar">
    <w:name w:val="Záhlaví Char"/>
    <w:link w:val="Zhlav"/>
    <w:uiPriority w:val="99"/>
    <w:rsid w:val="00460545"/>
    <w:rPr>
      <w:rFonts w:ascii="Arial" w:hAnsi="Arial"/>
      <w:sz w:val="24"/>
    </w:rPr>
  </w:style>
  <w:style w:type="character" w:customStyle="1" w:styleId="ZkladntextChar">
    <w:name w:val="Základní text Char"/>
    <w:link w:val="Zkladntext"/>
    <w:rsid w:val="00026922"/>
    <w:rPr>
      <w:rFonts w:ascii="Arial" w:hAnsi="Arial"/>
      <w:sz w:val="24"/>
    </w:rPr>
  </w:style>
  <w:style w:type="paragraph" w:styleId="Nzev">
    <w:name w:val="Title"/>
    <w:basedOn w:val="Normln"/>
    <w:next w:val="Normln"/>
    <w:link w:val="NzevChar"/>
    <w:qFormat/>
    <w:rsid w:val="008C4B41"/>
    <w:pPr>
      <w:spacing w:before="240" w:after="60"/>
      <w:jc w:val="center"/>
      <w:outlineLvl w:val="0"/>
    </w:pPr>
    <w:rPr>
      <w:rFonts w:ascii="Cambria" w:hAnsi="Cambria"/>
      <w:b/>
      <w:bCs/>
      <w:kern w:val="28"/>
      <w:sz w:val="32"/>
      <w:szCs w:val="32"/>
    </w:rPr>
  </w:style>
  <w:style w:type="character" w:customStyle="1" w:styleId="NzevChar">
    <w:name w:val="Název Char"/>
    <w:link w:val="Nzev"/>
    <w:rsid w:val="008C4B41"/>
    <w:rPr>
      <w:rFonts w:ascii="Cambria" w:eastAsia="Times New Roman" w:hAnsi="Cambria" w:cs="Times New Roman"/>
      <w:b/>
      <w:bCs/>
      <w:kern w:val="28"/>
      <w:sz w:val="32"/>
      <w:szCs w:val="32"/>
    </w:rPr>
  </w:style>
  <w:style w:type="paragraph" w:customStyle="1" w:styleId="PBA12">
    <w:name w:val="PB_A12"/>
    <w:basedOn w:val="Normln"/>
    <w:rsid w:val="001931AC"/>
    <w:pPr>
      <w:tabs>
        <w:tab w:val="left" w:pos="709"/>
      </w:tabs>
      <w:spacing w:before="120" w:line="312" w:lineRule="auto"/>
      <w:ind w:right="113" w:firstLine="709"/>
      <w:jc w:val="both"/>
    </w:pPr>
    <w:rPr>
      <w:szCs w:val="24"/>
    </w:rPr>
  </w:style>
  <w:style w:type="character" w:customStyle="1" w:styleId="Nadpis1Char">
    <w:name w:val="Nadpis 1 Char"/>
    <w:basedOn w:val="Standardnpsmoodstavce"/>
    <w:link w:val="Nadpis1"/>
    <w:rsid w:val="002B41D9"/>
    <w:rPr>
      <w:rFonts w:ascii="Arial" w:hAnsi="Arial"/>
      <w:b/>
      <w:bCs/>
      <w:sz w:val="36"/>
    </w:rPr>
  </w:style>
  <w:style w:type="character" w:customStyle="1" w:styleId="TextbublinyChar">
    <w:name w:val="Text bubliny Char"/>
    <w:basedOn w:val="Standardnpsmoodstavce"/>
    <w:link w:val="Textbubliny"/>
    <w:uiPriority w:val="99"/>
    <w:semiHidden/>
    <w:rsid w:val="00637AB1"/>
    <w:rPr>
      <w:rFonts w:ascii="Tahoma" w:hAnsi="Tahoma" w:cs="Tahoma"/>
      <w:sz w:val="16"/>
      <w:szCs w:val="16"/>
    </w:rPr>
  </w:style>
  <w:style w:type="character" w:styleId="Siln">
    <w:name w:val="Strong"/>
    <w:basedOn w:val="Standardnpsmoodstavce"/>
    <w:uiPriority w:val="22"/>
    <w:qFormat/>
    <w:rsid w:val="005860BF"/>
    <w:rPr>
      <w:b/>
      <w:bCs/>
    </w:rPr>
  </w:style>
  <w:style w:type="table" w:styleId="Mkatabulky">
    <w:name w:val="Table Grid"/>
    <w:basedOn w:val="Normlntabulka"/>
    <w:uiPriority w:val="39"/>
    <w:rsid w:val="00557F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161851"/>
    <w:pPr>
      <w:spacing w:before="100" w:beforeAutospacing="1" w:after="100" w:afterAutospacing="1"/>
    </w:pPr>
    <w:rPr>
      <w:rFonts w:ascii="Times New Roman" w:hAnsi="Times New Roman"/>
      <w:szCs w:val="24"/>
    </w:rPr>
  </w:style>
  <w:style w:type="numbering" w:customStyle="1" w:styleId="Bezseznamu1">
    <w:name w:val="Bez seznamu1"/>
    <w:next w:val="Bezseznamu"/>
    <w:uiPriority w:val="99"/>
    <w:semiHidden/>
    <w:unhideWhenUsed/>
    <w:rsid w:val="00621D94"/>
  </w:style>
  <w:style w:type="numbering" w:customStyle="1" w:styleId="Bezseznamu2">
    <w:name w:val="Bez seznamu2"/>
    <w:next w:val="Bezseznamu"/>
    <w:uiPriority w:val="99"/>
    <w:semiHidden/>
    <w:unhideWhenUsed/>
    <w:rsid w:val="00EE6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995">
      <w:bodyDiv w:val="1"/>
      <w:marLeft w:val="0"/>
      <w:marRight w:val="0"/>
      <w:marTop w:val="0"/>
      <w:marBottom w:val="0"/>
      <w:divBdr>
        <w:top w:val="none" w:sz="0" w:space="0" w:color="auto"/>
        <w:left w:val="none" w:sz="0" w:space="0" w:color="auto"/>
        <w:bottom w:val="none" w:sz="0" w:space="0" w:color="auto"/>
        <w:right w:val="none" w:sz="0" w:space="0" w:color="auto"/>
      </w:divBdr>
    </w:div>
    <w:div w:id="63989529">
      <w:bodyDiv w:val="1"/>
      <w:marLeft w:val="0"/>
      <w:marRight w:val="0"/>
      <w:marTop w:val="0"/>
      <w:marBottom w:val="0"/>
      <w:divBdr>
        <w:top w:val="none" w:sz="0" w:space="0" w:color="auto"/>
        <w:left w:val="none" w:sz="0" w:space="0" w:color="auto"/>
        <w:bottom w:val="none" w:sz="0" w:space="0" w:color="auto"/>
        <w:right w:val="none" w:sz="0" w:space="0" w:color="auto"/>
      </w:divBdr>
    </w:div>
    <w:div w:id="535502593">
      <w:bodyDiv w:val="1"/>
      <w:marLeft w:val="0"/>
      <w:marRight w:val="0"/>
      <w:marTop w:val="0"/>
      <w:marBottom w:val="0"/>
      <w:divBdr>
        <w:top w:val="none" w:sz="0" w:space="0" w:color="auto"/>
        <w:left w:val="none" w:sz="0" w:space="0" w:color="auto"/>
        <w:bottom w:val="none" w:sz="0" w:space="0" w:color="auto"/>
        <w:right w:val="none" w:sz="0" w:space="0" w:color="auto"/>
      </w:divBdr>
    </w:div>
    <w:div w:id="536090211">
      <w:bodyDiv w:val="1"/>
      <w:marLeft w:val="0"/>
      <w:marRight w:val="0"/>
      <w:marTop w:val="0"/>
      <w:marBottom w:val="0"/>
      <w:divBdr>
        <w:top w:val="none" w:sz="0" w:space="0" w:color="auto"/>
        <w:left w:val="none" w:sz="0" w:space="0" w:color="auto"/>
        <w:bottom w:val="none" w:sz="0" w:space="0" w:color="auto"/>
        <w:right w:val="none" w:sz="0" w:space="0" w:color="auto"/>
      </w:divBdr>
    </w:div>
    <w:div w:id="558367860">
      <w:bodyDiv w:val="1"/>
      <w:marLeft w:val="0"/>
      <w:marRight w:val="0"/>
      <w:marTop w:val="0"/>
      <w:marBottom w:val="0"/>
      <w:divBdr>
        <w:top w:val="none" w:sz="0" w:space="0" w:color="auto"/>
        <w:left w:val="none" w:sz="0" w:space="0" w:color="auto"/>
        <w:bottom w:val="none" w:sz="0" w:space="0" w:color="auto"/>
        <w:right w:val="none" w:sz="0" w:space="0" w:color="auto"/>
      </w:divBdr>
    </w:div>
    <w:div w:id="1225680360">
      <w:bodyDiv w:val="1"/>
      <w:marLeft w:val="0"/>
      <w:marRight w:val="0"/>
      <w:marTop w:val="0"/>
      <w:marBottom w:val="0"/>
      <w:divBdr>
        <w:top w:val="none" w:sz="0" w:space="0" w:color="auto"/>
        <w:left w:val="none" w:sz="0" w:space="0" w:color="auto"/>
        <w:bottom w:val="none" w:sz="0" w:space="0" w:color="auto"/>
        <w:right w:val="none" w:sz="0" w:space="0" w:color="auto"/>
      </w:divBdr>
    </w:div>
    <w:div w:id="1508208895">
      <w:bodyDiv w:val="1"/>
      <w:marLeft w:val="0"/>
      <w:marRight w:val="0"/>
      <w:marTop w:val="0"/>
      <w:marBottom w:val="0"/>
      <w:divBdr>
        <w:top w:val="none" w:sz="0" w:space="0" w:color="auto"/>
        <w:left w:val="none" w:sz="0" w:space="0" w:color="auto"/>
        <w:bottom w:val="none" w:sz="0" w:space="0" w:color="auto"/>
        <w:right w:val="none" w:sz="0" w:space="0" w:color="auto"/>
      </w:divBdr>
    </w:div>
    <w:div w:id="1645549513">
      <w:bodyDiv w:val="1"/>
      <w:marLeft w:val="0"/>
      <w:marRight w:val="0"/>
      <w:marTop w:val="0"/>
      <w:marBottom w:val="0"/>
      <w:divBdr>
        <w:top w:val="none" w:sz="0" w:space="0" w:color="auto"/>
        <w:left w:val="none" w:sz="0" w:space="0" w:color="auto"/>
        <w:bottom w:val="none" w:sz="0" w:space="0" w:color="auto"/>
        <w:right w:val="none" w:sz="0" w:space="0" w:color="auto"/>
      </w:divBdr>
    </w:div>
    <w:div w:id="19142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E0A-99D9-4968-9D15-43FFDFA2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10244</Words>
  <Characters>54139</Characters>
  <Application>Microsoft Office Word</Application>
  <DocSecurity>0</DocSecurity>
  <Lines>451</Lines>
  <Paragraphs>128</Paragraphs>
  <ScaleCrop>false</ScaleCrop>
  <HeadingPairs>
    <vt:vector size="2" baseType="variant">
      <vt:variant>
        <vt:lpstr>Název</vt:lpstr>
      </vt:variant>
      <vt:variant>
        <vt:i4>1</vt:i4>
      </vt:variant>
    </vt:vector>
  </HeadingPairs>
  <TitlesOfParts>
    <vt:vector size="1" baseType="lpstr">
      <vt:lpstr>II</vt:lpstr>
    </vt:vector>
  </TitlesOfParts>
  <Company>MPSV CR</Company>
  <LinksUpToDate>false</LinksUpToDate>
  <CharactersWithSpaces>64255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MPSV</dc:creator>
  <cp:lastModifiedBy>Blahová Alice Bc. (MPSV)</cp:lastModifiedBy>
  <cp:revision>6</cp:revision>
  <cp:lastPrinted>2022-10-21T07:43:00Z</cp:lastPrinted>
  <dcterms:created xsi:type="dcterms:W3CDTF">2022-10-14T08:13:00Z</dcterms:created>
  <dcterms:modified xsi:type="dcterms:W3CDTF">2022-10-25T05:24:00Z</dcterms:modified>
</cp:coreProperties>
</file>