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7F" w:rsidRPr="00A40EF2" w:rsidRDefault="00BF547D" w:rsidP="00A40EF2">
      <w:pPr>
        <w:pStyle w:val="Zhlav"/>
        <w:framePr w:w="8800" w:h="919" w:wrap="around" w:vAnchor="page" w:hAnchor="page" w:x="2059" w:y="710" w:anchorLock="1"/>
        <w:shd w:val="solid" w:color="FFFFFF" w:fill="auto"/>
        <w:rPr>
          <w:color w:val="808080"/>
          <w:szCs w:val="24"/>
        </w:rPr>
      </w:pPr>
      <w:r>
        <w:rPr>
          <w:b/>
          <w:bCs/>
          <w:color w:val="808080"/>
          <w:szCs w:val="24"/>
        </w:rPr>
        <w:t>d</w:t>
      </w:r>
      <w:r w:rsidR="00A40EF2" w:rsidRPr="00A40EF2">
        <w:rPr>
          <w:b/>
          <w:bCs/>
          <w:color w:val="808080"/>
          <w:szCs w:val="24"/>
        </w:rPr>
        <w:t>oc. JUDr. Petr Hůrka, Ph.D.</w:t>
      </w:r>
    </w:p>
    <w:p w:rsidR="00A40EF2" w:rsidRPr="0052386D" w:rsidRDefault="00A40EF2" w:rsidP="00A40EF2">
      <w:pPr>
        <w:pStyle w:val="Zhlav"/>
        <w:framePr w:w="8800" w:h="919" w:wrap="around" w:vAnchor="page" w:hAnchor="page" w:x="2059" w:y="710" w:anchorLock="1"/>
        <w:shd w:val="solid" w:color="FFFFFF" w:fill="auto"/>
        <w:rPr>
          <w:sz w:val="22"/>
          <w:szCs w:val="22"/>
        </w:rPr>
      </w:pPr>
      <w:r w:rsidRPr="0052386D">
        <w:rPr>
          <w:sz w:val="22"/>
          <w:szCs w:val="22"/>
        </w:rPr>
        <w:t>náměstek pro řízení sekce legislativy</w:t>
      </w:r>
    </w:p>
    <w:p w:rsidR="009C597F" w:rsidRDefault="009C597F">
      <w:pPr>
        <w:pStyle w:val="Zhlav"/>
        <w:tabs>
          <w:tab w:val="clear" w:pos="4536"/>
          <w:tab w:val="clear" w:pos="9072"/>
        </w:tabs>
        <w:sectPr w:rsidR="009C59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851" w:bottom="1418" w:left="2041" w:header="709" w:footer="420" w:gutter="0"/>
          <w:cols w:space="708"/>
        </w:sectPr>
      </w:pPr>
    </w:p>
    <w:p w:rsidR="00430BFA" w:rsidRPr="0047115C" w:rsidRDefault="003519C6" w:rsidP="00430BFA">
      <w:r>
        <w:t xml:space="preserve">                                                      </w:t>
      </w:r>
      <w:r w:rsidR="00454791">
        <w:t xml:space="preserve">                           </w:t>
      </w:r>
      <w:r w:rsidR="007A5F18">
        <w:t xml:space="preserve">   </w:t>
      </w:r>
      <w:r w:rsidR="00430BFA">
        <w:t xml:space="preserve">  V Praze dne</w:t>
      </w:r>
      <w:r w:rsidR="00430BFA">
        <w:softHyphen/>
      </w:r>
      <w:r w:rsidR="00430BFA">
        <w:softHyphen/>
      </w:r>
      <w:r w:rsidR="00430BFA">
        <w:softHyphen/>
      </w:r>
      <w:r w:rsidR="00430BFA">
        <w:softHyphen/>
      </w:r>
      <w:r w:rsidR="00430BFA">
        <w:softHyphen/>
        <w:t xml:space="preserve">          </w:t>
      </w:r>
    </w:p>
    <w:p w:rsidR="00430BFA" w:rsidRDefault="00430BFA" w:rsidP="00430BFA">
      <w:pPr>
        <w:jc w:val="right"/>
      </w:pPr>
      <w:r w:rsidRPr="0047115C">
        <w:t xml:space="preserve">                                             </w:t>
      </w:r>
      <w:r>
        <w:t xml:space="preserve">                      Č. j.: MPSV-2019/42513-522/1</w:t>
      </w:r>
    </w:p>
    <w:p w:rsidR="00430BFA" w:rsidRPr="0047115C" w:rsidRDefault="00430BFA" w:rsidP="00430BFA">
      <w:pPr>
        <w:tabs>
          <w:tab w:val="left" w:pos="5812"/>
        </w:tabs>
        <w:jc w:val="right"/>
      </w:pPr>
    </w:p>
    <w:p w:rsidR="00430BFA" w:rsidRDefault="00430BFA" w:rsidP="00503F2E">
      <w:pPr>
        <w:spacing w:line="360" w:lineRule="auto"/>
      </w:pPr>
      <w:r>
        <w:t>Vážený pane prezidente,</w:t>
      </w:r>
    </w:p>
    <w:p w:rsidR="00430BFA" w:rsidRDefault="00430BFA" w:rsidP="00503F2E">
      <w:pPr>
        <w:spacing w:line="360" w:lineRule="auto"/>
      </w:pPr>
    </w:p>
    <w:p w:rsidR="00430BFA" w:rsidRDefault="00CE19A9" w:rsidP="00503F2E">
      <w:pPr>
        <w:spacing w:line="360" w:lineRule="auto"/>
        <w:jc w:val="both"/>
      </w:pPr>
      <w:r>
        <w:t>dne 31.</w:t>
      </w:r>
      <w:r w:rsidR="003542AC">
        <w:t xml:space="preserve"> </w:t>
      </w:r>
      <w:r>
        <w:t>ledna</w:t>
      </w:r>
      <w:r w:rsidR="00C73D8F">
        <w:t xml:space="preserve"> 2019 jsem Vám dopisem č.</w:t>
      </w:r>
      <w:r w:rsidR="003542AC">
        <w:t xml:space="preserve"> </w:t>
      </w:r>
      <w:r w:rsidR="00C73D8F">
        <w:t xml:space="preserve">j. </w:t>
      </w:r>
      <w:r w:rsidR="00C73D8F" w:rsidRPr="00C73D8F">
        <w:t>MPSV-2019/9108-522/1</w:t>
      </w:r>
      <w:r w:rsidR="00C73D8F">
        <w:t xml:space="preserve"> zaslal stanovisko </w:t>
      </w:r>
      <w:r w:rsidR="00430BFA">
        <w:t>ve věci zvláštního příplatku poskytovaného zdravotnickým pracovníkům a</w:t>
      </w:r>
      <w:r w:rsidR="00C73D8F">
        <w:t> </w:t>
      </w:r>
      <w:r w:rsidR="00430BFA">
        <w:t xml:space="preserve">pracovníkům v sociálních službách v zařízeních sociálních služeb. </w:t>
      </w:r>
      <w:r w:rsidR="00C73D8F">
        <w:t xml:space="preserve">Na základě podnětů z praxe došlo k dalším jednáním příslušných odborných útvarů Ministerstva práce a sociálních věcí s cílem uvedené podněty </w:t>
      </w:r>
      <w:r w:rsidR="005321DF">
        <w:t xml:space="preserve">zohlednit </w:t>
      </w:r>
      <w:r w:rsidR="00C73D8F">
        <w:t>a vymezit pro účely praxe v rámci platné právní úpravy podmínky pro poskytování zvláštního příplatku zaměstnancům v zařízeních sociálních služeb co n</w:t>
      </w:r>
      <w:r w:rsidR="006B079D">
        <w:t>ejpřesněji. Rád bych Vás tímto</w:t>
      </w:r>
      <w:r w:rsidR="00C73D8F">
        <w:t xml:space="preserve"> informoval o rozšíření původního stanoviska s tím, že pro Vaši snazší orientaci je nově doplněný text zvýrazněn.</w:t>
      </w:r>
    </w:p>
    <w:p w:rsidR="00430BFA" w:rsidRDefault="00430BFA" w:rsidP="00503F2E">
      <w:pPr>
        <w:spacing w:line="360" w:lineRule="auto"/>
        <w:jc w:val="both"/>
      </w:pPr>
    </w:p>
    <w:p w:rsidR="00430BFA" w:rsidRDefault="00C73D8F" w:rsidP="00503F2E">
      <w:pPr>
        <w:spacing w:line="360" w:lineRule="auto"/>
        <w:jc w:val="both"/>
      </w:pPr>
      <w:r>
        <w:t>K podmínkám pro poskytování zv</w:t>
      </w:r>
      <w:r w:rsidR="006B079D">
        <w:t>láštního příplatku podle bodu 8</w:t>
      </w:r>
      <w:r w:rsidRPr="006A69FD">
        <w:t xml:space="preserve"> ve III. skupině v příloze č. 6 k</w:t>
      </w:r>
      <w:r>
        <w:t> nařízení vlády č. 341/2017 Sb.</w:t>
      </w:r>
      <w:r w:rsidRPr="006A69FD">
        <w:t xml:space="preserve"> </w:t>
      </w:r>
      <w:r w:rsidR="00430BFA" w:rsidRPr="006A69FD">
        <w:t>zdravotnickým pracovníkům</w:t>
      </w:r>
      <w:r w:rsidR="00430BFA">
        <w:t xml:space="preserve"> vykonávajícím nelékařská zdravotnická povolání</w:t>
      </w:r>
      <w:r w:rsidR="00430BFA" w:rsidRPr="006A69FD">
        <w:t xml:space="preserve"> </w:t>
      </w:r>
      <w:r w:rsidR="00430BFA">
        <w:t xml:space="preserve">bez odborného dohledu </w:t>
      </w:r>
      <w:r w:rsidR="00430BFA" w:rsidRPr="006A69FD">
        <w:t>v pobytových zařízení</w:t>
      </w:r>
      <w:r w:rsidR="00430BFA">
        <w:t>ch</w:t>
      </w:r>
      <w:r w:rsidR="00430BFA" w:rsidRPr="006A69FD">
        <w:t xml:space="preserve"> sociálních služeb</w:t>
      </w:r>
      <w:r>
        <w:t>:</w:t>
      </w:r>
      <w:r w:rsidR="00430BFA">
        <w:t xml:space="preserve"> </w:t>
      </w:r>
    </w:p>
    <w:p w:rsidR="00663310" w:rsidRDefault="00663310" w:rsidP="00503F2E">
      <w:pPr>
        <w:spacing w:line="360" w:lineRule="auto"/>
        <w:jc w:val="both"/>
      </w:pPr>
    </w:p>
    <w:p w:rsidR="00663310" w:rsidRPr="00663310" w:rsidRDefault="00663310" w:rsidP="00503F2E">
      <w:pPr>
        <w:spacing w:line="360" w:lineRule="auto"/>
        <w:jc w:val="both"/>
        <w:rPr>
          <w:b/>
        </w:rPr>
      </w:pPr>
      <w:r w:rsidRPr="00BC313D">
        <w:t xml:space="preserve">O pravidelné poskytování zdravotních služeb se pro účely zvláštního příplatku jedná v případě, že poskytování zdravotních služeb za stanovených podmínek předem vyplývá z každého týdenního rozvrhu pracovní doby (§ 84 zákoníku práce), to znamená, že v rámci pracovního týdne k němu vždy dojde nejméně jedenkrát. </w:t>
      </w:r>
      <w:r w:rsidRPr="00663310">
        <w:rPr>
          <w:b/>
        </w:rPr>
        <w:t>Za pravidelné působení ztěžujícího vlivu je třeba považovat i případy, kdy dochází ke střídání směn v rámci týdenních cyklů a zaměstnanec v jednom týdnu např. denně pracuje za stanovených podmínek a ve druhém týdnu pracuje ve směnách, ve kterých práci od 16 hodin do 7 hodin následujícího dne</w:t>
      </w:r>
      <w:r w:rsidR="006B079D">
        <w:rPr>
          <w:b/>
        </w:rPr>
        <w:t xml:space="preserve"> vůbec</w:t>
      </w:r>
      <w:r w:rsidRPr="00663310">
        <w:rPr>
          <w:b/>
        </w:rPr>
        <w:t xml:space="preserve"> nekoná. Pokud</w:t>
      </w:r>
      <w:r w:rsidR="006B079D">
        <w:rPr>
          <w:b/>
        </w:rPr>
        <w:t xml:space="preserve"> však</w:t>
      </w:r>
      <w:r w:rsidRPr="00663310">
        <w:rPr>
          <w:b/>
        </w:rPr>
        <w:t xml:space="preserve"> k výkonu práce spojené s působením ztěžujících vlivů dochází </w:t>
      </w:r>
      <w:r w:rsidR="006B079D">
        <w:rPr>
          <w:b/>
        </w:rPr>
        <w:t xml:space="preserve">pouze výjimečně nebo nahodile, nelze to </w:t>
      </w:r>
      <w:r w:rsidRPr="00663310">
        <w:rPr>
          <w:b/>
        </w:rPr>
        <w:t>posoudit na základě   průměru za určité období jako pravidelné splnění podmínek pro poskytování zvláštního příplatku. Pro účely tohoto výkladu</w:t>
      </w:r>
      <w:r w:rsidR="006B079D">
        <w:rPr>
          <w:b/>
        </w:rPr>
        <w:t xml:space="preserve"> přitom</w:t>
      </w:r>
      <w:r w:rsidRPr="00663310">
        <w:rPr>
          <w:b/>
        </w:rPr>
        <w:t xml:space="preserve"> není relevantní, zda zaměstnanec pracuje v rovnoměrně nebo nerovnoměrně rozvrhované pracovní době.</w:t>
      </w:r>
    </w:p>
    <w:p w:rsidR="00663310" w:rsidRPr="00663310" w:rsidRDefault="00663310" w:rsidP="00663310">
      <w:pPr>
        <w:spacing w:line="360" w:lineRule="auto"/>
        <w:jc w:val="both"/>
        <w:rPr>
          <w:b/>
        </w:rPr>
      </w:pPr>
    </w:p>
    <w:p w:rsidR="00663310" w:rsidRPr="00663310" w:rsidRDefault="00251690" w:rsidP="00663310">
      <w:pPr>
        <w:spacing w:line="360" w:lineRule="auto"/>
        <w:jc w:val="both"/>
        <w:rPr>
          <w:b/>
        </w:rPr>
      </w:pPr>
      <w:r>
        <w:rPr>
          <w:b/>
        </w:rPr>
        <w:t>Skutečnost, že dojde k p</w:t>
      </w:r>
      <w:r w:rsidR="00663310" w:rsidRPr="00663310">
        <w:rPr>
          <w:b/>
        </w:rPr>
        <w:t>oskytování zdravotních služeb za stanovených</w:t>
      </w:r>
      <w:r>
        <w:rPr>
          <w:b/>
        </w:rPr>
        <w:t xml:space="preserve"> podmínek, musí být předem zřejmá</w:t>
      </w:r>
      <w:r w:rsidR="00663310" w:rsidRPr="00663310">
        <w:rPr>
          <w:b/>
        </w:rPr>
        <w:t>. Zvláštní příplatek je pr</w:t>
      </w:r>
      <w:r>
        <w:rPr>
          <w:b/>
        </w:rPr>
        <w:t>avidelnou</w:t>
      </w:r>
      <w:r w:rsidR="00663310" w:rsidRPr="00663310">
        <w:rPr>
          <w:b/>
        </w:rPr>
        <w:t xml:space="preserve"> složkou platu, proto je jeho poskytování podmíněno tím, že z druhu práce sjednaného se zaměstnancem, provozního režimu, počtu zaměstnanců a konkrétních podmínek rozvrhování práce u zaměstnavatele předem vyplývá naplnění podmínek pro vznik práva na zvláštní příplatek. Vznik práva na žádnou z pravidelně poskytovaných složek platu, tedy ani na zvláštní příplatek, nelze podle platné právní úpravy posuzovat za určité časové období zpětně na základě zjištění, zda byly v tomto období podmínky pro jeho poskytování naplněny.</w:t>
      </w:r>
    </w:p>
    <w:p w:rsidR="00663310" w:rsidRDefault="00663310" w:rsidP="00C73D8F">
      <w:pPr>
        <w:spacing w:line="360" w:lineRule="auto"/>
        <w:jc w:val="both"/>
      </w:pPr>
    </w:p>
    <w:p w:rsidR="00430BFA" w:rsidRDefault="009B531E" w:rsidP="00430BFA">
      <w:pPr>
        <w:spacing w:line="360" w:lineRule="auto"/>
        <w:jc w:val="both"/>
      </w:pPr>
      <w:r>
        <w:t>K podmínkám pro poskytování zvláštního příplatku podle bodu 6.3. ve IV</w:t>
      </w:r>
      <w:r w:rsidRPr="006A69FD">
        <w:t>. skupině v příloze č. 6 k</w:t>
      </w:r>
      <w:r>
        <w:t xml:space="preserve"> nařízení vlády č. 341/2017 Sb. </w:t>
      </w:r>
      <w:r w:rsidR="00430BFA">
        <w:t xml:space="preserve">za soustavné poskytování </w:t>
      </w:r>
      <w:r w:rsidR="00430BFA" w:rsidRPr="001D0258">
        <w:t xml:space="preserve">přímé zdravotní nebo přímé </w:t>
      </w:r>
      <w:r w:rsidR="00430BFA">
        <w:t>obslužné péče</w:t>
      </w:r>
      <w:r>
        <w:t>:</w:t>
      </w:r>
    </w:p>
    <w:p w:rsidR="009B531E" w:rsidRDefault="009B531E" w:rsidP="00430BFA">
      <w:pPr>
        <w:pStyle w:val="Zhlav"/>
        <w:tabs>
          <w:tab w:val="left" w:pos="708"/>
        </w:tabs>
        <w:spacing w:line="360" w:lineRule="auto"/>
        <w:jc w:val="both"/>
        <w:rPr>
          <w:szCs w:val="24"/>
        </w:rPr>
      </w:pPr>
    </w:p>
    <w:p w:rsidR="00430BFA" w:rsidRPr="009B531E" w:rsidRDefault="009B531E" w:rsidP="006B079D">
      <w:pPr>
        <w:pStyle w:val="Zhlav"/>
        <w:tabs>
          <w:tab w:val="left" w:pos="708"/>
        </w:tabs>
        <w:spacing w:line="360" w:lineRule="auto"/>
        <w:jc w:val="both"/>
        <w:rPr>
          <w:szCs w:val="24"/>
        </w:rPr>
      </w:pPr>
      <w:r w:rsidRPr="009B531E">
        <w:rPr>
          <w:szCs w:val="24"/>
        </w:rPr>
        <w:t>T</w:t>
      </w:r>
      <w:r w:rsidR="00430BFA" w:rsidRPr="009B531E">
        <w:rPr>
          <w:szCs w:val="24"/>
        </w:rPr>
        <w:t>itul pro poskytování zvláštního příplatku stanovený aktuálně v příloze č. 6 k nařízení vlády č. 341/2017 Sb. ve IV. sku</w:t>
      </w:r>
      <w:r w:rsidR="006B079D">
        <w:rPr>
          <w:szCs w:val="24"/>
        </w:rPr>
        <w:t xml:space="preserve">pině prací v bodu 6 </w:t>
      </w:r>
      <w:r w:rsidR="00430BFA" w:rsidRPr="009B531E">
        <w:rPr>
          <w:szCs w:val="24"/>
        </w:rPr>
        <w:t> vymezuje podmínky pro poskytování zvláštního příplatku ve třech samostatných případech, přičemž body 6.1. a 6.2. byly  koncipovány pro ocenění ztěžujících vlivů spojených s</w:t>
      </w:r>
      <w:r w:rsidR="005321DF">
        <w:rPr>
          <w:szCs w:val="24"/>
        </w:rPr>
        <w:t> </w:t>
      </w:r>
      <w:r w:rsidR="00430BFA" w:rsidRPr="009B531E">
        <w:rPr>
          <w:szCs w:val="24"/>
        </w:rPr>
        <w:t>výkonem prací u poskytovatelů zdravotních služeb. Pro správné určení okruhu zaměstnanců, kterým přísluší zvláštní příplatek za práce uvedené ve  IV. skupině prací v bodu 6.3. je třeba v jednotlivých případech zkoumat, zda zaměstnanec plní následující podmínky:</w:t>
      </w:r>
    </w:p>
    <w:p w:rsidR="00430BFA" w:rsidRPr="009B531E" w:rsidRDefault="00430BFA" w:rsidP="00430B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szCs w:val="24"/>
        </w:rPr>
      </w:pPr>
      <w:r w:rsidRPr="009B531E">
        <w:rPr>
          <w:szCs w:val="24"/>
        </w:rPr>
        <w:t>poskytuje přímou obslužnou péči podle § 116 odst. 1 písm. a) zákona č.  108/2006 Sb., o sociálních službách, ve znění pozdějších předpisů, nebo poskytuje</w:t>
      </w:r>
      <w:r w:rsidR="006B079D">
        <w:rPr>
          <w:szCs w:val="24"/>
        </w:rPr>
        <w:t xml:space="preserve"> přímou</w:t>
      </w:r>
      <w:r w:rsidRPr="009B531E">
        <w:rPr>
          <w:szCs w:val="24"/>
        </w:rPr>
        <w:t xml:space="preserve"> zdravotní péči, jejíž druhy a formy stanoví zákon č.</w:t>
      </w:r>
      <w:r w:rsidR="00152328">
        <w:rPr>
          <w:szCs w:val="24"/>
        </w:rPr>
        <w:t> </w:t>
      </w:r>
      <w:r w:rsidRPr="009B531E">
        <w:rPr>
          <w:szCs w:val="24"/>
        </w:rPr>
        <w:t xml:space="preserve"> 372/2011 Sb., o zdravotních službách, a podmínkách jejich poskytování (zákon o zdravotních službách), ve znění pozdějších předpisů, osobám s</w:t>
      </w:r>
      <w:r w:rsidR="00152328">
        <w:rPr>
          <w:szCs w:val="24"/>
        </w:rPr>
        <w:t> </w:t>
      </w:r>
      <w:r w:rsidRPr="009B531E">
        <w:rPr>
          <w:szCs w:val="24"/>
        </w:rPr>
        <w:t xml:space="preserve"> tělesným nebo mentálním postižením,</w:t>
      </w:r>
    </w:p>
    <w:p w:rsidR="00430BFA" w:rsidRPr="009B531E" w:rsidRDefault="00430BFA" w:rsidP="00503F2E">
      <w:pPr>
        <w:numPr>
          <w:ilvl w:val="0"/>
          <w:numId w:val="1"/>
        </w:numPr>
        <w:spacing w:line="360" w:lineRule="auto"/>
        <w:ind w:left="720"/>
        <w:jc w:val="both"/>
        <w:rPr>
          <w:szCs w:val="24"/>
        </w:rPr>
      </w:pPr>
      <w:r w:rsidRPr="009B531E">
        <w:rPr>
          <w:szCs w:val="24"/>
        </w:rPr>
        <w:t>přímou zdravotní nebo</w:t>
      </w:r>
      <w:r w:rsidR="006B079D">
        <w:rPr>
          <w:szCs w:val="24"/>
        </w:rPr>
        <w:t xml:space="preserve"> přímou</w:t>
      </w:r>
      <w:r w:rsidRPr="009B531E">
        <w:rPr>
          <w:szCs w:val="24"/>
        </w:rPr>
        <w:t xml:space="preserve"> obslužnou péči poskytuje soustavně, to znamená, že na základě druhu práce sjednaného v pracovní smlouvě je na něm zaměstnavatelem trvale požadován faktický výkon prací, které lze na </w:t>
      </w:r>
      <w:r w:rsidRPr="009B531E">
        <w:rPr>
          <w:szCs w:val="24"/>
        </w:rPr>
        <w:lastRenderedPageBreak/>
        <w:t>základě výše uvedeného vymezení zahrnout pod přímou obslužnou nebo zdravotní péči,</w:t>
      </w:r>
    </w:p>
    <w:p w:rsidR="00430BFA" w:rsidRPr="009B531E" w:rsidRDefault="00430BFA" w:rsidP="00503F2E">
      <w:pPr>
        <w:numPr>
          <w:ilvl w:val="0"/>
          <w:numId w:val="1"/>
        </w:numPr>
        <w:spacing w:line="360" w:lineRule="auto"/>
        <w:ind w:left="720"/>
        <w:jc w:val="both"/>
        <w:rPr>
          <w:szCs w:val="24"/>
        </w:rPr>
      </w:pPr>
      <w:r w:rsidRPr="009B531E">
        <w:rPr>
          <w:szCs w:val="24"/>
        </w:rPr>
        <w:t>výše uvedené činnosti vykonává v některém ze  zařízení sociálních služeb, jejichž taxativní výčet stanoví § 34 odst. 1 zákona o sociálních službách.</w:t>
      </w:r>
    </w:p>
    <w:p w:rsidR="00430BFA" w:rsidRPr="009B531E" w:rsidRDefault="00430BFA" w:rsidP="00503F2E">
      <w:pPr>
        <w:spacing w:line="360" w:lineRule="auto"/>
        <w:ind w:firstLine="360"/>
        <w:jc w:val="both"/>
        <w:rPr>
          <w:szCs w:val="24"/>
        </w:rPr>
      </w:pPr>
    </w:p>
    <w:p w:rsidR="00430BFA" w:rsidRPr="009B531E" w:rsidRDefault="00430BFA" w:rsidP="00503F2E">
      <w:pPr>
        <w:spacing w:line="360" w:lineRule="auto"/>
        <w:jc w:val="both"/>
        <w:rPr>
          <w:szCs w:val="24"/>
        </w:rPr>
      </w:pPr>
      <w:r w:rsidRPr="009B531E">
        <w:rPr>
          <w:szCs w:val="24"/>
        </w:rPr>
        <w:t>Všechny uvedené podmínky musí být splněny zároveň. Zvláštní příplatek proto nepřísluší zaměstnanci, který koná uvedené činnosti ojediněle nebo nahodile (např. při zastupování jiného zaměstnance), nebo je nevykonává v zařízení sociálních služeb (např. při poskytování péče v bytech klientů). Zvláštní příplatek nepřísluší zaměstnancům, kteří poskytují přímou zdravotní nebo obslužnou péči osobám s tělesným nebo mentálním postižením výjimečně, popř. pouze jednotlivým osobám v rámci širší skupiny klientů zařízení sociálních služeb.</w:t>
      </w:r>
    </w:p>
    <w:p w:rsidR="00430BFA" w:rsidRPr="009B531E" w:rsidRDefault="00430BFA" w:rsidP="00503F2E">
      <w:pPr>
        <w:spacing w:line="360" w:lineRule="auto"/>
        <w:jc w:val="both"/>
        <w:rPr>
          <w:szCs w:val="24"/>
        </w:rPr>
      </w:pPr>
    </w:p>
    <w:p w:rsidR="009B531E" w:rsidRPr="009B531E" w:rsidRDefault="009B531E" w:rsidP="00503F2E">
      <w:pPr>
        <w:spacing w:line="360" w:lineRule="auto"/>
        <w:jc w:val="both"/>
        <w:rPr>
          <w:b/>
          <w:szCs w:val="24"/>
        </w:rPr>
      </w:pPr>
      <w:r w:rsidRPr="009B531E">
        <w:rPr>
          <w:szCs w:val="24"/>
        </w:rPr>
        <w:t>Z hlediska zaměření jednotlivých zařízení sociálních služeb a v souladu s účelem, pro který jsou zřizována, jsou výše uvedené podmínky splněny v zařízeních sociálních služeb uvedených</w:t>
      </w:r>
      <w:r w:rsidR="006B079D">
        <w:rPr>
          <w:szCs w:val="24"/>
        </w:rPr>
        <w:t xml:space="preserve"> v</w:t>
      </w:r>
      <w:r w:rsidRPr="009B531E">
        <w:rPr>
          <w:szCs w:val="24"/>
        </w:rPr>
        <w:t xml:space="preserve"> § 34 písm. d) a f) zákona o sociálních službách, tj. v</w:t>
      </w:r>
      <w:r w:rsidR="005321DF">
        <w:rPr>
          <w:szCs w:val="24"/>
        </w:rPr>
        <w:t> </w:t>
      </w:r>
      <w:r w:rsidRPr="009B531E">
        <w:rPr>
          <w:szCs w:val="24"/>
        </w:rPr>
        <w:t xml:space="preserve">domovech pro osoby se zdravotním postižením a v domovech se zvláštním režimem. </w:t>
      </w:r>
      <w:r w:rsidRPr="009B531E">
        <w:rPr>
          <w:b/>
          <w:szCs w:val="24"/>
        </w:rPr>
        <w:t>Podle konkrétních okolností však mohou být stanovené podmínky splněny také v zařízeních sociálních služeb uvedených v § 34 písm. a), b), c), e) a g) zákona o sociálních službách.</w:t>
      </w:r>
    </w:p>
    <w:p w:rsidR="005321DF" w:rsidRDefault="005321DF" w:rsidP="00503F2E">
      <w:pPr>
        <w:spacing w:line="360" w:lineRule="auto"/>
        <w:jc w:val="both"/>
        <w:rPr>
          <w:szCs w:val="24"/>
        </w:rPr>
      </w:pPr>
    </w:p>
    <w:p w:rsidR="009B531E" w:rsidRPr="009B531E" w:rsidRDefault="009B531E" w:rsidP="00503F2E">
      <w:pPr>
        <w:spacing w:line="360" w:lineRule="auto"/>
        <w:jc w:val="both"/>
        <w:rPr>
          <w:szCs w:val="24"/>
        </w:rPr>
      </w:pPr>
      <w:r w:rsidRPr="009B531E">
        <w:rPr>
          <w:szCs w:val="24"/>
        </w:rPr>
        <w:t xml:space="preserve">Pokud jde o domovy </w:t>
      </w:r>
      <w:r w:rsidR="006B079D">
        <w:rPr>
          <w:szCs w:val="24"/>
        </w:rPr>
        <w:t xml:space="preserve">pro seniory, je nutné ve smyslu </w:t>
      </w:r>
      <w:r w:rsidRPr="009B531E">
        <w:rPr>
          <w:szCs w:val="24"/>
        </w:rPr>
        <w:t xml:space="preserve"> § 2, § 47, § 49, § 50, § 91 odst. 3 a § </w:t>
      </w:r>
      <w:r w:rsidR="006B079D">
        <w:rPr>
          <w:szCs w:val="24"/>
        </w:rPr>
        <w:t>99 zákona o sociálních službách</w:t>
      </w:r>
      <w:r w:rsidRPr="009B531E">
        <w:rPr>
          <w:szCs w:val="24"/>
        </w:rPr>
        <w:t xml:space="preserve"> vycházet z principu subsidiarity, což znamená, že v pobytových zařízeních sociálních služeb nemůže být uživatel, kterému není možné poskytnout sociální službu v jeho přirozeném prostředí. Z toho lze dovodit, že ve výše uvedených zařízeních jsou osoby, které potřebují intenzivní a soustavnou přímou obslužnou péči, která není nahodilá, a osob s touto potřebou je v těchto zařízeních většina.</w:t>
      </w:r>
    </w:p>
    <w:p w:rsidR="005321DF" w:rsidRDefault="005321DF" w:rsidP="00503F2E">
      <w:pPr>
        <w:spacing w:line="360" w:lineRule="auto"/>
        <w:jc w:val="both"/>
        <w:rPr>
          <w:szCs w:val="24"/>
        </w:rPr>
      </w:pPr>
    </w:p>
    <w:p w:rsidR="009B531E" w:rsidRDefault="009B531E" w:rsidP="00503F2E">
      <w:pPr>
        <w:spacing w:line="360" w:lineRule="auto"/>
        <w:jc w:val="both"/>
        <w:rPr>
          <w:b/>
          <w:szCs w:val="24"/>
        </w:rPr>
      </w:pPr>
      <w:r w:rsidRPr="009B531E">
        <w:rPr>
          <w:szCs w:val="24"/>
        </w:rPr>
        <w:t xml:space="preserve">Přesto není možné toto vymezení generalizovat a jednoznačně stanovit, že jsou podmínky pro zvláštní příplatek splněny u všech registrovaných služeb tohoto typu. Je důležité, aby management, popř. zřizovatel, posoudil v jednotlivých případech </w:t>
      </w:r>
      <w:r w:rsidRPr="009B531E">
        <w:rPr>
          <w:szCs w:val="24"/>
        </w:rPr>
        <w:lastRenderedPageBreak/>
        <w:t>podle konkrétních podmínek, zda klienti v zařízeních opravdu splňují potřebu soustavné</w:t>
      </w:r>
      <w:r w:rsidR="006B079D">
        <w:rPr>
          <w:szCs w:val="24"/>
        </w:rPr>
        <w:t xml:space="preserve"> přímé</w:t>
      </w:r>
      <w:r w:rsidRPr="009B531E">
        <w:rPr>
          <w:szCs w:val="24"/>
        </w:rPr>
        <w:t xml:space="preserve"> obslužné péče, a na základě tohoto rozhodl o poskytování a o výši zvláštního příplatku v rámci stanoveného rozpětí. Z důvodu historického </w:t>
      </w:r>
      <w:r w:rsidR="006B079D">
        <w:rPr>
          <w:szCs w:val="24"/>
        </w:rPr>
        <w:t xml:space="preserve">vývoje a jiných okolností jsou </w:t>
      </w:r>
      <w:r w:rsidRPr="009B531E">
        <w:rPr>
          <w:szCs w:val="24"/>
        </w:rPr>
        <w:t>v tuto chvíli ve výše zmíněných zařízeních, primárně v domovech pro seniory, i osoby, které tyto podmínky nesplňují.</w:t>
      </w:r>
      <w:r w:rsidR="005321DF">
        <w:rPr>
          <w:szCs w:val="24"/>
        </w:rPr>
        <w:t xml:space="preserve"> </w:t>
      </w:r>
      <w:r w:rsidRPr="00705B37">
        <w:rPr>
          <w:b/>
          <w:szCs w:val="24"/>
        </w:rPr>
        <w:t>Případ od případu je třeba posoudit plnění podmínek stanovených pro vznik práva na zvláštní příplatek také v centrech denních služeb, denních a týdenních stacionářích a</w:t>
      </w:r>
      <w:r>
        <w:rPr>
          <w:b/>
          <w:szCs w:val="24"/>
        </w:rPr>
        <w:t> </w:t>
      </w:r>
      <w:r w:rsidRPr="00705B37">
        <w:rPr>
          <w:b/>
          <w:szCs w:val="24"/>
        </w:rPr>
        <w:t xml:space="preserve">chráněném bydlení. </w:t>
      </w:r>
    </w:p>
    <w:p w:rsidR="00430BFA" w:rsidRDefault="00430BFA" w:rsidP="00503F2E">
      <w:pPr>
        <w:spacing w:line="360" w:lineRule="auto"/>
        <w:jc w:val="both"/>
        <w:rPr>
          <w:szCs w:val="24"/>
        </w:rPr>
      </w:pPr>
    </w:p>
    <w:p w:rsidR="00430BFA" w:rsidRDefault="00430BFA" w:rsidP="00503F2E">
      <w:pPr>
        <w:spacing w:line="360" w:lineRule="auto"/>
        <w:jc w:val="both"/>
      </w:pPr>
      <w:r>
        <w:t>S pozdravem</w:t>
      </w:r>
      <w:bookmarkStart w:id="0" w:name="_GoBack"/>
      <w:bookmarkEnd w:id="0"/>
    </w:p>
    <w:sectPr w:rsidR="00430BFA">
      <w:type w:val="continuous"/>
      <w:pgSz w:w="11906" w:h="16838" w:code="9"/>
      <w:pgMar w:top="1701" w:right="851" w:bottom="1418" w:left="2041" w:header="709" w:footer="4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A4" w:rsidRDefault="00DC3BA4">
      <w:r>
        <w:separator/>
      </w:r>
    </w:p>
  </w:endnote>
  <w:endnote w:type="continuationSeparator" w:id="0">
    <w:p w:rsidR="00DC3BA4" w:rsidRDefault="00D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0" w:rsidRDefault="007B67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10" w:rsidRPr="00DD040F" w:rsidRDefault="00663310" w:rsidP="00DD040F">
    <w:pPr>
      <w:pStyle w:val="Zpat"/>
      <w:rPr>
        <w:color w:val="808080"/>
        <w:sz w:val="20"/>
      </w:rPr>
    </w:pPr>
    <w:r w:rsidRPr="00DD040F">
      <w:rPr>
        <w:color w:val="808080"/>
        <w:sz w:val="20"/>
      </w:rPr>
      <w:t>Ministerstvo práce a sociálních věcí</w:t>
    </w:r>
    <w:r>
      <w:rPr>
        <w:color w:val="808080"/>
        <w:sz w:val="20"/>
      </w:rPr>
      <w:ptab w:relativeTo="margin" w:alignment="center" w:leader="none"/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 \* Arabic  \* MERGEFORMAT </w:instrText>
    </w:r>
    <w:r>
      <w:rPr>
        <w:color w:val="808080"/>
        <w:sz w:val="20"/>
      </w:rPr>
      <w:fldChar w:fldCharType="separate"/>
    </w:r>
    <w:r w:rsidR="007B6710">
      <w:rPr>
        <w:noProof/>
        <w:color w:val="808080"/>
        <w:sz w:val="20"/>
      </w:rPr>
      <w:t>1</w:t>
    </w:r>
    <w:r>
      <w:rPr>
        <w:color w:val="808080"/>
        <w:sz w:val="20"/>
      </w:rPr>
      <w:fldChar w:fldCharType="end"/>
    </w:r>
  </w:p>
  <w:p w:rsidR="00663310" w:rsidRPr="00DD040F" w:rsidRDefault="00663310" w:rsidP="00DD040F">
    <w:pPr>
      <w:pStyle w:val="Zpat"/>
      <w:rPr>
        <w:color w:val="808080"/>
        <w:sz w:val="20"/>
      </w:rPr>
    </w:pPr>
    <w:r>
      <w:rPr>
        <w:color w:val="808080"/>
        <w:sz w:val="20"/>
      </w:rPr>
      <w:t>Na Poříčním právu 1/376, 128 00  Praha 2</w:t>
    </w:r>
  </w:p>
  <w:p w:rsidR="00663310" w:rsidRPr="00DD040F" w:rsidRDefault="00663310" w:rsidP="00DD040F">
    <w:pPr>
      <w:pStyle w:val="Zpat"/>
      <w:rPr>
        <w:color w:val="808080"/>
        <w:sz w:val="20"/>
      </w:rPr>
    </w:pPr>
    <w:r w:rsidRPr="00DD040F">
      <w:rPr>
        <w:color w:val="808080"/>
        <w:sz w:val="20"/>
      </w:rPr>
      <w:t xml:space="preserve">tel.: </w:t>
    </w:r>
    <w:r>
      <w:rPr>
        <w:color w:val="808080"/>
        <w:sz w:val="20"/>
      </w:rPr>
      <w:t>+420 221 922 </w:t>
    </w:r>
    <w:proofErr w:type="gramStart"/>
    <w:r>
      <w:rPr>
        <w:color w:val="808080"/>
        <w:sz w:val="20"/>
      </w:rPr>
      <w:t xml:space="preserve">551, </w:t>
    </w:r>
    <w:r w:rsidRPr="00DD040F">
      <w:rPr>
        <w:color w:val="808080"/>
        <w:sz w:val="20"/>
      </w:rPr>
      <w:t xml:space="preserve"> </w:t>
    </w:r>
    <w:r>
      <w:rPr>
        <w:rFonts w:ascii="ArialMT" w:hAnsi="ArialMT" w:cs="ArialMT"/>
        <w:bCs/>
        <w:color w:val="808080"/>
        <w:sz w:val="20"/>
        <w:lang w:val="en-US"/>
      </w:rPr>
      <w:t>ISDS</w:t>
    </w:r>
    <w:proofErr w:type="gramEnd"/>
    <w:r>
      <w:rPr>
        <w:rFonts w:ascii="ArialMT" w:hAnsi="ArialMT" w:cs="ArialMT"/>
        <w:bCs/>
        <w:color w:val="808080"/>
        <w:sz w:val="20"/>
        <w:lang w:val="en-US"/>
      </w:rPr>
      <w:t xml:space="preserve">: </w:t>
    </w:r>
    <w:r w:rsidRPr="007B6710">
      <w:rPr>
        <w:bCs/>
        <w:color w:val="808080"/>
        <w:sz w:val="20"/>
        <w:lang w:val="en-US"/>
      </w:rPr>
      <w:t>sc9aavg</w:t>
    </w:r>
  </w:p>
  <w:p w:rsidR="00663310" w:rsidRPr="00DD040F" w:rsidRDefault="00663310" w:rsidP="00DD040F">
    <w:pPr>
      <w:pStyle w:val="Zpat"/>
      <w:rPr>
        <w:color w:val="808080"/>
        <w:sz w:val="20"/>
        <w:lang w:val="en-US"/>
      </w:rPr>
    </w:pPr>
    <w:r w:rsidRPr="00DD040F">
      <w:rPr>
        <w:color w:val="808080"/>
        <w:sz w:val="20"/>
      </w:rPr>
      <w:t xml:space="preserve">e-mail: </w:t>
    </w:r>
    <w:hyperlink r:id="rId1" w:history="1">
      <w:r w:rsidRPr="0097248C">
        <w:rPr>
          <w:rStyle w:val="Hypertextovodkaz"/>
          <w:sz w:val="20"/>
        </w:rPr>
        <w:t>petr.hurka</w:t>
      </w:r>
      <w:r w:rsidRPr="0097248C">
        <w:rPr>
          <w:rStyle w:val="Hypertextovodkaz"/>
          <w:sz w:val="20"/>
          <w:lang w:val="en-US"/>
        </w:rPr>
        <w:t>@mpsv.cz</w:t>
      </w:r>
    </w:hyperlink>
    <w:r w:rsidRPr="00DD040F">
      <w:rPr>
        <w:color w:val="808080"/>
        <w:sz w:val="20"/>
      </w:rPr>
      <w:t>,  </w:t>
    </w:r>
    <w:hyperlink r:id="rId2" w:history="1">
      <w:r w:rsidRPr="00DD040F">
        <w:rPr>
          <w:rStyle w:val="Hypertextovodkaz"/>
          <w:sz w:val="20"/>
          <w:lang w:val="en-US"/>
        </w:rPr>
        <w:t>www.mpsv.cz</w:t>
      </w:r>
    </w:hyperlink>
  </w:p>
  <w:p w:rsidR="00663310" w:rsidRPr="00DD040F" w:rsidRDefault="00663310" w:rsidP="00DD04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0" w:rsidRDefault="007B6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A4" w:rsidRDefault="00DC3BA4">
      <w:r>
        <w:separator/>
      </w:r>
    </w:p>
  </w:footnote>
  <w:footnote w:type="continuationSeparator" w:id="0">
    <w:p w:rsidR="00DC3BA4" w:rsidRDefault="00DC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0" w:rsidRDefault="007B6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10" w:rsidRDefault="00663310">
    <w:pPr>
      <w:pStyle w:val="Zhlav"/>
      <w:rPr>
        <w:sz w:val="22"/>
      </w:rPr>
    </w:pPr>
    <w:r>
      <w:rPr>
        <w:b/>
        <w:bCs/>
        <w:noProof/>
        <w:color w:val="808080"/>
        <w:sz w:val="22"/>
        <w:lang w:eastAsia="cs-CZ"/>
      </w:rPr>
      <w:drawing>
        <wp:anchor distT="0" distB="0" distL="114300" distR="114300" simplePos="0" relativeHeight="251657728" behindDoc="0" locked="1" layoutInCell="1" allowOverlap="1" wp14:anchorId="02DC4E86" wp14:editId="02DC4E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3" name="obrázek 3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10" w:rsidRDefault="007B6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D56DF"/>
    <w:multiLevelType w:val="hybridMultilevel"/>
    <w:tmpl w:val="1A20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cs-CZ" w:vendorID="64" w:dllVersion="0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B"/>
    <w:rsid w:val="0000132E"/>
    <w:rsid w:val="000473D8"/>
    <w:rsid w:val="00076A5E"/>
    <w:rsid w:val="00100B0C"/>
    <w:rsid w:val="001114C1"/>
    <w:rsid w:val="0015031A"/>
    <w:rsid w:val="00152328"/>
    <w:rsid w:val="001C5A70"/>
    <w:rsid w:val="001F342B"/>
    <w:rsid w:val="00251690"/>
    <w:rsid w:val="00263C47"/>
    <w:rsid w:val="002C1398"/>
    <w:rsid w:val="002C4722"/>
    <w:rsid w:val="002D32D8"/>
    <w:rsid w:val="002F0BE4"/>
    <w:rsid w:val="0031085E"/>
    <w:rsid w:val="00341C69"/>
    <w:rsid w:val="00343822"/>
    <w:rsid w:val="003519C6"/>
    <w:rsid w:val="003542AC"/>
    <w:rsid w:val="003649B7"/>
    <w:rsid w:val="00382FF3"/>
    <w:rsid w:val="00387D8D"/>
    <w:rsid w:val="003D42D3"/>
    <w:rsid w:val="003E65D8"/>
    <w:rsid w:val="00430BFA"/>
    <w:rsid w:val="00454791"/>
    <w:rsid w:val="00495C2B"/>
    <w:rsid w:val="004B7DB9"/>
    <w:rsid w:val="004C6C1F"/>
    <w:rsid w:val="00503F2E"/>
    <w:rsid w:val="0052386D"/>
    <w:rsid w:val="0052633B"/>
    <w:rsid w:val="005321DF"/>
    <w:rsid w:val="005345E1"/>
    <w:rsid w:val="00537F57"/>
    <w:rsid w:val="00543EF5"/>
    <w:rsid w:val="00544A0F"/>
    <w:rsid w:val="005B1077"/>
    <w:rsid w:val="005B45CC"/>
    <w:rsid w:val="005C3B59"/>
    <w:rsid w:val="006155E4"/>
    <w:rsid w:val="006173CA"/>
    <w:rsid w:val="00661380"/>
    <w:rsid w:val="00663310"/>
    <w:rsid w:val="006657D9"/>
    <w:rsid w:val="006846BA"/>
    <w:rsid w:val="0068573D"/>
    <w:rsid w:val="006B079D"/>
    <w:rsid w:val="006D2227"/>
    <w:rsid w:val="006E18D2"/>
    <w:rsid w:val="00702A72"/>
    <w:rsid w:val="00715C58"/>
    <w:rsid w:val="007258B7"/>
    <w:rsid w:val="00731A87"/>
    <w:rsid w:val="007360D5"/>
    <w:rsid w:val="00755124"/>
    <w:rsid w:val="00762298"/>
    <w:rsid w:val="0077646D"/>
    <w:rsid w:val="007A5F18"/>
    <w:rsid w:val="007B6710"/>
    <w:rsid w:val="007E3E45"/>
    <w:rsid w:val="0081096A"/>
    <w:rsid w:val="00832621"/>
    <w:rsid w:val="00844A4B"/>
    <w:rsid w:val="008D09FE"/>
    <w:rsid w:val="009011E4"/>
    <w:rsid w:val="00930570"/>
    <w:rsid w:val="00936E86"/>
    <w:rsid w:val="0094074D"/>
    <w:rsid w:val="00980FF3"/>
    <w:rsid w:val="00996ADF"/>
    <w:rsid w:val="009B531E"/>
    <w:rsid w:val="009C597F"/>
    <w:rsid w:val="00A0031A"/>
    <w:rsid w:val="00A137D7"/>
    <w:rsid w:val="00A40EF2"/>
    <w:rsid w:val="00A9539C"/>
    <w:rsid w:val="00AB2316"/>
    <w:rsid w:val="00B601B3"/>
    <w:rsid w:val="00B81197"/>
    <w:rsid w:val="00BB77B8"/>
    <w:rsid w:val="00BE6391"/>
    <w:rsid w:val="00BF547D"/>
    <w:rsid w:val="00BF7A8C"/>
    <w:rsid w:val="00C3365F"/>
    <w:rsid w:val="00C55E23"/>
    <w:rsid w:val="00C6448D"/>
    <w:rsid w:val="00C73D8F"/>
    <w:rsid w:val="00C83863"/>
    <w:rsid w:val="00CB40D8"/>
    <w:rsid w:val="00CC02AB"/>
    <w:rsid w:val="00CE19A9"/>
    <w:rsid w:val="00D26384"/>
    <w:rsid w:val="00D27567"/>
    <w:rsid w:val="00D31451"/>
    <w:rsid w:val="00D50C9C"/>
    <w:rsid w:val="00DC3BA4"/>
    <w:rsid w:val="00DD040F"/>
    <w:rsid w:val="00DD6328"/>
    <w:rsid w:val="00DE0C25"/>
    <w:rsid w:val="00E10A0B"/>
    <w:rsid w:val="00E35B50"/>
    <w:rsid w:val="00E424D4"/>
    <w:rsid w:val="00E94CE9"/>
    <w:rsid w:val="00EA1070"/>
    <w:rsid w:val="00EA3370"/>
    <w:rsid w:val="00EC0D90"/>
    <w:rsid w:val="00EC4174"/>
    <w:rsid w:val="00ED3143"/>
    <w:rsid w:val="00EE5F02"/>
    <w:rsid w:val="00F0311C"/>
    <w:rsid w:val="00F11C32"/>
    <w:rsid w:val="00F12F4A"/>
    <w:rsid w:val="00F40413"/>
    <w:rsid w:val="00F625BE"/>
    <w:rsid w:val="00FD627E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C842736-B7AF-4127-B7FB-A6E6571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5B4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CC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424D4"/>
    <w:pPr>
      <w:spacing w:after="120"/>
      <w:ind w:left="283"/>
    </w:pPr>
    <w:rPr>
      <w:rFonts w:ascii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424D4"/>
    <w:rPr>
      <w:sz w:val="24"/>
      <w:szCs w:val="24"/>
    </w:rPr>
  </w:style>
  <w:style w:type="paragraph" w:customStyle="1" w:styleId="Mj">
    <w:name w:val="Můj"/>
    <w:autoRedefine/>
    <w:rsid w:val="004C6C1F"/>
    <w:pPr>
      <w:spacing w:line="360" w:lineRule="auto"/>
      <w:ind w:firstLine="708"/>
      <w:jc w:val="both"/>
    </w:pPr>
    <w:rPr>
      <w:rFonts w:ascii="Arial" w:hAnsi="Arial" w:cs="Arial"/>
      <w:bCs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87D8D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sv.cz" TargetMode="External"/><Relationship Id="rId1" Type="http://schemas.openxmlformats.org/officeDocument/2006/relationships/hyperlink" Target="mailto:petr.hurka@mps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aj.somosi\Desktop\243326%20-%20Rottov&#225;%20-%20pet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16AE-1211-4A0C-AB87-B83666EC7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5266-D4A0-47B4-9CF5-AC781DF4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313BA-2D44-4747-8258-23E66491B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FCE3C-F29F-4FC1-B7F1-ED63329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243326 - Rottová - petice</Template>
  <TotalTime>5</TotalTime>
  <Pages>4</Pages>
  <Words>993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Vážení, </vt:lpstr>
    </vt:vector>
  </TitlesOfParts>
  <Company>MPSV</Company>
  <LinksUpToDate>false</LinksUpToDate>
  <CharactersWithSpaces>6839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mailto:jmeno.prijmeni@mpsv.cz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Šomoši Juraj Ing. (MPSV)</dc:creator>
  <cp:lastModifiedBy>Klinská Šárka Ing. (MPSV)</cp:lastModifiedBy>
  <cp:revision>4</cp:revision>
  <cp:lastPrinted>2019-03-05T10:21:00Z</cp:lastPrinted>
  <dcterms:created xsi:type="dcterms:W3CDTF">2021-01-14T16:27:00Z</dcterms:created>
  <dcterms:modified xsi:type="dcterms:W3CDTF">2021-01-25T10:13:00Z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