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E1" w:rsidRPr="00E163DE" w:rsidRDefault="006E19E1" w:rsidP="00E163DE">
      <w:pPr>
        <w:ind w:left="708" w:firstLine="708"/>
        <w:jc w:val="center"/>
        <w:rPr>
          <w:b/>
        </w:rPr>
      </w:pPr>
      <w:bookmarkStart w:id="0" w:name="_GoBack"/>
      <w:bookmarkEnd w:id="0"/>
      <w:r w:rsidRPr="000E5647">
        <w:t>M</w:t>
      </w:r>
      <w:r w:rsidR="000E5647" w:rsidRPr="000E5647">
        <w:t>INISTERSTVO PRÁCE A SOCIÁLNÍCH VĚCÍ</w:t>
      </w:r>
      <w:r w:rsidR="00E163DE">
        <w:tab/>
      </w:r>
      <w:r w:rsidR="00E163DE">
        <w:tab/>
      </w:r>
    </w:p>
    <w:p w:rsidR="006E19E1" w:rsidRDefault="006E19E1" w:rsidP="006E19E1">
      <w:pPr>
        <w:pStyle w:val="Zhlav"/>
        <w:tabs>
          <w:tab w:val="clear" w:pos="4536"/>
          <w:tab w:val="clear" w:pos="9072"/>
          <w:tab w:val="left" w:pos="7245"/>
        </w:tabs>
        <w:rPr>
          <w:rFonts w:cs="Arial"/>
          <w:szCs w:val="24"/>
        </w:rPr>
      </w:pPr>
      <w:r w:rsidRPr="000E36E8">
        <w:rPr>
          <w:rFonts w:cs="Arial"/>
          <w:szCs w:val="24"/>
        </w:rPr>
        <w:t xml:space="preserve">  </w:t>
      </w:r>
      <w:r>
        <w:rPr>
          <w:rFonts w:cs="Arial"/>
          <w:szCs w:val="24"/>
        </w:rPr>
        <w:tab/>
      </w:r>
    </w:p>
    <w:p w:rsidR="00950D0F" w:rsidRPr="00A728F3" w:rsidRDefault="00950D0F" w:rsidP="00950D0F">
      <w:pPr>
        <w:jc w:val="center"/>
        <w:rPr>
          <w:rFonts w:eastAsiaTheme="minorHAnsi" w:cs="Arial"/>
          <w:b/>
          <w:caps/>
          <w:szCs w:val="24"/>
        </w:rPr>
      </w:pPr>
      <w:r w:rsidRPr="000E36E8">
        <w:rPr>
          <w:rFonts w:cs="Arial"/>
          <w:szCs w:val="24"/>
        </w:rPr>
        <w:t xml:space="preserve">  </w:t>
      </w:r>
      <w:r w:rsidRPr="00A728F3">
        <w:rPr>
          <w:rFonts w:eastAsiaTheme="minorHAnsi" w:cs="Arial"/>
          <w:b/>
          <w:caps/>
          <w:szCs w:val="24"/>
        </w:rPr>
        <w:t xml:space="preserve">Instrukce náměstkyně pro řízení sekce 7 </w:t>
      </w:r>
    </w:p>
    <w:p w:rsidR="006E19E1" w:rsidRPr="00A728F3" w:rsidRDefault="00950D0F" w:rsidP="00950D0F">
      <w:pPr>
        <w:jc w:val="center"/>
        <w:rPr>
          <w:rFonts w:eastAsiaTheme="minorHAnsi" w:cs="Arial"/>
          <w:b/>
          <w:caps/>
          <w:szCs w:val="24"/>
        </w:rPr>
      </w:pPr>
      <w:r w:rsidRPr="00A728F3">
        <w:rPr>
          <w:rFonts w:cs="Arial"/>
          <w:b/>
          <w:bCs/>
          <w:iCs/>
          <w:szCs w:val="24"/>
        </w:rPr>
        <w:t>č.</w:t>
      </w:r>
      <w:r w:rsidRPr="00A728F3">
        <w:rPr>
          <w:rFonts w:eastAsiaTheme="minorHAnsi" w:cs="Arial"/>
          <w:b/>
          <w:caps/>
          <w:szCs w:val="24"/>
        </w:rPr>
        <w:t xml:space="preserve"> </w:t>
      </w:r>
      <w:r w:rsidRPr="00A728F3">
        <w:rPr>
          <w:rFonts w:eastAsiaTheme="minorHAnsi" w:cs="Arial"/>
          <w:b/>
          <w:szCs w:val="24"/>
        </w:rPr>
        <w:t xml:space="preserve">   </w:t>
      </w:r>
      <w:r w:rsidR="00762634">
        <w:rPr>
          <w:rFonts w:eastAsiaTheme="minorHAnsi" w:cs="Arial"/>
          <w:b/>
          <w:szCs w:val="24"/>
        </w:rPr>
        <w:t>12</w:t>
      </w:r>
      <w:r w:rsidRPr="00A728F3">
        <w:rPr>
          <w:rFonts w:eastAsiaTheme="minorHAnsi" w:cs="Arial"/>
          <w:b/>
          <w:caps/>
          <w:szCs w:val="24"/>
        </w:rPr>
        <w:t>/2019</w:t>
      </w:r>
    </w:p>
    <w:p w:rsidR="00950D0F" w:rsidRDefault="00950D0F" w:rsidP="00950D0F">
      <w:pPr>
        <w:jc w:val="center"/>
        <w:rPr>
          <w:rFonts w:eastAsiaTheme="minorHAnsi" w:cs="Arial"/>
          <w:b/>
          <w:caps/>
          <w:sz w:val="28"/>
          <w:szCs w:val="28"/>
        </w:rPr>
      </w:pPr>
    </w:p>
    <w:p w:rsidR="008B28E4" w:rsidRPr="008B28E4" w:rsidRDefault="00950D0F" w:rsidP="00E163DE">
      <w:pPr>
        <w:ind w:left="709" w:hanging="709"/>
        <w:rPr>
          <w:rFonts w:cs="Arial"/>
          <w:b/>
          <w:bCs/>
          <w:iCs/>
          <w:sz w:val="28"/>
          <w:szCs w:val="28"/>
        </w:rPr>
      </w:pPr>
      <w:r w:rsidRPr="00E163DE">
        <w:rPr>
          <w:rFonts w:cs="Arial"/>
          <w:bCs/>
          <w:iCs/>
          <w:sz w:val="28"/>
          <w:szCs w:val="28"/>
        </w:rPr>
        <w:t>Věc:</w:t>
      </w:r>
      <w:r w:rsidR="008B28E4">
        <w:rPr>
          <w:rFonts w:cs="Arial"/>
          <w:b/>
          <w:bCs/>
          <w:iCs/>
          <w:sz w:val="28"/>
          <w:szCs w:val="28"/>
        </w:rPr>
        <w:t xml:space="preserve"> </w:t>
      </w:r>
      <w:r w:rsidR="00500E18">
        <w:rPr>
          <w:rFonts w:cs="Arial"/>
          <w:b/>
          <w:bCs/>
          <w:iCs/>
          <w:sz w:val="28"/>
          <w:szCs w:val="28"/>
        </w:rPr>
        <w:t>U</w:t>
      </w:r>
      <w:r w:rsidR="008B28E4" w:rsidRPr="008B28E4">
        <w:rPr>
          <w:rFonts w:cs="Arial"/>
          <w:b/>
          <w:sz w:val="28"/>
          <w:szCs w:val="28"/>
        </w:rPr>
        <w:t>stanovení § 34 zákona č. 111/2006 Sb., o pomoci v hmotné nouzi, ve znění pozdějších předpisů</w:t>
      </w:r>
      <w:r w:rsidR="00CF7C42" w:rsidRPr="00CF7C42">
        <w:rPr>
          <w:rFonts w:cs="Arial"/>
          <w:b/>
          <w:sz w:val="28"/>
          <w:szCs w:val="28"/>
        </w:rPr>
        <w:t xml:space="preserve">, v </w:t>
      </w:r>
      <w:r w:rsidR="00CF7C42">
        <w:rPr>
          <w:rFonts w:cs="Arial"/>
          <w:b/>
          <w:sz w:val="28"/>
          <w:szCs w:val="28"/>
        </w:rPr>
        <w:t>č</w:t>
      </w:r>
      <w:r w:rsidR="00CF7C42" w:rsidRPr="00CF7C42">
        <w:rPr>
          <w:rFonts w:cs="Arial"/>
          <w:b/>
          <w:sz w:val="28"/>
          <w:szCs w:val="28"/>
        </w:rPr>
        <w:t>ásti, která upravuje pravidelné úhrady za služby spojené s užíváním bytu a úhrady prokazatelné nezbytné spotřeby energií v rámci odůvodněných nákladů na bydlení</w:t>
      </w:r>
    </w:p>
    <w:p w:rsidR="00950D0F" w:rsidRPr="00950D0F" w:rsidRDefault="00950D0F" w:rsidP="00950D0F">
      <w:pPr>
        <w:jc w:val="left"/>
        <w:rPr>
          <w:rFonts w:eastAsiaTheme="minorHAnsi" w:cs="Arial"/>
          <w:b/>
          <w:caps/>
          <w:sz w:val="28"/>
          <w:szCs w:val="28"/>
        </w:rPr>
      </w:pPr>
    </w:p>
    <w:p w:rsidR="00950D0F" w:rsidRPr="00ED367D" w:rsidRDefault="00950D0F" w:rsidP="00950D0F">
      <w:pPr>
        <w:tabs>
          <w:tab w:val="left" w:pos="750"/>
        </w:tabs>
        <w:rPr>
          <w:rFonts w:cs="Arial"/>
          <w:szCs w:val="24"/>
        </w:rPr>
      </w:pPr>
      <w:r w:rsidRPr="00726343">
        <w:rPr>
          <w:rFonts w:cs="Arial"/>
          <w:b/>
          <w:szCs w:val="24"/>
        </w:rPr>
        <w:t>Určeno pro:</w:t>
      </w:r>
      <w:r w:rsidRPr="00ED367D">
        <w:rPr>
          <w:rFonts w:cs="Arial"/>
          <w:szCs w:val="24"/>
        </w:rPr>
        <w:tab/>
      </w:r>
      <w:r w:rsidRPr="00ED367D">
        <w:rPr>
          <w:rFonts w:cs="Arial"/>
          <w:szCs w:val="24"/>
        </w:rPr>
        <w:tab/>
        <w:t xml:space="preserve">Úřad práce České republiky </w:t>
      </w:r>
    </w:p>
    <w:p w:rsidR="00950D0F" w:rsidRPr="00ED367D" w:rsidRDefault="00950D0F" w:rsidP="00950D0F">
      <w:pPr>
        <w:tabs>
          <w:tab w:val="left" w:pos="750"/>
        </w:tabs>
        <w:rPr>
          <w:rFonts w:cs="Arial"/>
          <w:szCs w:val="24"/>
        </w:rPr>
      </w:pPr>
      <w:r w:rsidRPr="00ED367D">
        <w:rPr>
          <w:rFonts w:cs="Arial"/>
          <w:i/>
          <w:szCs w:val="24"/>
        </w:rPr>
        <w:tab/>
      </w:r>
      <w:r w:rsidRPr="00ED367D">
        <w:rPr>
          <w:rFonts w:cs="Arial"/>
          <w:i/>
          <w:szCs w:val="24"/>
        </w:rPr>
        <w:tab/>
      </w:r>
      <w:r w:rsidRPr="00ED367D">
        <w:rPr>
          <w:rFonts w:cs="Arial"/>
          <w:i/>
          <w:szCs w:val="24"/>
        </w:rPr>
        <w:tab/>
      </w:r>
      <w:r w:rsidRPr="00ED367D">
        <w:rPr>
          <w:rFonts w:cs="Arial"/>
          <w:szCs w:val="24"/>
        </w:rPr>
        <w:t>Odbor odvolání a správních činností nepojistných dávek MPSV</w:t>
      </w:r>
    </w:p>
    <w:p w:rsidR="00950D0F" w:rsidRPr="00ED367D" w:rsidRDefault="00950D0F" w:rsidP="00950D0F">
      <w:pPr>
        <w:tabs>
          <w:tab w:val="left" w:pos="750"/>
        </w:tabs>
        <w:rPr>
          <w:rFonts w:cs="Arial"/>
          <w:b/>
          <w:szCs w:val="24"/>
        </w:rPr>
      </w:pPr>
    </w:p>
    <w:p w:rsidR="00950D0F" w:rsidRPr="00ED367D" w:rsidRDefault="00950D0F" w:rsidP="00950D0F">
      <w:pPr>
        <w:pStyle w:val="Prosttext"/>
        <w:spacing w:before="60"/>
        <w:ind w:left="1418" w:hanging="1418"/>
        <w:jc w:val="both"/>
        <w:rPr>
          <w:rFonts w:ascii="Arial" w:eastAsia="MS Mincho" w:hAnsi="Arial" w:cs="Arial"/>
          <w:sz w:val="24"/>
          <w:szCs w:val="24"/>
        </w:rPr>
      </w:pPr>
      <w:r w:rsidRPr="00726343">
        <w:rPr>
          <w:rFonts w:ascii="Arial" w:eastAsia="MS Mincho" w:hAnsi="Arial" w:cs="Arial"/>
          <w:b/>
          <w:sz w:val="24"/>
          <w:szCs w:val="24"/>
        </w:rPr>
        <w:t>Účinnost od:</w:t>
      </w:r>
      <w:r w:rsidRPr="00ED367D">
        <w:rPr>
          <w:rFonts w:ascii="Arial" w:eastAsia="MS Mincho" w:hAnsi="Arial" w:cs="Arial"/>
          <w:sz w:val="24"/>
          <w:szCs w:val="24"/>
        </w:rPr>
        <w:tab/>
      </w:r>
      <w:r w:rsidR="00F15920">
        <w:rPr>
          <w:rFonts w:ascii="Arial" w:eastAsia="MS Mincho" w:hAnsi="Arial" w:cs="Arial"/>
          <w:sz w:val="24"/>
          <w:szCs w:val="24"/>
        </w:rPr>
        <w:t>1</w:t>
      </w:r>
      <w:r w:rsidRPr="00FA422B">
        <w:rPr>
          <w:rFonts w:ascii="Arial" w:eastAsia="MS Mincho" w:hAnsi="Arial" w:cs="Arial"/>
          <w:sz w:val="24"/>
          <w:szCs w:val="24"/>
        </w:rPr>
        <w:t>.</w:t>
      </w:r>
      <w:r>
        <w:rPr>
          <w:rFonts w:ascii="Arial" w:eastAsia="MS Mincho" w:hAnsi="Arial" w:cs="Arial"/>
          <w:sz w:val="24"/>
          <w:szCs w:val="24"/>
        </w:rPr>
        <w:t xml:space="preserve"> </w:t>
      </w:r>
      <w:r w:rsidR="00A243D6">
        <w:rPr>
          <w:rFonts w:ascii="Arial" w:eastAsia="MS Mincho" w:hAnsi="Arial" w:cs="Arial"/>
          <w:sz w:val="24"/>
          <w:szCs w:val="24"/>
        </w:rPr>
        <w:t>ledna 2020</w:t>
      </w:r>
    </w:p>
    <w:p w:rsidR="00950D0F" w:rsidRPr="00ED367D" w:rsidRDefault="00950D0F" w:rsidP="00950D0F">
      <w:pPr>
        <w:pStyle w:val="Prosttext"/>
        <w:spacing w:before="60"/>
        <w:jc w:val="both"/>
        <w:rPr>
          <w:rFonts w:ascii="Arial" w:eastAsia="MS Mincho" w:hAnsi="Arial" w:cs="Arial"/>
          <w:sz w:val="24"/>
          <w:szCs w:val="24"/>
        </w:rPr>
      </w:pPr>
    </w:p>
    <w:p w:rsidR="004F5A20" w:rsidRPr="004F5A20" w:rsidRDefault="00950D0F" w:rsidP="00E664E6">
      <w:pPr>
        <w:pStyle w:val="Prosttext"/>
        <w:spacing w:before="60"/>
        <w:ind w:left="1418" w:hanging="1418"/>
        <w:jc w:val="both"/>
        <w:rPr>
          <w:rFonts w:ascii="Arial" w:eastAsia="MS Mincho" w:hAnsi="Arial" w:cs="Arial"/>
          <w:i/>
          <w:sz w:val="24"/>
          <w:szCs w:val="24"/>
        </w:rPr>
      </w:pPr>
      <w:r w:rsidRPr="00726343">
        <w:rPr>
          <w:rFonts w:ascii="Arial" w:eastAsia="MS Mincho" w:hAnsi="Arial" w:cs="Arial"/>
          <w:b/>
          <w:sz w:val="24"/>
          <w:szCs w:val="24"/>
        </w:rPr>
        <w:t>Zrušovaný řídící akt MPSV:</w:t>
      </w:r>
      <w:r w:rsidR="00E664E6">
        <w:rPr>
          <w:rFonts w:ascii="Arial" w:eastAsia="MS Mincho" w:hAnsi="Arial" w:cs="Arial"/>
          <w:sz w:val="24"/>
          <w:szCs w:val="24"/>
        </w:rPr>
        <w:t xml:space="preserve">   </w:t>
      </w:r>
      <w:r w:rsidR="00E163DE">
        <w:rPr>
          <w:rFonts w:ascii="Arial" w:eastAsia="MS Mincho" w:hAnsi="Arial" w:cs="Arial"/>
          <w:sz w:val="24"/>
          <w:szCs w:val="24"/>
        </w:rPr>
        <w:t>-</w:t>
      </w:r>
      <w:r w:rsidR="00E664E6">
        <w:rPr>
          <w:rFonts w:ascii="Arial" w:eastAsia="MS Mincho" w:hAnsi="Arial" w:cs="Arial"/>
          <w:sz w:val="24"/>
          <w:szCs w:val="24"/>
        </w:rPr>
        <w:t xml:space="preserve"> 0</w:t>
      </w:r>
      <w:r w:rsidR="00E163DE">
        <w:rPr>
          <w:rFonts w:ascii="Arial" w:eastAsia="MS Mincho" w:hAnsi="Arial" w:cs="Arial"/>
          <w:sz w:val="24"/>
          <w:szCs w:val="24"/>
        </w:rPr>
        <w:t xml:space="preserve"> -</w:t>
      </w:r>
    </w:p>
    <w:p w:rsidR="00950D0F" w:rsidRPr="00ED367D" w:rsidRDefault="00950D0F" w:rsidP="00950D0F">
      <w:pPr>
        <w:pStyle w:val="Prosttext"/>
        <w:pBdr>
          <w:bottom w:val="double" w:sz="6" w:space="1" w:color="auto"/>
        </w:pBdr>
        <w:spacing w:before="60"/>
        <w:ind w:left="1418" w:hanging="1418"/>
        <w:jc w:val="both"/>
        <w:rPr>
          <w:rFonts w:ascii="Arial" w:eastAsia="MS Mincho" w:hAnsi="Arial" w:cs="Arial"/>
          <w:sz w:val="24"/>
          <w:szCs w:val="24"/>
        </w:rPr>
      </w:pPr>
    </w:p>
    <w:p w:rsidR="00950D0F" w:rsidRPr="00ED367D" w:rsidRDefault="00950D0F" w:rsidP="00950D0F">
      <w:pPr>
        <w:pStyle w:val="Prosttext"/>
        <w:spacing w:before="60"/>
        <w:ind w:left="1418" w:hanging="1418"/>
        <w:jc w:val="both"/>
        <w:rPr>
          <w:rFonts w:ascii="Arial" w:eastAsia="MS Mincho" w:hAnsi="Arial" w:cs="Arial"/>
          <w:sz w:val="24"/>
          <w:szCs w:val="24"/>
        </w:rPr>
      </w:pPr>
    </w:p>
    <w:p w:rsidR="00950D0F" w:rsidRPr="00ED367D" w:rsidRDefault="00950D0F" w:rsidP="00950D0F">
      <w:pPr>
        <w:pStyle w:val="Zhlav"/>
        <w:tabs>
          <w:tab w:val="clear" w:pos="4536"/>
          <w:tab w:val="clear" w:pos="9072"/>
        </w:tabs>
        <w:ind w:left="1985" w:hanging="1985"/>
        <w:rPr>
          <w:rFonts w:cs="Arial"/>
          <w:szCs w:val="24"/>
        </w:rPr>
      </w:pPr>
      <w:r w:rsidRPr="00726343">
        <w:rPr>
          <w:rFonts w:cs="Arial"/>
          <w:b/>
          <w:szCs w:val="24"/>
        </w:rPr>
        <w:t>Zpracovatel:</w:t>
      </w:r>
      <w:r w:rsidRPr="00ED367D">
        <w:rPr>
          <w:rFonts w:cs="Arial"/>
          <w:szCs w:val="24"/>
        </w:rPr>
        <w:tab/>
      </w:r>
      <w:r w:rsidRPr="00ED367D">
        <w:rPr>
          <w:rFonts w:cs="Arial"/>
          <w:szCs w:val="24"/>
        </w:rPr>
        <w:tab/>
        <w:t>Odbor nepojistných sociálních a rodinných dávek</w:t>
      </w:r>
    </w:p>
    <w:p w:rsidR="00950D0F" w:rsidRPr="00ED367D" w:rsidRDefault="00950D0F" w:rsidP="00950D0F">
      <w:pPr>
        <w:pStyle w:val="Zhlav"/>
        <w:tabs>
          <w:tab w:val="clear" w:pos="4536"/>
          <w:tab w:val="clear" w:pos="9072"/>
        </w:tabs>
        <w:ind w:left="1985" w:hanging="2124"/>
        <w:rPr>
          <w:rFonts w:cs="Arial"/>
          <w:szCs w:val="24"/>
        </w:rPr>
      </w:pPr>
      <w:r>
        <w:rPr>
          <w:rFonts w:cs="Arial"/>
          <w:szCs w:val="24"/>
        </w:rPr>
        <w:tab/>
      </w:r>
      <w:r w:rsidRPr="00ED367D">
        <w:rPr>
          <w:rFonts w:cs="Arial"/>
          <w:szCs w:val="24"/>
        </w:rPr>
        <w:tab/>
      </w:r>
    </w:p>
    <w:p w:rsidR="00950D0F" w:rsidRPr="00ED367D" w:rsidRDefault="00950D0F" w:rsidP="00950D0F">
      <w:pPr>
        <w:pStyle w:val="Prosttext"/>
        <w:spacing w:before="60"/>
        <w:jc w:val="both"/>
        <w:rPr>
          <w:rFonts w:ascii="Arial" w:eastAsia="MS Mincho" w:hAnsi="Arial" w:cs="Arial"/>
          <w:sz w:val="24"/>
          <w:szCs w:val="24"/>
        </w:rPr>
      </w:pPr>
      <w:r w:rsidRPr="00726343">
        <w:rPr>
          <w:rFonts w:ascii="Arial" w:eastAsia="MS Mincho" w:hAnsi="Arial" w:cs="Arial"/>
          <w:b/>
          <w:sz w:val="24"/>
          <w:szCs w:val="24"/>
        </w:rPr>
        <w:t>Č. j.:</w:t>
      </w:r>
      <w:r w:rsidRPr="00726343">
        <w:rPr>
          <w:rFonts w:ascii="Arial" w:eastAsia="MS Mincho" w:hAnsi="Arial" w:cs="Arial"/>
          <w:b/>
          <w:sz w:val="24"/>
          <w:szCs w:val="24"/>
        </w:rPr>
        <w:tab/>
      </w:r>
      <w:r w:rsidRPr="00ED367D">
        <w:rPr>
          <w:rFonts w:ascii="Arial" w:eastAsia="MS Mincho" w:hAnsi="Arial" w:cs="Arial"/>
          <w:sz w:val="24"/>
          <w:szCs w:val="24"/>
        </w:rPr>
        <w:tab/>
        <w:t xml:space="preserve">       </w:t>
      </w:r>
      <w:r w:rsidRPr="00ED367D">
        <w:rPr>
          <w:rFonts w:ascii="Arial" w:eastAsia="MS Mincho" w:hAnsi="Arial" w:cs="Arial"/>
          <w:sz w:val="24"/>
          <w:szCs w:val="24"/>
        </w:rPr>
        <w:tab/>
        <w:t>MPSV</w:t>
      </w:r>
      <w:r>
        <w:rPr>
          <w:rFonts w:ascii="Arial" w:eastAsia="MS Mincho" w:hAnsi="Arial" w:cs="Arial"/>
          <w:sz w:val="24"/>
          <w:szCs w:val="24"/>
        </w:rPr>
        <w:t>-2019/</w:t>
      </w:r>
      <w:r w:rsidR="00F15920" w:rsidRPr="00F15920">
        <w:rPr>
          <w:rFonts w:ascii="Arial" w:eastAsia="MS Mincho" w:hAnsi="Arial" w:cs="Arial"/>
          <w:sz w:val="24"/>
          <w:szCs w:val="24"/>
        </w:rPr>
        <w:t>193598</w:t>
      </w:r>
      <w:r w:rsidRPr="002D3FD7">
        <w:rPr>
          <w:rFonts w:ascii="Arial" w:eastAsia="MS Mincho" w:hAnsi="Arial" w:cs="Arial"/>
          <w:sz w:val="24"/>
          <w:szCs w:val="24"/>
        </w:rPr>
        <w:t>-752</w:t>
      </w:r>
    </w:p>
    <w:p w:rsidR="00950D0F" w:rsidRPr="00ED367D" w:rsidRDefault="00950D0F" w:rsidP="00950D0F">
      <w:pPr>
        <w:pStyle w:val="Prosttext"/>
        <w:spacing w:before="60"/>
        <w:jc w:val="both"/>
        <w:rPr>
          <w:rFonts w:ascii="Arial" w:eastAsia="MS Mincho" w:hAnsi="Arial" w:cs="Arial"/>
          <w:sz w:val="24"/>
          <w:szCs w:val="24"/>
        </w:rPr>
      </w:pPr>
    </w:p>
    <w:p w:rsidR="00950D0F" w:rsidRPr="00ED367D" w:rsidRDefault="00950D0F" w:rsidP="00950D0F">
      <w:pPr>
        <w:pStyle w:val="Prosttext"/>
        <w:spacing w:before="60"/>
        <w:ind w:left="1418" w:hanging="1418"/>
        <w:jc w:val="both"/>
        <w:rPr>
          <w:rFonts w:ascii="Arial" w:eastAsia="MS Mincho" w:hAnsi="Arial" w:cs="Arial"/>
          <w:sz w:val="24"/>
          <w:szCs w:val="24"/>
        </w:rPr>
      </w:pPr>
      <w:r w:rsidRPr="00726343">
        <w:rPr>
          <w:rFonts w:ascii="Arial" w:eastAsia="MS Mincho" w:hAnsi="Arial" w:cs="Arial"/>
          <w:b/>
          <w:sz w:val="24"/>
          <w:szCs w:val="24"/>
        </w:rPr>
        <w:t xml:space="preserve">Počet stran: </w:t>
      </w:r>
      <w:r w:rsidRPr="00726343">
        <w:rPr>
          <w:rFonts w:ascii="Arial" w:eastAsia="MS Mincho" w:hAnsi="Arial" w:cs="Arial"/>
          <w:b/>
          <w:sz w:val="24"/>
          <w:szCs w:val="24"/>
        </w:rPr>
        <w:tab/>
      </w:r>
      <w:r>
        <w:rPr>
          <w:rFonts w:ascii="Arial" w:eastAsia="MS Mincho" w:hAnsi="Arial" w:cs="Arial"/>
          <w:sz w:val="24"/>
          <w:szCs w:val="24"/>
        </w:rPr>
        <w:t xml:space="preserve"> </w:t>
      </w:r>
      <w:r w:rsidR="00A243D6">
        <w:rPr>
          <w:rFonts w:ascii="Arial" w:eastAsia="MS Mincho" w:hAnsi="Arial" w:cs="Arial"/>
          <w:sz w:val="24"/>
          <w:szCs w:val="24"/>
        </w:rPr>
        <w:t>4</w:t>
      </w:r>
      <w:r w:rsidR="00D96260">
        <w:rPr>
          <w:rFonts w:ascii="Arial" w:eastAsia="MS Mincho" w:hAnsi="Arial" w:cs="Arial"/>
          <w:sz w:val="24"/>
          <w:szCs w:val="24"/>
        </w:rPr>
        <w:t>3</w:t>
      </w:r>
    </w:p>
    <w:p w:rsidR="00950D0F" w:rsidRPr="00ED367D" w:rsidRDefault="00950D0F" w:rsidP="00950D0F">
      <w:pPr>
        <w:pStyle w:val="Prosttext"/>
        <w:pBdr>
          <w:bottom w:val="double" w:sz="6" w:space="1" w:color="auto"/>
        </w:pBdr>
        <w:spacing w:before="60"/>
        <w:ind w:left="1418" w:hanging="1418"/>
        <w:jc w:val="both"/>
        <w:rPr>
          <w:rFonts w:ascii="Arial" w:eastAsia="MS Mincho" w:hAnsi="Arial" w:cs="Arial"/>
          <w:sz w:val="24"/>
          <w:szCs w:val="24"/>
          <w:u w:val="single"/>
        </w:rPr>
      </w:pPr>
      <w:r w:rsidRPr="00ED367D">
        <w:rPr>
          <w:rFonts w:ascii="Arial" w:eastAsia="MS Mincho" w:hAnsi="Arial" w:cs="Arial"/>
          <w:sz w:val="24"/>
          <w:szCs w:val="24"/>
          <w:u w:val="single"/>
        </w:rPr>
        <w:t xml:space="preserve"> </w:t>
      </w:r>
    </w:p>
    <w:p w:rsidR="00950D0F" w:rsidRPr="00ED367D" w:rsidRDefault="00950D0F" w:rsidP="00950D0F">
      <w:pPr>
        <w:pStyle w:val="Prosttext"/>
        <w:spacing w:before="60"/>
        <w:ind w:left="1418" w:hanging="1418"/>
        <w:jc w:val="both"/>
        <w:rPr>
          <w:rFonts w:ascii="Arial" w:eastAsia="MS Mincho" w:hAnsi="Arial" w:cs="Arial"/>
          <w:sz w:val="24"/>
          <w:szCs w:val="24"/>
        </w:rPr>
      </w:pPr>
      <w:r w:rsidRPr="00ED367D">
        <w:rPr>
          <w:rFonts w:ascii="Arial" w:eastAsia="MS Mincho" w:hAnsi="Arial" w:cs="Arial"/>
          <w:sz w:val="24"/>
          <w:szCs w:val="24"/>
        </w:rPr>
        <w:t xml:space="preserve"> </w:t>
      </w:r>
    </w:p>
    <w:p w:rsidR="00950D0F" w:rsidRDefault="00950D0F" w:rsidP="00950D0F">
      <w:pPr>
        <w:pStyle w:val="Prosttext"/>
        <w:spacing w:before="60"/>
        <w:ind w:left="2124" w:hanging="2124"/>
        <w:jc w:val="both"/>
        <w:rPr>
          <w:rFonts w:ascii="Arial" w:eastAsia="MS Mincho" w:hAnsi="Arial" w:cs="Arial"/>
          <w:sz w:val="24"/>
          <w:szCs w:val="24"/>
        </w:rPr>
      </w:pPr>
      <w:r w:rsidRPr="002F0861">
        <w:rPr>
          <w:rFonts w:ascii="Arial" w:eastAsia="MS Mincho" w:hAnsi="Arial" w:cs="Arial"/>
          <w:b/>
          <w:sz w:val="24"/>
          <w:szCs w:val="24"/>
        </w:rPr>
        <w:t>Předkladatel</w:t>
      </w:r>
      <w:r>
        <w:rPr>
          <w:rFonts w:ascii="Arial" w:eastAsia="MS Mincho" w:hAnsi="Arial" w:cs="Arial"/>
          <w:sz w:val="24"/>
          <w:szCs w:val="24"/>
        </w:rPr>
        <w:t>:</w:t>
      </w:r>
      <w:r w:rsidRPr="00ED367D">
        <w:rPr>
          <w:rFonts w:ascii="Arial" w:eastAsia="MS Mincho" w:hAnsi="Arial" w:cs="Arial"/>
          <w:sz w:val="24"/>
          <w:szCs w:val="24"/>
        </w:rPr>
        <w:tab/>
      </w:r>
      <w:r w:rsidR="00950DF9">
        <w:rPr>
          <w:rFonts w:ascii="Arial" w:eastAsia="MS Mincho" w:hAnsi="Arial" w:cs="Arial"/>
          <w:b/>
          <w:sz w:val="24"/>
          <w:szCs w:val="24"/>
        </w:rPr>
        <w:t>JUDr. Michaela Kepková</w:t>
      </w:r>
    </w:p>
    <w:p w:rsidR="00950D0F" w:rsidRDefault="00950DF9" w:rsidP="00BD4831">
      <w:pPr>
        <w:pStyle w:val="Prosttext"/>
        <w:spacing w:before="60"/>
        <w:ind w:left="2124"/>
        <w:jc w:val="both"/>
        <w:rPr>
          <w:rFonts w:ascii="Arial" w:eastAsia="MS Mincho" w:hAnsi="Arial" w:cs="Arial"/>
          <w:sz w:val="24"/>
          <w:szCs w:val="24"/>
        </w:rPr>
      </w:pPr>
      <w:r>
        <w:rPr>
          <w:rFonts w:ascii="Arial" w:eastAsia="MS Mincho" w:hAnsi="Arial" w:cs="Arial"/>
          <w:sz w:val="24"/>
          <w:szCs w:val="24"/>
        </w:rPr>
        <w:t>zástupkyně ředitelky</w:t>
      </w:r>
      <w:r w:rsidR="00950D0F" w:rsidRPr="00ED367D">
        <w:rPr>
          <w:rFonts w:ascii="Arial" w:eastAsia="MS Mincho" w:hAnsi="Arial" w:cs="Arial"/>
          <w:sz w:val="24"/>
          <w:szCs w:val="24"/>
        </w:rPr>
        <w:t xml:space="preserve"> odboru nepojistných sociálních a rodinných dávek</w:t>
      </w:r>
      <w:r w:rsidR="00950D0F">
        <w:rPr>
          <w:rFonts w:ascii="Arial" w:eastAsia="MS Mincho" w:hAnsi="Arial" w:cs="Arial"/>
          <w:sz w:val="24"/>
          <w:szCs w:val="24"/>
        </w:rPr>
        <w:tab/>
      </w:r>
    </w:p>
    <w:p w:rsidR="00BD4831" w:rsidRPr="00BD4831" w:rsidRDefault="00BD4831" w:rsidP="00BD4831">
      <w:pPr>
        <w:pStyle w:val="Prosttext"/>
        <w:spacing w:before="60"/>
        <w:ind w:left="2124"/>
        <w:jc w:val="both"/>
        <w:rPr>
          <w:rFonts w:ascii="Arial" w:eastAsia="MS Mincho" w:hAnsi="Arial" w:cs="Arial"/>
          <w:sz w:val="24"/>
          <w:szCs w:val="24"/>
        </w:rPr>
      </w:pPr>
    </w:p>
    <w:p w:rsidR="00950D0F" w:rsidRDefault="00950D0F" w:rsidP="00950D0F">
      <w:pPr>
        <w:pStyle w:val="Prosttext"/>
        <w:spacing w:before="60"/>
        <w:jc w:val="both"/>
        <w:rPr>
          <w:rFonts w:ascii="Arial" w:eastAsia="MS Mincho" w:hAnsi="Arial" w:cs="Arial"/>
          <w:sz w:val="24"/>
          <w:szCs w:val="24"/>
        </w:rPr>
      </w:pPr>
      <w:r w:rsidRPr="002F0861">
        <w:rPr>
          <w:rFonts w:ascii="Arial" w:eastAsia="MS Mincho" w:hAnsi="Arial" w:cs="Arial"/>
          <w:b/>
          <w:sz w:val="24"/>
          <w:szCs w:val="24"/>
        </w:rPr>
        <w:t xml:space="preserve">Dne: </w:t>
      </w:r>
      <w:r w:rsidRPr="002F0861">
        <w:rPr>
          <w:rFonts w:ascii="Arial" w:eastAsia="MS Mincho" w:hAnsi="Arial" w:cs="Arial"/>
          <w:b/>
          <w:sz w:val="24"/>
          <w:szCs w:val="24"/>
        </w:rPr>
        <w:tab/>
      </w:r>
      <w:r w:rsidRPr="00ED367D">
        <w:rPr>
          <w:rFonts w:ascii="Arial" w:eastAsia="MS Mincho" w:hAnsi="Arial" w:cs="Arial"/>
          <w:sz w:val="24"/>
          <w:szCs w:val="24"/>
        </w:rPr>
        <w:tab/>
      </w:r>
      <w:r w:rsidRPr="00ED367D">
        <w:rPr>
          <w:rFonts w:ascii="Arial" w:eastAsia="MS Mincho" w:hAnsi="Arial" w:cs="Arial"/>
          <w:sz w:val="24"/>
          <w:szCs w:val="24"/>
        </w:rPr>
        <w:tab/>
      </w:r>
      <w:r w:rsidR="00BD4831">
        <w:rPr>
          <w:rFonts w:ascii="Arial" w:eastAsia="MS Mincho" w:hAnsi="Arial" w:cs="Arial"/>
          <w:sz w:val="24"/>
          <w:szCs w:val="24"/>
        </w:rPr>
        <w:t>2</w:t>
      </w:r>
      <w:r>
        <w:rPr>
          <w:rFonts w:ascii="Arial" w:eastAsia="MS Mincho" w:hAnsi="Arial" w:cs="Arial"/>
          <w:sz w:val="24"/>
          <w:szCs w:val="24"/>
        </w:rPr>
        <w:t xml:space="preserve">. </w:t>
      </w:r>
      <w:r w:rsidR="00BD4831">
        <w:rPr>
          <w:rFonts w:ascii="Arial" w:eastAsia="MS Mincho" w:hAnsi="Arial" w:cs="Arial"/>
          <w:sz w:val="24"/>
          <w:szCs w:val="24"/>
        </w:rPr>
        <w:t>prosince</w:t>
      </w:r>
      <w:r>
        <w:rPr>
          <w:rFonts w:ascii="Arial" w:eastAsia="MS Mincho" w:hAnsi="Arial" w:cs="Arial"/>
          <w:sz w:val="24"/>
          <w:szCs w:val="24"/>
        </w:rPr>
        <w:t xml:space="preserve"> 2019</w:t>
      </w:r>
    </w:p>
    <w:p w:rsidR="00950D0F" w:rsidRPr="00ED367D" w:rsidRDefault="00950D0F" w:rsidP="00950D0F">
      <w:pPr>
        <w:pStyle w:val="Prosttext"/>
        <w:pBdr>
          <w:bottom w:val="double" w:sz="6" w:space="1" w:color="auto"/>
        </w:pBdr>
        <w:rPr>
          <w:rFonts w:ascii="Arial" w:eastAsia="MS Mincho" w:hAnsi="Arial" w:cs="Arial"/>
          <w:color w:val="000000"/>
          <w:sz w:val="24"/>
          <w:szCs w:val="24"/>
        </w:rPr>
      </w:pPr>
    </w:p>
    <w:p w:rsidR="00950D0F" w:rsidRPr="00726343" w:rsidRDefault="00950D0F" w:rsidP="00950D0F">
      <w:pPr>
        <w:tabs>
          <w:tab w:val="center" w:pos="6237"/>
        </w:tabs>
        <w:rPr>
          <w:rFonts w:cs="Arial"/>
          <w:i/>
          <w:iCs/>
          <w:szCs w:val="24"/>
        </w:rPr>
      </w:pPr>
      <w:r w:rsidRPr="00ED367D">
        <w:rPr>
          <w:rFonts w:cs="Arial"/>
          <w:i/>
          <w:iCs/>
          <w:szCs w:val="24"/>
        </w:rPr>
        <w:t xml:space="preserve">  </w:t>
      </w:r>
    </w:p>
    <w:p w:rsidR="00950D0F" w:rsidRDefault="00950D0F" w:rsidP="00950D0F">
      <w:pPr>
        <w:rPr>
          <w:rFonts w:eastAsiaTheme="minorHAnsi" w:cs="Arial"/>
          <w:szCs w:val="24"/>
        </w:rPr>
      </w:pPr>
      <w:r w:rsidRPr="002F0861">
        <w:rPr>
          <w:rFonts w:eastAsia="MS Mincho" w:cs="Arial"/>
          <w:b/>
          <w:szCs w:val="24"/>
        </w:rPr>
        <w:t>Schválil:</w:t>
      </w:r>
      <w:r>
        <w:rPr>
          <w:rFonts w:eastAsia="MS Mincho" w:cs="Arial"/>
          <w:szCs w:val="24"/>
        </w:rPr>
        <w:tab/>
      </w:r>
      <w:r>
        <w:rPr>
          <w:rFonts w:eastAsia="MS Mincho" w:cs="Arial"/>
          <w:szCs w:val="24"/>
        </w:rPr>
        <w:tab/>
      </w:r>
      <w:r w:rsidRPr="00730945">
        <w:rPr>
          <w:rFonts w:eastAsia="MS Mincho" w:cs="Arial"/>
          <w:b/>
          <w:szCs w:val="24"/>
        </w:rPr>
        <w:t>Mgr. Kateřina Jirková</w:t>
      </w:r>
    </w:p>
    <w:p w:rsidR="00950D0F" w:rsidRDefault="00950D0F" w:rsidP="00950D0F">
      <w:pPr>
        <w:ind w:left="2124"/>
        <w:jc w:val="left"/>
        <w:rPr>
          <w:rFonts w:eastAsiaTheme="minorHAnsi" w:cs="Arial"/>
          <w:szCs w:val="24"/>
        </w:rPr>
      </w:pPr>
      <w:r>
        <w:rPr>
          <w:rFonts w:eastAsiaTheme="minorHAnsi" w:cs="Arial"/>
          <w:szCs w:val="24"/>
        </w:rPr>
        <w:t>náměst</w:t>
      </w:r>
      <w:r w:rsidRPr="00404F0A">
        <w:rPr>
          <w:rFonts w:eastAsiaTheme="minorHAnsi" w:cs="Arial"/>
          <w:szCs w:val="24"/>
        </w:rPr>
        <w:t>k</w:t>
      </w:r>
      <w:r>
        <w:rPr>
          <w:rFonts w:eastAsiaTheme="minorHAnsi" w:cs="Arial"/>
          <w:szCs w:val="24"/>
        </w:rPr>
        <w:t>yně</w:t>
      </w:r>
      <w:r w:rsidRPr="00404F0A">
        <w:rPr>
          <w:rFonts w:eastAsiaTheme="minorHAnsi" w:cs="Arial"/>
          <w:szCs w:val="24"/>
        </w:rPr>
        <w:t xml:space="preserve"> pro řízení sekce sociálně pojistných</w:t>
      </w:r>
      <w:r>
        <w:rPr>
          <w:rFonts w:eastAsiaTheme="minorHAnsi" w:cs="Arial"/>
          <w:szCs w:val="24"/>
        </w:rPr>
        <w:t xml:space="preserve"> </w:t>
      </w:r>
      <w:r w:rsidRPr="00404F0A">
        <w:rPr>
          <w:rFonts w:eastAsiaTheme="minorHAnsi" w:cs="Arial"/>
          <w:szCs w:val="24"/>
        </w:rPr>
        <w:t>systémů a</w:t>
      </w:r>
      <w:r w:rsidR="00E163DE">
        <w:rPr>
          <w:rFonts w:eastAsiaTheme="minorHAnsi" w:cs="Arial"/>
          <w:szCs w:val="24"/>
        </w:rPr>
        <w:t> </w:t>
      </w:r>
      <w:r w:rsidRPr="00404F0A">
        <w:rPr>
          <w:rFonts w:eastAsiaTheme="minorHAnsi" w:cs="Arial"/>
          <w:szCs w:val="24"/>
        </w:rPr>
        <w:t>nepojistných dávek</w:t>
      </w:r>
    </w:p>
    <w:p w:rsidR="00BD4831" w:rsidRPr="00404F0A" w:rsidRDefault="00BD4831" w:rsidP="00950D0F">
      <w:pPr>
        <w:ind w:left="2124"/>
        <w:jc w:val="left"/>
        <w:rPr>
          <w:rFonts w:eastAsiaTheme="minorHAnsi" w:cs="Arial"/>
          <w:szCs w:val="24"/>
        </w:rPr>
      </w:pPr>
    </w:p>
    <w:p w:rsidR="00950D0F" w:rsidRPr="00ED367D" w:rsidRDefault="00950D0F" w:rsidP="00950D0F">
      <w:pPr>
        <w:pStyle w:val="Prosttext"/>
        <w:spacing w:before="60"/>
        <w:jc w:val="both"/>
        <w:rPr>
          <w:rFonts w:ascii="Arial" w:eastAsia="MS Mincho" w:hAnsi="Arial" w:cs="Arial"/>
          <w:sz w:val="24"/>
          <w:szCs w:val="24"/>
        </w:rPr>
      </w:pPr>
      <w:r w:rsidRPr="002F0861">
        <w:rPr>
          <w:rFonts w:ascii="Arial" w:eastAsia="MS Mincho" w:hAnsi="Arial" w:cs="Arial"/>
          <w:b/>
          <w:sz w:val="24"/>
          <w:szCs w:val="24"/>
        </w:rPr>
        <w:t>Dne:</w:t>
      </w:r>
      <w:r w:rsidRPr="00ED367D">
        <w:rPr>
          <w:rFonts w:ascii="Arial" w:eastAsia="MS Mincho" w:hAnsi="Arial" w:cs="Arial"/>
          <w:sz w:val="24"/>
          <w:szCs w:val="24"/>
        </w:rPr>
        <w:tab/>
      </w:r>
      <w:r w:rsidRPr="00ED367D">
        <w:rPr>
          <w:rFonts w:ascii="Arial" w:eastAsia="MS Mincho" w:hAnsi="Arial" w:cs="Arial"/>
          <w:sz w:val="24"/>
          <w:szCs w:val="24"/>
        </w:rPr>
        <w:tab/>
      </w:r>
      <w:r w:rsidRPr="00ED367D">
        <w:rPr>
          <w:rFonts w:ascii="Arial" w:eastAsia="MS Mincho" w:hAnsi="Arial" w:cs="Arial"/>
          <w:sz w:val="24"/>
          <w:szCs w:val="24"/>
        </w:rPr>
        <w:tab/>
      </w:r>
      <w:r w:rsidR="00BD4831">
        <w:rPr>
          <w:rFonts w:ascii="Arial" w:eastAsia="MS Mincho" w:hAnsi="Arial" w:cs="Arial"/>
          <w:sz w:val="24"/>
          <w:szCs w:val="24"/>
        </w:rPr>
        <w:t>2</w:t>
      </w:r>
      <w:r>
        <w:rPr>
          <w:rFonts w:ascii="Arial" w:eastAsia="MS Mincho" w:hAnsi="Arial" w:cs="Arial"/>
          <w:sz w:val="24"/>
          <w:szCs w:val="24"/>
        </w:rPr>
        <w:t xml:space="preserve">. </w:t>
      </w:r>
      <w:r w:rsidR="00BD4831">
        <w:rPr>
          <w:rFonts w:ascii="Arial" w:eastAsia="MS Mincho" w:hAnsi="Arial" w:cs="Arial"/>
          <w:sz w:val="24"/>
          <w:szCs w:val="24"/>
        </w:rPr>
        <w:t>prosince</w:t>
      </w:r>
      <w:r>
        <w:rPr>
          <w:rFonts w:ascii="Arial" w:eastAsia="MS Mincho" w:hAnsi="Arial" w:cs="Arial"/>
          <w:sz w:val="24"/>
          <w:szCs w:val="24"/>
        </w:rPr>
        <w:t xml:space="preserve"> 2019</w:t>
      </w:r>
    </w:p>
    <w:p w:rsidR="00362202" w:rsidRDefault="00362202">
      <w:pPr>
        <w:spacing w:after="160" w:line="259" w:lineRule="auto"/>
        <w:jc w:val="left"/>
        <w:rPr>
          <w:rFonts w:cs="Arial"/>
          <w:iCs/>
          <w:szCs w:val="24"/>
        </w:rPr>
      </w:pPr>
      <w:r>
        <w:rPr>
          <w:rFonts w:cs="Arial"/>
          <w:iCs/>
          <w:szCs w:val="24"/>
        </w:rPr>
        <w:br w:type="page"/>
      </w:r>
    </w:p>
    <w:p w:rsidR="00950D0F" w:rsidRPr="00ED367D" w:rsidRDefault="00950D0F" w:rsidP="00950D0F">
      <w:pPr>
        <w:spacing w:line="360" w:lineRule="auto"/>
        <w:rPr>
          <w:rFonts w:cs="Arial"/>
          <w:szCs w:val="24"/>
        </w:rPr>
      </w:pPr>
      <w:r w:rsidRPr="00ED367D">
        <w:rPr>
          <w:rFonts w:cs="Arial"/>
          <w:szCs w:val="24"/>
        </w:rPr>
        <w:lastRenderedPageBreak/>
        <w:t>Za účelem sjednocení postupů Úřadu práce České republiky a Odboru odvolání a správních činností nepojistných dávek MPSV:</w:t>
      </w:r>
    </w:p>
    <w:p w:rsidR="00950D0F" w:rsidRPr="00ED367D" w:rsidRDefault="00950D0F" w:rsidP="00950D0F">
      <w:pPr>
        <w:spacing w:line="360" w:lineRule="auto"/>
        <w:rPr>
          <w:rFonts w:cs="Arial"/>
          <w:szCs w:val="24"/>
        </w:rPr>
      </w:pPr>
    </w:p>
    <w:p w:rsidR="00950D0F" w:rsidRPr="00ED367D" w:rsidRDefault="008B28E4" w:rsidP="00950D0F">
      <w:pPr>
        <w:pStyle w:val="Odstavecseseznamem"/>
        <w:spacing w:line="360" w:lineRule="auto"/>
        <w:ind w:left="0"/>
        <w:rPr>
          <w:rFonts w:cs="Arial"/>
          <w:b/>
          <w:szCs w:val="24"/>
        </w:rPr>
      </w:pPr>
      <w:r>
        <w:rPr>
          <w:rFonts w:cs="Arial"/>
          <w:b/>
          <w:szCs w:val="24"/>
        </w:rPr>
        <w:t>I</w:t>
      </w:r>
      <w:r w:rsidR="00950D0F">
        <w:rPr>
          <w:rFonts w:cs="Arial"/>
          <w:b/>
          <w:szCs w:val="24"/>
        </w:rPr>
        <w:t>. v</w:t>
      </w:r>
      <w:r w:rsidR="00950D0F" w:rsidRPr="00ED367D">
        <w:rPr>
          <w:rFonts w:cs="Arial"/>
          <w:b/>
          <w:szCs w:val="24"/>
        </w:rPr>
        <w:t>ydávám</w:t>
      </w:r>
    </w:p>
    <w:p w:rsidR="008B28E4" w:rsidRDefault="00950D0F" w:rsidP="008B28E4">
      <w:pPr>
        <w:rPr>
          <w:rFonts w:cs="Arial"/>
          <w:bCs/>
          <w:iCs/>
        </w:rPr>
      </w:pPr>
      <w:r w:rsidRPr="00097907">
        <w:rPr>
          <w:rFonts w:cs="Arial"/>
          <w:szCs w:val="24"/>
        </w:rPr>
        <w:t xml:space="preserve">Instrukci </w:t>
      </w:r>
      <w:r w:rsidR="008B28E4" w:rsidRPr="00987551">
        <w:rPr>
          <w:rFonts w:cs="Arial"/>
          <w:bCs/>
          <w:iCs/>
        </w:rPr>
        <w:t xml:space="preserve">k </w:t>
      </w:r>
      <w:r w:rsidR="008B28E4" w:rsidRPr="00987551">
        <w:rPr>
          <w:rFonts w:cs="Arial"/>
        </w:rPr>
        <w:t>ustanovení § 34 zákona č. 111/2006 Sb., o pomoci v hmotné nouzi, ve znění pozdějších předpisů</w:t>
      </w:r>
      <w:r w:rsidR="008B28E4">
        <w:rPr>
          <w:rFonts w:cs="Arial"/>
          <w:bCs/>
          <w:iCs/>
        </w:rPr>
        <w:t>.</w:t>
      </w:r>
    </w:p>
    <w:p w:rsidR="00950D0F" w:rsidRPr="008B28E4" w:rsidRDefault="00950D0F" w:rsidP="008B28E4">
      <w:pPr>
        <w:spacing w:line="360" w:lineRule="auto"/>
        <w:rPr>
          <w:rFonts w:cs="Arial"/>
          <w:szCs w:val="24"/>
        </w:rPr>
      </w:pPr>
    </w:p>
    <w:p w:rsidR="00950D0F" w:rsidRPr="00655C1B" w:rsidRDefault="00E664E6" w:rsidP="00950D0F">
      <w:pPr>
        <w:spacing w:line="360" w:lineRule="auto"/>
        <w:rPr>
          <w:rFonts w:cs="Arial"/>
          <w:b/>
          <w:szCs w:val="24"/>
        </w:rPr>
      </w:pPr>
      <w:r>
        <w:rPr>
          <w:rFonts w:cs="Arial"/>
          <w:b/>
          <w:szCs w:val="24"/>
        </w:rPr>
        <w:t>II</w:t>
      </w:r>
      <w:r w:rsidR="00950D0F" w:rsidRPr="00655C1B">
        <w:rPr>
          <w:rFonts w:cs="Arial"/>
          <w:b/>
          <w:szCs w:val="24"/>
        </w:rPr>
        <w:t>. ukládám</w:t>
      </w:r>
    </w:p>
    <w:p w:rsidR="00950D0F" w:rsidRPr="00ED367D" w:rsidRDefault="00950D0F" w:rsidP="00950D0F">
      <w:pPr>
        <w:spacing w:line="360" w:lineRule="auto"/>
        <w:ind w:left="284"/>
        <w:rPr>
          <w:rFonts w:cs="Arial"/>
          <w:szCs w:val="24"/>
        </w:rPr>
      </w:pPr>
      <w:r w:rsidRPr="00ED367D">
        <w:rPr>
          <w:rFonts w:cs="Arial"/>
          <w:szCs w:val="24"/>
        </w:rPr>
        <w:t>Úřadu práce České republiky a Odboru odvolání a správních činností nepojistných dávek MPSV zajistit realizaci plnění povinností vyplývajících z této instrukce.</w:t>
      </w:r>
    </w:p>
    <w:p w:rsidR="00950D0F" w:rsidRPr="00ED367D" w:rsidRDefault="00950D0F" w:rsidP="00950D0F">
      <w:pPr>
        <w:spacing w:line="360" w:lineRule="auto"/>
        <w:rPr>
          <w:rFonts w:cs="Arial"/>
          <w:b/>
          <w:szCs w:val="24"/>
        </w:rPr>
      </w:pPr>
    </w:p>
    <w:p w:rsidR="00950D0F" w:rsidRPr="00ED367D" w:rsidRDefault="00950D0F" w:rsidP="00950D0F">
      <w:pPr>
        <w:spacing w:line="360" w:lineRule="auto"/>
        <w:rPr>
          <w:rFonts w:cs="Arial"/>
          <w:b/>
          <w:szCs w:val="24"/>
        </w:rPr>
      </w:pPr>
    </w:p>
    <w:p w:rsidR="00950D0F" w:rsidRDefault="00950D0F" w:rsidP="00950D0F">
      <w:pPr>
        <w:spacing w:line="360" w:lineRule="auto"/>
        <w:rPr>
          <w:rFonts w:cs="Arial"/>
          <w:szCs w:val="24"/>
        </w:rPr>
      </w:pPr>
      <w:r>
        <w:rPr>
          <w:rFonts w:cs="Arial"/>
          <w:szCs w:val="24"/>
        </w:rPr>
        <w:t>Tato i</w:t>
      </w:r>
      <w:r w:rsidRPr="00655C1B">
        <w:rPr>
          <w:rFonts w:cs="Arial"/>
          <w:szCs w:val="24"/>
        </w:rPr>
        <w:t xml:space="preserve">nstrukce nabývá účinnosti dnem </w:t>
      </w:r>
      <w:r w:rsidR="00F15920">
        <w:rPr>
          <w:rFonts w:cs="Arial"/>
          <w:szCs w:val="24"/>
        </w:rPr>
        <w:t>1</w:t>
      </w:r>
      <w:r w:rsidRPr="00655C1B">
        <w:rPr>
          <w:rFonts w:cs="Arial"/>
          <w:szCs w:val="24"/>
        </w:rPr>
        <w:t xml:space="preserve">. </w:t>
      </w:r>
      <w:r w:rsidR="00A243D6">
        <w:rPr>
          <w:rFonts w:cs="Arial"/>
          <w:szCs w:val="24"/>
        </w:rPr>
        <w:t>ledna 2020.</w:t>
      </w:r>
    </w:p>
    <w:p w:rsidR="00950D0F" w:rsidRDefault="00950D0F" w:rsidP="00950D0F">
      <w:pPr>
        <w:spacing w:line="360" w:lineRule="auto"/>
        <w:rPr>
          <w:rFonts w:cs="Arial"/>
          <w:szCs w:val="24"/>
        </w:rPr>
      </w:pPr>
    </w:p>
    <w:p w:rsidR="00950D0F" w:rsidRDefault="00950D0F" w:rsidP="00950D0F">
      <w:pPr>
        <w:spacing w:line="360" w:lineRule="auto"/>
        <w:rPr>
          <w:rFonts w:cs="Arial"/>
          <w:szCs w:val="24"/>
        </w:rPr>
      </w:pPr>
    </w:p>
    <w:p w:rsidR="00950D0F" w:rsidRDefault="00950D0F" w:rsidP="00950D0F">
      <w:pPr>
        <w:spacing w:line="360" w:lineRule="auto"/>
        <w:rPr>
          <w:rFonts w:cs="Arial"/>
          <w:szCs w:val="24"/>
        </w:rPr>
      </w:pPr>
    </w:p>
    <w:p w:rsidR="00950D0F" w:rsidRDefault="00950D0F" w:rsidP="00950D0F">
      <w:pPr>
        <w:spacing w:line="360" w:lineRule="auto"/>
        <w:rPr>
          <w:rFonts w:cs="Arial"/>
          <w:szCs w:val="24"/>
        </w:rPr>
      </w:pPr>
    </w:p>
    <w:p w:rsidR="00762634" w:rsidRDefault="00762634" w:rsidP="00950D0F">
      <w:pPr>
        <w:spacing w:line="360" w:lineRule="auto"/>
        <w:rPr>
          <w:rFonts w:cs="Arial"/>
          <w:szCs w:val="24"/>
        </w:rPr>
      </w:pPr>
    </w:p>
    <w:p w:rsidR="00950D0F" w:rsidRPr="00ED550A" w:rsidRDefault="00950DF9" w:rsidP="00950DF9">
      <w:pPr>
        <w:rPr>
          <w:rFonts w:eastAsiaTheme="minorHAnsi" w:cs="Arial"/>
          <w:b/>
          <w:szCs w:val="24"/>
        </w:rPr>
      </w:pPr>
      <w:r>
        <w:rPr>
          <w:rFonts w:eastAsia="MS Mincho" w:cs="Arial"/>
          <w:b/>
          <w:szCs w:val="24"/>
        </w:rPr>
        <w:t xml:space="preserve">                                                                               </w:t>
      </w:r>
      <w:r w:rsidR="00950D0F" w:rsidRPr="00ED550A">
        <w:rPr>
          <w:rFonts w:eastAsia="MS Mincho" w:cs="Arial"/>
          <w:b/>
          <w:szCs w:val="24"/>
        </w:rPr>
        <w:t>Mgr. Kateřina Jirková</w:t>
      </w:r>
    </w:p>
    <w:p w:rsidR="00950D0F" w:rsidRDefault="00950D0F" w:rsidP="00950D0F">
      <w:pPr>
        <w:ind w:left="4248"/>
        <w:jc w:val="center"/>
        <w:rPr>
          <w:rFonts w:eastAsiaTheme="minorHAnsi" w:cs="Arial"/>
          <w:szCs w:val="24"/>
        </w:rPr>
      </w:pPr>
      <w:r>
        <w:rPr>
          <w:rFonts w:eastAsiaTheme="minorHAnsi" w:cs="Arial"/>
          <w:szCs w:val="24"/>
        </w:rPr>
        <w:t>náměst</w:t>
      </w:r>
      <w:r w:rsidRPr="00404F0A">
        <w:rPr>
          <w:rFonts w:eastAsiaTheme="minorHAnsi" w:cs="Arial"/>
          <w:szCs w:val="24"/>
        </w:rPr>
        <w:t>k</w:t>
      </w:r>
      <w:r>
        <w:rPr>
          <w:rFonts w:eastAsiaTheme="minorHAnsi" w:cs="Arial"/>
          <w:szCs w:val="24"/>
        </w:rPr>
        <w:t>yně</w:t>
      </w:r>
      <w:r w:rsidRPr="00404F0A">
        <w:rPr>
          <w:rFonts w:eastAsiaTheme="minorHAnsi" w:cs="Arial"/>
          <w:szCs w:val="24"/>
        </w:rPr>
        <w:t xml:space="preserve"> pro řízení sekce sociálně pojistných</w:t>
      </w:r>
      <w:r>
        <w:rPr>
          <w:rFonts w:eastAsiaTheme="minorHAnsi" w:cs="Arial"/>
          <w:szCs w:val="24"/>
        </w:rPr>
        <w:t xml:space="preserve"> systémů a nepojistných dávek</w:t>
      </w:r>
    </w:p>
    <w:p w:rsidR="00950D0F" w:rsidRDefault="00950D0F">
      <w:pPr>
        <w:spacing w:after="160" w:line="259" w:lineRule="auto"/>
        <w:jc w:val="left"/>
        <w:rPr>
          <w:rFonts w:eastAsiaTheme="minorHAnsi" w:cs="Arial"/>
          <w:szCs w:val="24"/>
        </w:rPr>
      </w:pPr>
    </w:p>
    <w:p w:rsidR="00950D0F" w:rsidRPr="00950D0F" w:rsidRDefault="00950D0F" w:rsidP="00950D0F">
      <w:pPr>
        <w:ind w:left="4248"/>
        <w:rPr>
          <w:rFonts w:eastAsiaTheme="minorHAnsi" w:cs="Arial"/>
          <w:szCs w:val="24"/>
        </w:rPr>
        <w:sectPr w:rsidR="00950D0F" w:rsidRPr="00950D0F" w:rsidSect="00A96F2D">
          <w:footerReference w:type="default" r:id="rId8"/>
          <w:pgSz w:w="11906" w:h="16838"/>
          <w:pgMar w:top="1417" w:right="1417" w:bottom="1417" w:left="1417" w:header="708" w:footer="708" w:gutter="0"/>
          <w:pgNumType w:start="1"/>
          <w:cols w:space="708"/>
          <w:docGrid w:linePitch="360"/>
        </w:sectPr>
      </w:pPr>
    </w:p>
    <w:sdt>
      <w:sdtPr>
        <w:rPr>
          <w:rFonts w:ascii="Arial" w:eastAsia="Calibri" w:hAnsi="Arial" w:cs="Times New Roman"/>
          <w:color w:val="auto"/>
          <w:sz w:val="24"/>
          <w:szCs w:val="22"/>
          <w:lang w:eastAsia="en-US"/>
        </w:rPr>
        <w:id w:val="-896430136"/>
        <w:docPartObj>
          <w:docPartGallery w:val="Table of Contents"/>
          <w:docPartUnique/>
        </w:docPartObj>
      </w:sdtPr>
      <w:sdtEndPr>
        <w:rPr>
          <w:b/>
          <w:bCs/>
        </w:rPr>
      </w:sdtEndPr>
      <w:sdtContent>
        <w:p w:rsidR="005D327C" w:rsidRDefault="005D327C">
          <w:pPr>
            <w:pStyle w:val="Nadpisobsahu"/>
          </w:pPr>
          <w:r>
            <w:t>Obsah</w:t>
          </w:r>
        </w:p>
        <w:p w:rsidR="00A41459" w:rsidRDefault="005D327C">
          <w:pPr>
            <w:pStyle w:val="Obsah1"/>
            <w:rPr>
              <w:rFonts w:asciiTheme="minorHAnsi" w:eastAsiaTheme="minorEastAsia" w:hAnsiTheme="minorHAnsi" w:cstheme="minorBidi"/>
              <w:noProof/>
              <w:sz w:val="22"/>
              <w:lang w:eastAsia="cs-CZ"/>
            </w:rPr>
          </w:pPr>
          <w:r>
            <w:rPr>
              <w:b/>
              <w:bCs/>
            </w:rPr>
            <w:fldChar w:fldCharType="begin"/>
          </w:r>
          <w:r>
            <w:rPr>
              <w:b/>
              <w:bCs/>
            </w:rPr>
            <w:instrText xml:space="preserve"> TOC \o "1-5" \h \z \u </w:instrText>
          </w:r>
          <w:r>
            <w:rPr>
              <w:b/>
              <w:bCs/>
            </w:rPr>
            <w:fldChar w:fldCharType="separate"/>
          </w:r>
          <w:hyperlink w:anchor="_Toc25833334" w:history="1">
            <w:r w:rsidR="00A41459" w:rsidRPr="00A80411">
              <w:rPr>
                <w:rStyle w:val="Hypertextovodkaz"/>
                <w:noProof/>
              </w:rPr>
              <w:t>ÚVOD</w:t>
            </w:r>
            <w:r w:rsidR="00A41459">
              <w:rPr>
                <w:noProof/>
                <w:webHidden/>
              </w:rPr>
              <w:tab/>
            </w:r>
            <w:r w:rsidR="00A41459">
              <w:rPr>
                <w:noProof/>
                <w:webHidden/>
              </w:rPr>
              <w:fldChar w:fldCharType="begin"/>
            </w:r>
            <w:r w:rsidR="00A41459">
              <w:rPr>
                <w:noProof/>
                <w:webHidden/>
              </w:rPr>
              <w:instrText xml:space="preserve"> PAGEREF _Toc25833334 \h </w:instrText>
            </w:r>
            <w:r w:rsidR="00A41459">
              <w:rPr>
                <w:noProof/>
                <w:webHidden/>
              </w:rPr>
            </w:r>
            <w:r w:rsidR="00A41459">
              <w:rPr>
                <w:noProof/>
                <w:webHidden/>
              </w:rPr>
              <w:fldChar w:fldCharType="separate"/>
            </w:r>
            <w:r w:rsidR="00762634">
              <w:rPr>
                <w:noProof/>
                <w:webHidden/>
              </w:rPr>
              <w:t>1</w:t>
            </w:r>
            <w:r w:rsidR="00A41459">
              <w:rPr>
                <w:noProof/>
                <w:webHidden/>
              </w:rPr>
              <w:fldChar w:fldCharType="end"/>
            </w:r>
          </w:hyperlink>
        </w:p>
        <w:p w:rsidR="00A41459" w:rsidRDefault="00A656B4">
          <w:pPr>
            <w:pStyle w:val="Obsah1"/>
            <w:rPr>
              <w:rFonts w:asciiTheme="minorHAnsi" w:eastAsiaTheme="minorEastAsia" w:hAnsiTheme="minorHAnsi" w:cstheme="minorBidi"/>
              <w:noProof/>
              <w:sz w:val="22"/>
              <w:lang w:eastAsia="cs-CZ"/>
            </w:rPr>
          </w:pPr>
          <w:hyperlink w:anchor="_Toc25833335" w:history="1">
            <w:r w:rsidR="00A41459" w:rsidRPr="00A80411">
              <w:rPr>
                <w:rStyle w:val="Hypertextovodkaz"/>
                <w:noProof/>
              </w:rPr>
              <w:t>Článek I.</w:t>
            </w:r>
            <w:r w:rsidR="00A41459">
              <w:rPr>
                <w:noProof/>
                <w:webHidden/>
              </w:rPr>
              <w:tab/>
            </w:r>
            <w:r w:rsidR="00A41459">
              <w:rPr>
                <w:noProof/>
                <w:webHidden/>
              </w:rPr>
              <w:fldChar w:fldCharType="begin"/>
            </w:r>
            <w:r w:rsidR="00A41459">
              <w:rPr>
                <w:noProof/>
                <w:webHidden/>
              </w:rPr>
              <w:instrText xml:space="preserve"> PAGEREF _Toc25833335 \h </w:instrText>
            </w:r>
            <w:r w:rsidR="00A41459">
              <w:rPr>
                <w:noProof/>
                <w:webHidden/>
              </w:rPr>
            </w:r>
            <w:r w:rsidR="00A41459">
              <w:rPr>
                <w:noProof/>
                <w:webHidden/>
              </w:rPr>
              <w:fldChar w:fldCharType="separate"/>
            </w:r>
            <w:r w:rsidR="00762634">
              <w:rPr>
                <w:noProof/>
                <w:webHidden/>
              </w:rPr>
              <w:t>3</w:t>
            </w:r>
            <w:r w:rsidR="00A41459">
              <w:rPr>
                <w:noProof/>
                <w:webHidden/>
              </w:rPr>
              <w:fldChar w:fldCharType="end"/>
            </w:r>
          </w:hyperlink>
        </w:p>
        <w:p w:rsidR="00A41459" w:rsidRDefault="00A656B4">
          <w:pPr>
            <w:pStyle w:val="Obsah2"/>
            <w:tabs>
              <w:tab w:val="right" w:leader="dot" w:pos="9062"/>
            </w:tabs>
            <w:rPr>
              <w:rFonts w:asciiTheme="minorHAnsi" w:eastAsiaTheme="minorEastAsia" w:hAnsiTheme="minorHAnsi" w:cstheme="minorBidi"/>
              <w:noProof/>
              <w:sz w:val="22"/>
              <w:lang w:eastAsia="cs-CZ"/>
            </w:rPr>
          </w:pPr>
          <w:hyperlink w:anchor="_Toc25833336" w:history="1">
            <w:r w:rsidR="00A41459" w:rsidRPr="00A80411">
              <w:rPr>
                <w:rStyle w:val="Hypertextovodkaz"/>
                <w:noProof/>
              </w:rPr>
              <w:t>Obecné principy právní úpravy ONB</w:t>
            </w:r>
            <w:r w:rsidR="00A41459">
              <w:rPr>
                <w:noProof/>
                <w:webHidden/>
              </w:rPr>
              <w:tab/>
            </w:r>
            <w:r w:rsidR="00A41459">
              <w:rPr>
                <w:noProof/>
                <w:webHidden/>
              </w:rPr>
              <w:fldChar w:fldCharType="begin"/>
            </w:r>
            <w:r w:rsidR="00A41459">
              <w:rPr>
                <w:noProof/>
                <w:webHidden/>
              </w:rPr>
              <w:instrText xml:space="preserve"> PAGEREF _Toc25833336 \h </w:instrText>
            </w:r>
            <w:r w:rsidR="00A41459">
              <w:rPr>
                <w:noProof/>
                <w:webHidden/>
              </w:rPr>
            </w:r>
            <w:r w:rsidR="00A41459">
              <w:rPr>
                <w:noProof/>
                <w:webHidden/>
              </w:rPr>
              <w:fldChar w:fldCharType="separate"/>
            </w:r>
            <w:r w:rsidR="00762634">
              <w:rPr>
                <w:noProof/>
                <w:webHidden/>
              </w:rPr>
              <w:t>3</w:t>
            </w:r>
            <w:r w:rsidR="00A41459">
              <w:rPr>
                <w:noProof/>
                <w:webHidden/>
              </w:rPr>
              <w:fldChar w:fldCharType="end"/>
            </w:r>
          </w:hyperlink>
        </w:p>
        <w:p w:rsidR="00A41459" w:rsidRDefault="00A656B4">
          <w:pPr>
            <w:pStyle w:val="Obsah1"/>
            <w:rPr>
              <w:rFonts w:asciiTheme="minorHAnsi" w:eastAsiaTheme="minorEastAsia" w:hAnsiTheme="minorHAnsi" w:cstheme="minorBidi"/>
              <w:noProof/>
              <w:sz w:val="22"/>
              <w:lang w:eastAsia="cs-CZ"/>
            </w:rPr>
          </w:pPr>
          <w:hyperlink w:anchor="_Toc25833337" w:history="1">
            <w:r w:rsidR="00A41459" w:rsidRPr="00A80411">
              <w:rPr>
                <w:rStyle w:val="Hypertextovodkaz"/>
                <w:noProof/>
              </w:rPr>
              <w:t>Článek II.</w:t>
            </w:r>
            <w:r w:rsidR="00A41459">
              <w:rPr>
                <w:noProof/>
                <w:webHidden/>
              </w:rPr>
              <w:tab/>
            </w:r>
            <w:r w:rsidR="00A41459">
              <w:rPr>
                <w:noProof/>
                <w:webHidden/>
              </w:rPr>
              <w:fldChar w:fldCharType="begin"/>
            </w:r>
            <w:r w:rsidR="00A41459">
              <w:rPr>
                <w:noProof/>
                <w:webHidden/>
              </w:rPr>
              <w:instrText xml:space="preserve"> PAGEREF _Toc25833337 \h </w:instrText>
            </w:r>
            <w:r w:rsidR="00A41459">
              <w:rPr>
                <w:noProof/>
                <w:webHidden/>
              </w:rPr>
            </w:r>
            <w:r w:rsidR="00A41459">
              <w:rPr>
                <w:noProof/>
                <w:webHidden/>
              </w:rPr>
              <w:fldChar w:fldCharType="separate"/>
            </w:r>
            <w:r w:rsidR="00762634">
              <w:rPr>
                <w:noProof/>
                <w:webHidden/>
              </w:rPr>
              <w:t>5</w:t>
            </w:r>
            <w:r w:rsidR="00A41459">
              <w:rPr>
                <w:noProof/>
                <w:webHidden/>
              </w:rPr>
              <w:fldChar w:fldCharType="end"/>
            </w:r>
          </w:hyperlink>
        </w:p>
        <w:p w:rsidR="00A41459" w:rsidRDefault="00A656B4">
          <w:pPr>
            <w:pStyle w:val="Obsah2"/>
            <w:tabs>
              <w:tab w:val="right" w:leader="dot" w:pos="9062"/>
            </w:tabs>
            <w:rPr>
              <w:rFonts w:asciiTheme="minorHAnsi" w:eastAsiaTheme="minorEastAsia" w:hAnsiTheme="minorHAnsi" w:cstheme="minorBidi"/>
              <w:noProof/>
              <w:sz w:val="22"/>
              <w:lang w:eastAsia="cs-CZ"/>
            </w:rPr>
          </w:pPr>
          <w:hyperlink w:anchor="_Toc25833338" w:history="1">
            <w:r w:rsidR="00A41459" w:rsidRPr="00A80411">
              <w:rPr>
                <w:rStyle w:val="Hypertextovodkaz"/>
                <w:noProof/>
              </w:rPr>
              <w:t>A) Pravidelné úhrady za služby spojené s užíváním bytu</w:t>
            </w:r>
            <w:r w:rsidR="00A41459">
              <w:rPr>
                <w:noProof/>
                <w:webHidden/>
              </w:rPr>
              <w:tab/>
            </w:r>
            <w:r w:rsidR="00A41459">
              <w:rPr>
                <w:noProof/>
                <w:webHidden/>
              </w:rPr>
              <w:fldChar w:fldCharType="begin"/>
            </w:r>
            <w:r w:rsidR="00A41459">
              <w:rPr>
                <w:noProof/>
                <w:webHidden/>
              </w:rPr>
              <w:instrText xml:space="preserve"> PAGEREF _Toc25833338 \h </w:instrText>
            </w:r>
            <w:r w:rsidR="00A41459">
              <w:rPr>
                <w:noProof/>
                <w:webHidden/>
              </w:rPr>
            </w:r>
            <w:r w:rsidR="00A41459">
              <w:rPr>
                <w:noProof/>
                <w:webHidden/>
              </w:rPr>
              <w:fldChar w:fldCharType="separate"/>
            </w:r>
            <w:r w:rsidR="00762634">
              <w:rPr>
                <w:noProof/>
                <w:webHidden/>
              </w:rPr>
              <w:t>5</w:t>
            </w:r>
            <w:r w:rsidR="00A41459">
              <w:rPr>
                <w:noProof/>
                <w:webHidden/>
              </w:rPr>
              <w:fldChar w:fldCharType="end"/>
            </w:r>
          </w:hyperlink>
        </w:p>
        <w:p w:rsidR="00A41459" w:rsidRDefault="00A656B4">
          <w:pPr>
            <w:pStyle w:val="Obsah4"/>
            <w:tabs>
              <w:tab w:val="right" w:leader="dot" w:pos="9062"/>
            </w:tabs>
            <w:rPr>
              <w:rFonts w:asciiTheme="minorHAnsi" w:eastAsiaTheme="minorEastAsia" w:hAnsiTheme="minorHAnsi" w:cstheme="minorBidi"/>
              <w:noProof/>
              <w:sz w:val="22"/>
              <w:lang w:eastAsia="cs-CZ"/>
            </w:rPr>
          </w:pPr>
          <w:hyperlink w:anchor="_Toc25833339" w:history="1">
            <w:r w:rsidR="00A41459" w:rsidRPr="00A80411">
              <w:rPr>
                <w:rStyle w:val="Hypertextovodkaz"/>
                <w:noProof/>
                <w:lang w:eastAsia="cs-CZ"/>
              </w:rPr>
              <w:t>1. Náklady na dálkové teplo (DT)</w:t>
            </w:r>
            <w:r w:rsidR="00A41459">
              <w:rPr>
                <w:noProof/>
                <w:webHidden/>
              </w:rPr>
              <w:tab/>
            </w:r>
            <w:r w:rsidR="00A41459">
              <w:rPr>
                <w:noProof/>
                <w:webHidden/>
              </w:rPr>
              <w:fldChar w:fldCharType="begin"/>
            </w:r>
            <w:r w:rsidR="00A41459">
              <w:rPr>
                <w:noProof/>
                <w:webHidden/>
              </w:rPr>
              <w:instrText xml:space="preserve"> PAGEREF _Toc25833339 \h </w:instrText>
            </w:r>
            <w:r w:rsidR="00A41459">
              <w:rPr>
                <w:noProof/>
                <w:webHidden/>
              </w:rPr>
            </w:r>
            <w:r w:rsidR="00A41459">
              <w:rPr>
                <w:noProof/>
                <w:webHidden/>
              </w:rPr>
              <w:fldChar w:fldCharType="separate"/>
            </w:r>
            <w:r w:rsidR="00762634">
              <w:rPr>
                <w:noProof/>
                <w:webHidden/>
              </w:rPr>
              <w:t>9</w:t>
            </w:r>
            <w:r w:rsidR="00A41459">
              <w:rPr>
                <w:noProof/>
                <w:webHidden/>
              </w:rPr>
              <w:fldChar w:fldCharType="end"/>
            </w:r>
          </w:hyperlink>
        </w:p>
        <w:p w:rsidR="00A41459" w:rsidRDefault="00A656B4">
          <w:pPr>
            <w:pStyle w:val="Obsah4"/>
            <w:tabs>
              <w:tab w:val="right" w:leader="dot" w:pos="9062"/>
            </w:tabs>
            <w:rPr>
              <w:rFonts w:asciiTheme="minorHAnsi" w:eastAsiaTheme="minorEastAsia" w:hAnsiTheme="minorHAnsi" w:cstheme="minorBidi"/>
              <w:noProof/>
              <w:sz w:val="22"/>
              <w:lang w:eastAsia="cs-CZ"/>
            </w:rPr>
          </w:pPr>
          <w:hyperlink w:anchor="_Toc25833340" w:history="1">
            <w:r w:rsidR="00A41459" w:rsidRPr="00A80411">
              <w:rPr>
                <w:rStyle w:val="Hypertextovodkaz"/>
                <w:noProof/>
              </w:rPr>
              <w:t>2. Náklady na vodné a stočné</w:t>
            </w:r>
            <w:r w:rsidR="00A41459">
              <w:rPr>
                <w:noProof/>
                <w:webHidden/>
              </w:rPr>
              <w:tab/>
            </w:r>
            <w:r w:rsidR="00A41459">
              <w:rPr>
                <w:noProof/>
                <w:webHidden/>
              </w:rPr>
              <w:fldChar w:fldCharType="begin"/>
            </w:r>
            <w:r w:rsidR="00A41459">
              <w:rPr>
                <w:noProof/>
                <w:webHidden/>
              </w:rPr>
              <w:instrText xml:space="preserve"> PAGEREF _Toc25833340 \h </w:instrText>
            </w:r>
            <w:r w:rsidR="00A41459">
              <w:rPr>
                <w:noProof/>
                <w:webHidden/>
              </w:rPr>
            </w:r>
            <w:r w:rsidR="00A41459">
              <w:rPr>
                <w:noProof/>
                <w:webHidden/>
              </w:rPr>
              <w:fldChar w:fldCharType="separate"/>
            </w:r>
            <w:r w:rsidR="00762634">
              <w:rPr>
                <w:noProof/>
                <w:webHidden/>
              </w:rPr>
              <w:t>10</w:t>
            </w:r>
            <w:r w:rsidR="00A41459">
              <w:rPr>
                <w:noProof/>
                <w:webHidden/>
              </w:rPr>
              <w:fldChar w:fldCharType="end"/>
            </w:r>
          </w:hyperlink>
        </w:p>
        <w:p w:rsidR="00A41459" w:rsidRDefault="00A656B4">
          <w:pPr>
            <w:pStyle w:val="Obsah4"/>
            <w:tabs>
              <w:tab w:val="right" w:leader="dot" w:pos="9062"/>
            </w:tabs>
            <w:rPr>
              <w:rFonts w:asciiTheme="minorHAnsi" w:eastAsiaTheme="minorEastAsia" w:hAnsiTheme="minorHAnsi" w:cstheme="minorBidi"/>
              <w:noProof/>
              <w:sz w:val="22"/>
              <w:lang w:eastAsia="cs-CZ"/>
            </w:rPr>
          </w:pPr>
          <w:hyperlink w:anchor="_Toc25833341" w:history="1">
            <w:r w:rsidR="00A41459" w:rsidRPr="00A80411">
              <w:rPr>
                <w:rStyle w:val="Hypertextovodkaz"/>
                <w:noProof/>
                <w:lang w:eastAsia="cs-CZ"/>
              </w:rPr>
              <w:t>3. Náklady na dálkové teplo užité k ohřevu teplé užitkové vody (TUV)</w:t>
            </w:r>
            <w:r w:rsidR="00A41459">
              <w:rPr>
                <w:noProof/>
                <w:webHidden/>
              </w:rPr>
              <w:tab/>
            </w:r>
            <w:r w:rsidR="00A41459">
              <w:rPr>
                <w:noProof/>
                <w:webHidden/>
              </w:rPr>
              <w:fldChar w:fldCharType="begin"/>
            </w:r>
            <w:r w:rsidR="00A41459">
              <w:rPr>
                <w:noProof/>
                <w:webHidden/>
              </w:rPr>
              <w:instrText xml:space="preserve"> PAGEREF _Toc25833341 \h </w:instrText>
            </w:r>
            <w:r w:rsidR="00A41459">
              <w:rPr>
                <w:noProof/>
                <w:webHidden/>
              </w:rPr>
            </w:r>
            <w:r w:rsidR="00A41459">
              <w:rPr>
                <w:noProof/>
                <w:webHidden/>
              </w:rPr>
              <w:fldChar w:fldCharType="separate"/>
            </w:r>
            <w:r w:rsidR="00762634">
              <w:rPr>
                <w:noProof/>
                <w:webHidden/>
              </w:rPr>
              <w:t>13</w:t>
            </w:r>
            <w:r w:rsidR="00A41459">
              <w:rPr>
                <w:noProof/>
                <w:webHidden/>
              </w:rPr>
              <w:fldChar w:fldCharType="end"/>
            </w:r>
          </w:hyperlink>
        </w:p>
        <w:p w:rsidR="00A41459" w:rsidRDefault="00A656B4">
          <w:pPr>
            <w:pStyle w:val="Obsah4"/>
            <w:tabs>
              <w:tab w:val="right" w:leader="dot" w:pos="9062"/>
            </w:tabs>
            <w:rPr>
              <w:rFonts w:asciiTheme="minorHAnsi" w:eastAsiaTheme="minorEastAsia" w:hAnsiTheme="minorHAnsi" w:cstheme="minorBidi"/>
              <w:noProof/>
              <w:sz w:val="22"/>
              <w:lang w:eastAsia="cs-CZ"/>
            </w:rPr>
          </w:pPr>
          <w:hyperlink w:anchor="_Toc25833342" w:history="1">
            <w:r w:rsidR="00A41459" w:rsidRPr="00A80411">
              <w:rPr>
                <w:rStyle w:val="Hypertextovodkaz"/>
                <w:noProof/>
                <w:lang w:eastAsia="cs-CZ"/>
              </w:rPr>
              <w:t>4. Započítané náklady na ostatní služby</w:t>
            </w:r>
            <w:r w:rsidR="00A41459">
              <w:rPr>
                <w:noProof/>
                <w:webHidden/>
              </w:rPr>
              <w:tab/>
            </w:r>
            <w:r w:rsidR="00A41459">
              <w:rPr>
                <w:noProof/>
                <w:webHidden/>
              </w:rPr>
              <w:fldChar w:fldCharType="begin"/>
            </w:r>
            <w:r w:rsidR="00A41459">
              <w:rPr>
                <w:noProof/>
                <w:webHidden/>
              </w:rPr>
              <w:instrText xml:space="preserve"> PAGEREF _Toc25833342 \h </w:instrText>
            </w:r>
            <w:r w:rsidR="00A41459">
              <w:rPr>
                <w:noProof/>
                <w:webHidden/>
              </w:rPr>
            </w:r>
            <w:r w:rsidR="00A41459">
              <w:rPr>
                <w:noProof/>
                <w:webHidden/>
              </w:rPr>
              <w:fldChar w:fldCharType="separate"/>
            </w:r>
            <w:r w:rsidR="00762634">
              <w:rPr>
                <w:noProof/>
                <w:webHidden/>
              </w:rPr>
              <w:t>15</w:t>
            </w:r>
            <w:r w:rsidR="00A41459">
              <w:rPr>
                <w:noProof/>
                <w:webHidden/>
              </w:rPr>
              <w:fldChar w:fldCharType="end"/>
            </w:r>
          </w:hyperlink>
        </w:p>
        <w:p w:rsidR="00A41459" w:rsidRDefault="00A656B4">
          <w:pPr>
            <w:pStyle w:val="Obsah2"/>
            <w:tabs>
              <w:tab w:val="right" w:leader="dot" w:pos="9062"/>
            </w:tabs>
            <w:rPr>
              <w:rFonts w:asciiTheme="minorHAnsi" w:eastAsiaTheme="minorEastAsia" w:hAnsiTheme="minorHAnsi" w:cstheme="minorBidi"/>
              <w:noProof/>
              <w:sz w:val="22"/>
              <w:lang w:eastAsia="cs-CZ"/>
            </w:rPr>
          </w:pPr>
          <w:hyperlink w:anchor="_Toc25833343" w:history="1">
            <w:r w:rsidR="00A41459" w:rsidRPr="00A80411">
              <w:rPr>
                <w:rStyle w:val="Hypertextovodkaz"/>
                <w:noProof/>
              </w:rPr>
              <w:t>B) Úhrada prokazatelné nezbytné spotřeby energií</w:t>
            </w:r>
            <w:r w:rsidR="00A41459">
              <w:rPr>
                <w:noProof/>
                <w:webHidden/>
              </w:rPr>
              <w:tab/>
            </w:r>
            <w:r w:rsidR="00A41459">
              <w:rPr>
                <w:noProof/>
                <w:webHidden/>
              </w:rPr>
              <w:fldChar w:fldCharType="begin"/>
            </w:r>
            <w:r w:rsidR="00A41459">
              <w:rPr>
                <w:noProof/>
                <w:webHidden/>
              </w:rPr>
              <w:instrText xml:space="preserve"> PAGEREF _Toc25833343 \h </w:instrText>
            </w:r>
            <w:r w:rsidR="00A41459">
              <w:rPr>
                <w:noProof/>
                <w:webHidden/>
              </w:rPr>
            </w:r>
            <w:r w:rsidR="00A41459">
              <w:rPr>
                <w:noProof/>
                <w:webHidden/>
              </w:rPr>
              <w:fldChar w:fldCharType="separate"/>
            </w:r>
            <w:r w:rsidR="00762634">
              <w:rPr>
                <w:noProof/>
                <w:webHidden/>
              </w:rPr>
              <w:t>18</w:t>
            </w:r>
            <w:r w:rsidR="00A41459">
              <w:rPr>
                <w:noProof/>
                <w:webHidden/>
              </w:rPr>
              <w:fldChar w:fldCharType="end"/>
            </w:r>
          </w:hyperlink>
        </w:p>
        <w:p w:rsidR="00A41459" w:rsidRDefault="00A656B4">
          <w:pPr>
            <w:pStyle w:val="Obsah4"/>
            <w:tabs>
              <w:tab w:val="right" w:leader="dot" w:pos="9062"/>
            </w:tabs>
            <w:rPr>
              <w:rFonts w:asciiTheme="minorHAnsi" w:eastAsiaTheme="minorEastAsia" w:hAnsiTheme="minorHAnsi" w:cstheme="minorBidi"/>
              <w:noProof/>
              <w:sz w:val="22"/>
              <w:lang w:eastAsia="cs-CZ"/>
            </w:rPr>
          </w:pPr>
          <w:hyperlink w:anchor="_Toc25833344" w:history="1">
            <w:r w:rsidR="00A41459" w:rsidRPr="00A80411">
              <w:rPr>
                <w:rStyle w:val="Hypertextovodkaz"/>
                <w:noProof/>
              </w:rPr>
              <w:t>1. Elektrická energie</w:t>
            </w:r>
            <w:r w:rsidR="00A41459">
              <w:rPr>
                <w:noProof/>
                <w:webHidden/>
              </w:rPr>
              <w:tab/>
            </w:r>
            <w:r w:rsidR="00A41459">
              <w:rPr>
                <w:noProof/>
                <w:webHidden/>
              </w:rPr>
              <w:fldChar w:fldCharType="begin"/>
            </w:r>
            <w:r w:rsidR="00A41459">
              <w:rPr>
                <w:noProof/>
                <w:webHidden/>
              </w:rPr>
              <w:instrText xml:space="preserve"> PAGEREF _Toc25833344 \h </w:instrText>
            </w:r>
            <w:r w:rsidR="00A41459">
              <w:rPr>
                <w:noProof/>
                <w:webHidden/>
              </w:rPr>
            </w:r>
            <w:r w:rsidR="00A41459">
              <w:rPr>
                <w:noProof/>
                <w:webHidden/>
              </w:rPr>
              <w:fldChar w:fldCharType="separate"/>
            </w:r>
            <w:r w:rsidR="00762634">
              <w:rPr>
                <w:noProof/>
                <w:webHidden/>
              </w:rPr>
              <w:t>22</w:t>
            </w:r>
            <w:r w:rsidR="00A41459">
              <w:rPr>
                <w:noProof/>
                <w:webHidden/>
              </w:rPr>
              <w:fldChar w:fldCharType="end"/>
            </w:r>
          </w:hyperlink>
        </w:p>
        <w:p w:rsidR="00A41459" w:rsidRDefault="00A656B4">
          <w:pPr>
            <w:pStyle w:val="Obsah4"/>
            <w:tabs>
              <w:tab w:val="right" w:leader="dot" w:pos="9062"/>
            </w:tabs>
            <w:rPr>
              <w:rFonts w:asciiTheme="minorHAnsi" w:eastAsiaTheme="minorEastAsia" w:hAnsiTheme="minorHAnsi" w:cstheme="minorBidi"/>
              <w:noProof/>
              <w:sz w:val="22"/>
              <w:lang w:eastAsia="cs-CZ"/>
            </w:rPr>
          </w:pPr>
          <w:hyperlink w:anchor="_Toc25833345" w:history="1">
            <w:r w:rsidR="00A41459" w:rsidRPr="00A80411">
              <w:rPr>
                <w:rStyle w:val="Hypertextovodkaz"/>
                <w:noProof/>
              </w:rPr>
              <w:t>2. Plyn</w:t>
            </w:r>
            <w:r w:rsidR="00A41459">
              <w:rPr>
                <w:noProof/>
                <w:webHidden/>
              </w:rPr>
              <w:tab/>
            </w:r>
            <w:r w:rsidR="00A41459">
              <w:rPr>
                <w:noProof/>
                <w:webHidden/>
              </w:rPr>
              <w:fldChar w:fldCharType="begin"/>
            </w:r>
            <w:r w:rsidR="00A41459">
              <w:rPr>
                <w:noProof/>
                <w:webHidden/>
              </w:rPr>
              <w:instrText xml:space="preserve"> PAGEREF _Toc25833345 \h </w:instrText>
            </w:r>
            <w:r w:rsidR="00A41459">
              <w:rPr>
                <w:noProof/>
                <w:webHidden/>
              </w:rPr>
            </w:r>
            <w:r w:rsidR="00A41459">
              <w:rPr>
                <w:noProof/>
                <w:webHidden/>
              </w:rPr>
              <w:fldChar w:fldCharType="separate"/>
            </w:r>
            <w:r w:rsidR="00762634">
              <w:rPr>
                <w:noProof/>
                <w:webHidden/>
              </w:rPr>
              <w:t>25</w:t>
            </w:r>
            <w:r w:rsidR="00A41459">
              <w:rPr>
                <w:noProof/>
                <w:webHidden/>
              </w:rPr>
              <w:fldChar w:fldCharType="end"/>
            </w:r>
          </w:hyperlink>
        </w:p>
        <w:p w:rsidR="00A41459" w:rsidRDefault="00A656B4">
          <w:pPr>
            <w:pStyle w:val="Obsah4"/>
            <w:tabs>
              <w:tab w:val="right" w:leader="dot" w:pos="9062"/>
            </w:tabs>
            <w:rPr>
              <w:rFonts w:asciiTheme="minorHAnsi" w:eastAsiaTheme="minorEastAsia" w:hAnsiTheme="minorHAnsi" w:cstheme="minorBidi"/>
              <w:noProof/>
              <w:sz w:val="22"/>
              <w:lang w:eastAsia="cs-CZ"/>
            </w:rPr>
          </w:pPr>
          <w:hyperlink w:anchor="_Toc25833346" w:history="1">
            <w:r w:rsidR="00A41459" w:rsidRPr="00A80411">
              <w:rPr>
                <w:rStyle w:val="Hypertextovodkaz"/>
                <w:noProof/>
              </w:rPr>
              <w:t>3. Ostatní energie</w:t>
            </w:r>
            <w:r w:rsidR="00A41459">
              <w:rPr>
                <w:noProof/>
                <w:webHidden/>
              </w:rPr>
              <w:tab/>
            </w:r>
            <w:r w:rsidR="00A41459">
              <w:rPr>
                <w:noProof/>
                <w:webHidden/>
              </w:rPr>
              <w:fldChar w:fldCharType="begin"/>
            </w:r>
            <w:r w:rsidR="00A41459">
              <w:rPr>
                <w:noProof/>
                <w:webHidden/>
              </w:rPr>
              <w:instrText xml:space="preserve"> PAGEREF _Toc25833346 \h </w:instrText>
            </w:r>
            <w:r w:rsidR="00A41459">
              <w:rPr>
                <w:noProof/>
                <w:webHidden/>
              </w:rPr>
            </w:r>
            <w:r w:rsidR="00A41459">
              <w:rPr>
                <w:noProof/>
                <w:webHidden/>
              </w:rPr>
              <w:fldChar w:fldCharType="separate"/>
            </w:r>
            <w:r w:rsidR="00762634">
              <w:rPr>
                <w:noProof/>
                <w:webHidden/>
              </w:rPr>
              <w:t>27</w:t>
            </w:r>
            <w:r w:rsidR="00A41459">
              <w:rPr>
                <w:noProof/>
                <w:webHidden/>
              </w:rPr>
              <w:fldChar w:fldCharType="end"/>
            </w:r>
          </w:hyperlink>
        </w:p>
        <w:p w:rsidR="00A41459" w:rsidRDefault="00A656B4">
          <w:pPr>
            <w:pStyle w:val="Obsah2"/>
            <w:tabs>
              <w:tab w:val="right" w:leader="dot" w:pos="9062"/>
            </w:tabs>
            <w:rPr>
              <w:rFonts w:asciiTheme="minorHAnsi" w:eastAsiaTheme="minorEastAsia" w:hAnsiTheme="minorHAnsi" w:cstheme="minorBidi"/>
              <w:noProof/>
              <w:sz w:val="22"/>
              <w:lang w:eastAsia="cs-CZ"/>
            </w:rPr>
          </w:pPr>
          <w:hyperlink w:anchor="_Toc25833347" w:history="1">
            <w:r w:rsidR="00A41459" w:rsidRPr="00A80411">
              <w:rPr>
                <w:rStyle w:val="Hypertextovodkaz"/>
                <w:noProof/>
              </w:rPr>
              <w:t>C) ONB u substandardních forem bydlení</w:t>
            </w:r>
            <w:r w:rsidR="00A41459">
              <w:rPr>
                <w:noProof/>
                <w:webHidden/>
              </w:rPr>
              <w:tab/>
            </w:r>
            <w:r w:rsidR="00A41459">
              <w:rPr>
                <w:noProof/>
                <w:webHidden/>
              </w:rPr>
              <w:fldChar w:fldCharType="begin"/>
            </w:r>
            <w:r w:rsidR="00A41459">
              <w:rPr>
                <w:noProof/>
                <w:webHidden/>
              </w:rPr>
              <w:instrText xml:space="preserve"> PAGEREF _Toc25833347 \h </w:instrText>
            </w:r>
            <w:r w:rsidR="00A41459">
              <w:rPr>
                <w:noProof/>
                <w:webHidden/>
              </w:rPr>
            </w:r>
            <w:r w:rsidR="00A41459">
              <w:rPr>
                <w:noProof/>
                <w:webHidden/>
              </w:rPr>
              <w:fldChar w:fldCharType="separate"/>
            </w:r>
            <w:r w:rsidR="00762634">
              <w:rPr>
                <w:noProof/>
                <w:webHidden/>
              </w:rPr>
              <w:t>28</w:t>
            </w:r>
            <w:r w:rsidR="00A41459">
              <w:rPr>
                <w:noProof/>
                <w:webHidden/>
              </w:rPr>
              <w:fldChar w:fldCharType="end"/>
            </w:r>
          </w:hyperlink>
        </w:p>
        <w:p w:rsidR="00A41459" w:rsidRDefault="00A656B4">
          <w:pPr>
            <w:pStyle w:val="Obsah1"/>
            <w:rPr>
              <w:rFonts w:asciiTheme="minorHAnsi" w:eastAsiaTheme="minorEastAsia" w:hAnsiTheme="minorHAnsi" w:cstheme="minorBidi"/>
              <w:noProof/>
              <w:sz w:val="22"/>
              <w:lang w:eastAsia="cs-CZ"/>
            </w:rPr>
          </w:pPr>
          <w:hyperlink w:anchor="_Toc25833348" w:history="1">
            <w:r w:rsidR="00A41459" w:rsidRPr="00A80411">
              <w:rPr>
                <w:rStyle w:val="Hypertextovodkaz"/>
                <w:noProof/>
              </w:rPr>
              <w:t>Článek III.</w:t>
            </w:r>
            <w:r w:rsidR="00A41459">
              <w:rPr>
                <w:noProof/>
                <w:webHidden/>
              </w:rPr>
              <w:tab/>
            </w:r>
            <w:r w:rsidR="00A41459">
              <w:rPr>
                <w:noProof/>
                <w:webHidden/>
              </w:rPr>
              <w:fldChar w:fldCharType="begin"/>
            </w:r>
            <w:r w:rsidR="00A41459">
              <w:rPr>
                <w:noProof/>
                <w:webHidden/>
              </w:rPr>
              <w:instrText xml:space="preserve"> PAGEREF _Toc25833348 \h </w:instrText>
            </w:r>
            <w:r w:rsidR="00A41459">
              <w:rPr>
                <w:noProof/>
                <w:webHidden/>
              </w:rPr>
            </w:r>
            <w:r w:rsidR="00A41459">
              <w:rPr>
                <w:noProof/>
                <w:webHidden/>
              </w:rPr>
              <w:fldChar w:fldCharType="separate"/>
            </w:r>
            <w:r w:rsidR="00762634">
              <w:rPr>
                <w:noProof/>
                <w:webHidden/>
              </w:rPr>
              <w:t>30</w:t>
            </w:r>
            <w:r w:rsidR="00A41459">
              <w:rPr>
                <w:noProof/>
                <w:webHidden/>
              </w:rPr>
              <w:fldChar w:fldCharType="end"/>
            </w:r>
          </w:hyperlink>
        </w:p>
        <w:p w:rsidR="00A41459" w:rsidRDefault="00A656B4">
          <w:pPr>
            <w:pStyle w:val="Obsah2"/>
            <w:tabs>
              <w:tab w:val="right" w:leader="dot" w:pos="9062"/>
            </w:tabs>
            <w:rPr>
              <w:rFonts w:asciiTheme="minorHAnsi" w:eastAsiaTheme="minorEastAsia" w:hAnsiTheme="minorHAnsi" w:cstheme="minorBidi"/>
              <w:noProof/>
              <w:sz w:val="22"/>
              <w:lang w:eastAsia="cs-CZ"/>
            </w:rPr>
          </w:pPr>
          <w:hyperlink w:anchor="_Toc25833349" w:history="1">
            <w:r w:rsidR="00A41459" w:rsidRPr="00A80411">
              <w:rPr>
                <w:rStyle w:val="Hypertextovodkaz"/>
                <w:noProof/>
              </w:rPr>
              <w:t>Vyúčtování energií a služeb</w:t>
            </w:r>
            <w:r w:rsidR="00A41459">
              <w:rPr>
                <w:noProof/>
                <w:webHidden/>
              </w:rPr>
              <w:tab/>
            </w:r>
            <w:r w:rsidR="00A41459">
              <w:rPr>
                <w:noProof/>
                <w:webHidden/>
              </w:rPr>
              <w:fldChar w:fldCharType="begin"/>
            </w:r>
            <w:r w:rsidR="00A41459">
              <w:rPr>
                <w:noProof/>
                <w:webHidden/>
              </w:rPr>
              <w:instrText xml:space="preserve"> PAGEREF _Toc25833349 \h </w:instrText>
            </w:r>
            <w:r w:rsidR="00A41459">
              <w:rPr>
                <w:noProof/>
                <w:webHidden/>
              </w:rPr>
            </w:r>
            <w:r w:rsidR="00A41459">
              <w:rPr>
                <w:noProof/>
                <w:webHidden/>
              </w:rPr>
              <w:fldChar w:fldCharType="separate"/>
            </w:r>
            <w:r w:rsidR="00762634">
              <w:rPr>
                <w:noProof/>
                <w:webHidden/>
              </w:rPr>
              <w:t>30</w:t>
            </w:r>
            <w:r w:rsidR="00A41459">
              <w:rPr>
                <w:noProof/>
                <w:webHidden/>
              </w:rPr>
              <w:fldChar w:fldCharType="end"/>
            </w:r>
          </w:hyperlink>
        </w:p>
        <w:p w:rsidR="00A41459" w:rsidRDefault="00A656B4">
          <w:pPr>
            <w:pStyle w:val="Obsah4"/>
            <w:tabs>
              <w:tab w:val="right" w:leader="dot" w:pos="9062"/>
            </w:tabs>
            <w:rPr>
              <w:rFonts w:asciiTheme="minorHAnsi" w:eastAsiaTheme="minorEastAsia" w:hAnsiTheme="minorHAnsi" w:cstheme="minorBidi"/>
              <w:noProof/>
              <w:sz w:val="22"/>
              <w:lang w:eastAsia="cs-CZ"/>
            </w:rPr>
          </w:pPr>
          <w:hyperlink w:anchor="_Toc25833350" w:history="1">
            <w:r w:rsidR="00A41459" w:rsidRPr="00A80411">
              <w:rPr>
                <w:rStyle w:val="Hypertextovodkaz"/>
                <w:noProof/>
              </w:rPr>
              <w:t>Vyhodnocení přeplatku/doplatku z vyúčtování</w:t>
            </w:r>
            <w:r w:rsidR="00A41459">
              <w:rPr>
                <w:noProof/>
                <w:webHidden/>
              </w:rPr>
              <w:tab/>
            </w:r>
            <w:r w:rsidR="00A41459">
              <w:rPr>
                <w:noProof/>
                <w:webHidden/>
              </w:rPr>
              <w:fldChar w:fldCharType="begin"/>
            </w:r>
            <w:r w:rsidR="00A41459">
              <w:rPr>
                <w:noProof/>
                <w:webHidden/>
              </w:rPr>
              <w:instrText xml:space="preserve"> PAGEREF _Toc25833350 \h </w:instrText>
            </w:r>
            <w:r w:rsidR="00A41459">
              <w:rPr>
                <w:noProof/>
                <w:webHidden/>
              </w:rPr>
            </w:r>
            <w:r w:rsidR="00A41459">
              <w:rPr>
                <w:noProof/>
                <w:webHidden/>
              </w:rPr>
              <w:fldChar w:fldCharType="separate"/>
            </w:r>
            <w:r w:rsidR="00762634">
              <w:rPr>
                <w:noProof/>
                <w:webHidden/>
              </w:rPr>
              <w:t>35</w:t>
            </w:r>
            <w:r w:rsidR="00A41459">
              <w:rPr>
                <w:noProof/>
                <w:webHidden/>
              </w:rPr>
              <w:fldChar w:fldCharType="end"/>
            </w:r>
          </w:hyperlink>
        </w:p>
        <w:p w:rsidR="00A41459" w:rsidRDefault="00A656B4">
          <w:pPr>
            <w:pStyle w:val="Obsah4"/>
            <w:tabs>
              <w:tab w:val="right" w:leader="dot" w:pos="9062"/>
            </w:tabs>
            <w:rPr>
              <w:rFonts w:asciiTheme="minorHAnsi" w:eastAsiaTheme="minorEastAsia" w:hAnsiTheme="minorHAnsi" w:cstheme="minorBidi"/>
              <w:noProof/>
              <w:sz w:val="22"/>
              <w:lang w:eastAsia="cs-CZ"/>
            </w:rPr>
          </w:pPr>
          <w:hyperlink w:anchor="_Toc25833351" w:history="1">
            <w:r w:rsidR="00A41459" w:rsidRPr="00A80411">
              <w:rPr>
                <w:rStyle w:val="Hypertextovodkaz"/>
                <w:noProof/>
              </w:rPr>
              <w:t>Postup při vzniku přeplatků a doplatků z vyúčtování za energie a služby</w:t>
            </w:r>
            <w:r w:rsidR="00A41459">
              <w:rPr>
                <w:noProof/>
                <w:webHidden/>
              </w:rPr>
              <w:tab/>
            </w:r>
            <w:r w:rsidR="00A41459">
              <w:rPr>
                <w:noProof/>
                <w:webHidden/>
              </w:rPr>
              <w:fldChar w:fldCharType="begin"/>
            </w:r>
            <w:r w:rsidR="00A41459">
              <w:rPr>
                <w:noProof/>
                <w:webHidden/>
              </w:rPr>
              <w:instrText xml:space="preserve"> PAGEREF _Toc25833351 \h </w:instrText>
            </w:r>
            <w:r w:rsidR="00A41459">
              <w:rPr>
                <w:noProof/>
                <w:webHidden/>
              </w:rPr>
            </w:r>
            <w:r w:rsidR="00A41459">
              <w:rPr>
                <w:noProof/>
                <w:webHidden/>
              </w:rPr>
              <w:fldChar w:fldCharType="separate"/>
            </w:r>
            <w:r w:rsidR="00762634">
              <w:rPr>
                <w:noProof/>
                <w:webHidden/>
              </w:rPr>
              <w:t>36</w:t>
            </w:r>
            <w:r w:rsidR="00A41459">
              <w:rPr>
                <w:noProof/>
                <w:webHidden/>
              </w:rPr>
              <w:fldChar w:fldCharType="end"/>
            </w:r>
          </w:hyperlink>
        </w:p>
        <w:p w:rsidR="00A41459" w:rsidRDefault="00A656B4">
          <w:pPr>
            <w:pStyle w:val="Obsah1"/>
            <w:rPr>
              <w:rFonts w:asciiTheme="minorHAnsi" w:eastAsiaTheme="minorEastAsia" w:hAnsiTheme="minorHAnsi" w:cstheme="minorBidi"/>
              <w:noProof/>
              <w:sz w:val="22"/>
              <w:lang w:eastAsia="cs-CZ"/>
            </w:rPr>
          </w:pPr>
          <w:hyperlink w:anchor="_Toc25833352" w:history="1">
            <w:r w:rsidR="00A41459" w:rsidRPr="00A80411">
              <w:rPr>
                <w:rStyle w:val="Hypertextovodkaz"/>
                <w:noProof/>
              </w:rPr>
              <w:t>Článek IV.</w:t>
            </w:r>
            <w:r w:rsidR="00A41459">
              <w:rPr>
                <w:noProof/>
                <w:webHidden/>
              </w:rPr>
              <w:tab/>
            </w:r>
            <w:r w:rsidR="00A41459">
              <w:rPr>
                <w:noProof/>
                <w:webHidden/>
              </w:rPr>
              <w:fldChar w:fldCharType="begin"/>
            </w:r>
            <w:r w:rsidR="00A41459">
              <w:rPr>
                <w:noProof/>
                <w:webHidden/>
              </w:rPr>
              <w:instrText xml:space="preserve"> PAGEREF _Toc25833352 \h </w:instrText>
            </w:r>
            <w:r w:rsidR="00A41459">
              <w:rPr>
                <w:noProof/>
                <w:webHidden/>
              </w:rPr>
            </w:r>
            <w:r w:rsidR="00A41459">
              <w:rPr>
                <w:noProof/>
                <w:webHidden/>
              </w:rPr>
              <w:fldChar w:fldCharType="separate"/>
            </w:r>
            <w:r w:rsidR="00762634">
              <w:rPr>
                <w:noProof/>
                <w:webHidden/>
              </w:rPr>
              <w:t>38</w:t>
            </w:r>
            <w:r w:rsidR="00A41459">
              <w:rPr>
                <w:noProof/>
                <w:webHidden/>
              </w:rPr>
              <w:fldChar w:fldCharType="end"/>
            </w:r>
          </w:hyperlink>
        </w:p>
        <w:p w:rsidR="00A41459" w:rsidRDefault="00A656B4">
          <w:pPr>
            <w:pStyle w:val="Obsah2"/>
            <w:tabs>
              <w:tab w:val="right" w:leader="dot" w:pos="9062"/>
            </w:tabs>
            <w:rPr>
              <w:rFonts w:asciiTheme="minorHAnsi" w:eastAsiaTheme="minorEastAsia" w:hAnsiTheme="minorHAnsi" w:cstheme="minorBidi"/>
              <w:noProof/>
              <w:sz w:val="22"/>
              <w:lang w:eastAsia="cs-CZ"/>
            </w:rPr>
          </w:pPr>
          <w:hyperlink w:anchor="_Toc25833353" w:history="1">
            <w:r w:rsidR="00A41459" w:rsidRPr="00A80411">
              <w:rPr>
                <w:rStyle w:val="Hypertextovodkaz"/>
                <w:noProof/>
              </w:rPr>
              <w:t>ONB u části bytu užívanými osobami, které nejsou společně posuzované</w:t>
            </w:r>
            <w:r w:rsidR="00A41459">
              <w:rPr>
                <w:noProof/>
                <w:webHidden/>
              </w:rPr>
              <w:tab/>
            </w:r>
            <w:r w:rsidR="00A41459">
              <w:rPr>
                <w:noProof/>
                <w:webHidden/>
              </w:rPr>
              <w:fldChar w:fldCharType="begin"/>
            </w:r>
            <w:r w:rsidR="00A41459">
              <w:rPr>
                <w:noProof/>
                <w:webHidden/>
              </w:rPr>
              <w:instrText xml:space="preserve"> PAGEREF _Toc25833353 \h </w:instrText>
            </w:r>
            <w:r w:rsidR="00A41459">
              <w:rPr>
                <w:noProof/>
                <w:webHidden/>
              </w:rPr>
            </w:r>
            <w:r w:rsidR="00A41459">
              <w:rPr>
                <w:noProof/>
                <w:webHidden/>
              </w:rPr>
              <w:fldChar w:fldCharType="separate"/>
            </w:r>
            <w:r w:rsidR="00762634">
              <w:rPr>
                <w:noProof/>
                <w:webHidden/>
              </w:rPr>
              <w:t>38</w:t>
            </w:r>
            <w:r w:rsidR="00A41459">
              <w:rPr>
                <w:noProof/>
                <w:webHidden/>
              </w:rPr>
              <w:fldChar w:fldCharType="end"/>
            </w:r>
          </w:hyperlink>
        </w:p>
        <w:p w:rsidR="00A41459" w:rsidRDefault="00A656B4">
          <w:pPr>
            <w:pStyle w:val="Obsah1"/>
            <w:rPr>
              <w:rFonts w:asciiTheme="minorHAnsi" w:eastAsiaTheme="minorEastAsia" w:hAnsiTheme="minorHAnsi" w:cstheme="minorBidi"/>
              <w:noProof/>
              <w:sz w:val="22"/>
              <w:lang w:eastAsia="cs-CZ"/>
            </w:rPr>
          </w:pPr>
          <w:hyperlink w:anchor="_Toc25833354" w:history="1">
            <w:r w:rsidR="00A41459" w:rsidRPr="00A80411">
              <w:rPr>
                <w:rStyle w:val="Hypertextovodkaz"/>
                <w:noProof/>
              </w:rPr>
              <w:t>Článek V.</w:t>
            </w:r>
            <w:r w:rsidR="00A41459">
              <w:rPr>
                <w:noProof/>
                <w:webHidden/>
              </w:rPr>
              <w:tab/>
            </w:r>
            <w:r w:rsidR="00A41459">
              <w:rPr>
                <w:noProof/>
                <w:webHidden/>
              </w:rPr>
              <w:fldChar w:fldCharType="begin"/>
            </w:r>
            <w:r w:rsidR="00A41459">
              <w:rPr>
                <w:noProof/>
                <w:webHidden/>
              </w:rPr>
              <w:instrText xml:space="preserve"> PAGEREF _Toc25833354 \h </w:instrText>
            </w:r>
            <w:r w:rsidR="00A41459">
              <w:rPr>
                <w:noProof/>
                <w:webHidden/>
              </w:rPr>
            </w:r>
            <w:r w:rsidR="00A41459">
              <w:rPr>
                <w:noProof/>
                <w:webHidden/>
              </w:rPr>
              <w:fldChar w:fldCharType="separate"/>
            </w:r>
            <w:r w:rsidR="00762634">
              <w:rPr>
                <w:noProof/>
                <w:webHidden/>
              </w:rPr>
              <w:t>40</w:t>
            </w:r>
            <w:r w:rsidR="00A41459">
              <w:rPr>
                <w:noProof/>
                <w:webHidden/>
              </w:rPr>
              <w:fldChar w:fldCharType="end"/>
            </w:r>
          </w:hyperlink>
        </w:p>
        <w:p w:rsidR="00A41459" w:rsidRDefault="00A656B4">
          <w:pPr>
            <w:pStyle w:val="Obsah2"/>
            <w:tabs>
              <w:tab w:val="right" w:leader="dot" w:pos="9062"/>
            </w:tabs>
            <w:rPr>
              <w:rFonts w:asciiTheme="minorHAnsi" w:eastAsiaTheme="minorEastAsia" w:hAnsiTheme="minorHAnsi" w:cstheme="minorBidi"/>
              <w:noProof/>
              <w:sz w:val="22"/>
              <w:lang w:eastAsia="cs-CZ"/>
            </w:rPr>
          </w:pPr>
          <w:hyperlink w:anchor="_Toc25833355" w:history="1">
            <w:r w:rsidR="00A41459" w:rsidRPr="00A80411">
              <w:rPr>
                <w:rStyle w:val="Hypertextovodkaz"/>
                <w:noProof/>
              </w:rPr>
              <w:t>Vyčíslení přeplatku/doplatku u přestěhované dávky</w:t>
            </w:r>
            <w:r w:rsidR="00A41459">
              <w:rPr>
                <w:noProof/>
                <w:webHidden/>
              </w:rPr>
              <w:tab/>
            </w:r>
            <w:r w:rsidR="00A41459">
              <w:rPr>
                <w:noProof/>
                <w:webHidden/>
              </w:rPr>
              <w:fldChar w:fldCharType="begin"/>
            </w:r>
            <w:r w:rsidR="00A41459">
              <w:rPr>
                <w:noProof/>
                <w:webHidden/>
              </w:rPr>
              <w:instrText xml:space="preserve"> PAGEREF _Toc25833355 \h </w:instrText>
            </w:r>
            <w:r w:rsidR="00A41459">
              <w:rPr>
                <w:noProof/>
                <w:webHidden/>
              </w:rPr>
            </w:r>
            <w:r w:rsidR="00A41459">
              <w:rPr>
                <w:noProof/>
                <w:webHidden/>
              </w:rPr>
              <w:fldChar w:fldCharType="separate"/>
            </w:r>
            <w:r w:rsidR="00762634">
              <w:rPr>
                <w:noProof/>
                <w:webHidden/>
              </w:rPr>
              <w:t>40</w:t>
            </w:r>
            <w:r w:rsidR="00A41459">
              <w:rPr>
                <w:noProof/>
                <w:webHidden/>
              </w:rPr>
              <w:fldChar w:fldCharType="end"/>
            </w:r>
          </w:hyperlink>
        </w:p>
        <w:p w:rsidR="005D327C" w:rsidRDefault="005D327C">
          <w:r>
            <w:rPr>
              <w:b/>
              <w:bCs/>
            </w:rPr>
            <w:fldChar w:fldCharType="end"/>
          </w:r>
        </w:p>
      </w:sdtContent>
    </w:sdt>
    <w:p w:rsidR="00746FF0" w:rsidRDefault="009B7303">
      <w:pPr>
        <w:spacing w:after="160" w:line="259" w:lineRule="auto"/>
        <w:jc w:val="left"/>
        <w:sectPr w:rsidR="00746FF0" w:rsidSect="0039750E">
          <w:footerReference w:type="default" r:id="rId9"/>
          <w:pgSz w:w="11906" w:h="16838"/>
          <w:pgMar w:top="1417" w:right="1417" w:bottom="1417" w:left="1417" w:header="708" w:footer="708" w:gutter="0"/>
          <w:pgNumType w:start="1"/>
          <w:cols w:space="708"/>
          <w:docGrid w:linePitch="360"/>
        </w:sectPr>
      </w:pPr>
      <w:r>
        <w:br w:type="page"/>
      </w:r>
    </w:p>
    <w:p w:rsidR="009B7303" w:rsidRPr="009B7303" w:rsidRDefault="009B7303" w:rsidP="009B7303">
      <w:pPr>
        <w:pStyle w:val="Nadpis1"/>
        <w:rPr>
          <w:b w:val="0"/>
        </w:rPr>
      </w:pPr>
      <w:bookmarkStart w:id="1" w:name="_Toc25833334"/>
      <w:r w:rsidRPr="009B7303">
        <w:rPr>
          <w:b w:val="0"/>
        </w:rPr>
        <w:lastRenderedPageBreak/>
        <w:t>ÚVOD</w:t>
      </w:r>
      <w:bookmarkEnd w:id="1"/>
    </w:p>
    <w:p w:rsidR="009B7303" w:rsidRDefault="009B7303" w:rsidP="006E19E1"/>
    <w:p w:rsidR="00A3185C" w:rsidRDefault="00015641" w:rsidP="00015641">
      <w:r>
        <w:t xml:space="preserve">Tato instrukce sjednocuje postup Úřadu práce České republiky (dále jen „ÚP ČR“) </w:t>
      </w:r>
      <w:r>
        <w:br/>
        <w:t xml:space="preserve">a Ministerstva práce a sociálních věcí (dále jen „MPSV“) při správním řízení </w:t>
      </w:r>
      <w:r>
        <w:br/>
        <w:t xml:space="preserve">o opakujících se dávkách příspěvku na živobytí (dále jen „PnŽ“) a doplatku </w:t>
      </w:r>
      <w:r>
        <w:br/>
        <w:t xml:space="preserve">na bydlení (dále jen „DnB“) podle zákona č. 111/2006 Sb., o pomoci v hmotné nouzi, ve znění pozdějších předpisů (dále jen „ZPHN“). </w:t>
      </w:r>
      <w:r w:rsidR="00D03B1B">
        <w:t xml:space="preserve">Postupy uvedené v instrukci jsou upraveny v rámci aplikačního programu.   </w:t>
      </w:r>
    </w:p>
    <w:p w:rsidR="00A3185C" w:rsidRDefault="00A3185C" w:rsidP="00015641"/>
    <w:p w:rsidR="00A3185C" w:rsidRDefault="00015641" w:rsidP="00A3185C">
      <w:r w:rsidRPr="00BD637C">
        <w:rPr>
          <w:b/>
        </w:rPr>
        <w:t xml:space="preserve">Instrukce je zaměřena na výklad </w:t>
      </w:r>
      <w:r>
        <w:rPr>
          <w:b/>
        </w:rPr>
        <w:t xml:space="preserve">ustanovení </w:t>
      </w:r>
      <w:r w:rsidRPr="00BD637C">
        <w:rPr>
          <w:b/>
        </w:rPr>
        <w:t xml:space="preserve">§ 34 ZPHN, </w:t>
      </w:r>
      <w:r w:rsidR="001A5E25">
        <w:rPr>
          <w:b/>
        </w:rPr>
        <w:t>v té části, která upravuje pravidelné úhrady za služby spojené s užíváním bytu a úhrady prokazatelné nezbytné spotřeby energií v rámci o</w:t>
      </w:r>
      <w:r w:rsidR="00A3185C">
        <w:rPr>
          <w:b/>
        </w:rPr>
        <w:t>důvodněn</w:t>
      </w:r>
      <w:r w:rsidR="001A5E25">
        <w:rPr>
          <w:b/>
        </w:rPr>
        <w:t>ých</w:t>
      </w:r>
      <w:r w:rsidR="00A3185C">
        <w:rPr>
          <w:b/>
        </w:rPr>
        <w:t xml:space="preserve"> náklad</w:t>
      </w:r>
      <w:r w:rsidR="001A5E25">
        <w:rPr>
          <w:b/>
        </w:rPr>
        <w:t>ů</w:t>
      </w:r>
      <w:r w:rsidR="00A3185C">
        <w:rPr>
          <w:b/>
        </w:rPr>
        <w:t xml:space="preserve"> na bydlení</w:t>
      </w:r>
      <w:r w:rsidR="001A5E25">
        <w:t xml:space="preserve"> (dále jen „ONB“)</w:t>
      </w:r>
      <w:r w:rsidR="00A3185C">
        <w:t xml:space="preserve">.  </w:t>
      </w:r>
    </w:p>
    <w:p w:rsidR="001A5E25" w:rsidRDefault="001A5E25" w:rsidP="00A3185C"/>
    <w:p w:rsidR="001A5E25" w:rsidRDefault="001A5E25" w:rsidP="00A3185C">
      <w:r>
        <w:t xml:space="preserve">Část odůvodněných nákladů na bydlení vztahujících se k nájemnému a obdobným nákladům spojeným s vlastnickou nebo družstevní formou bydlení, popřípadě obdobným nákladům </w:t>
      </w:r>
      <w:r w:rsidRPr="001A5E25">
        <w:t>při užívání bytu v jiné než nájemní, družstevní nebo vlastnické formě bydlení</w:t>
      </w:r>
      <w:r>
        <w:t>, není předmětem této instrukce.</w:t>
      </w:r>
    </w:p>
    <w:p w:rsidR="00067A33" w:rsidRDefault="00067A33">
      <w:pPr>
        <w:spacing w:after="160" w:line="259" w:lineRule="auto"/>
        <w:jc w:val="left"/>
        <w:rPr>
          <w:rFonts w:cs="Arial"/>
          <w:szCs w:val="24"/>
        </w:rPr>
      </w:pPr>
    </w:p>
    <w:p w:rsidR="00067A33" w:rsidRPr="00BD73AD" w:rsidRDefault="00067A33" w:rsidP="00B013BE">
      <w:pPr>
        <w:pBdr>
          <w:top w:val="single" w:sz="4" w:space="1" w:color="auto"/>
          <w:left w:val="single" w:sz="4" w:space="4" w:color="auto"/>
          <w:bottom w:val="single" w:sz="4" w:space="1" w:color="auto"/>
          <w:right w:val="single" w:sz="4" w:space="4" w:color="auto"/>
        </w:pBdr>
        <w:tabs>
          <w:tab w:val="left" w:pos="3315"/>
        </w:tabs>
        <w:rPr>
          <w:b/>
          <w:u w:val="single"/>
        </w:rPr>
      </w:pPr>
      <w:r>
        <w:rPr>
          <w:b/>
          <w:u w:val="single"/>
        </w:rPr>
        <w:t xml:space="preserve">Dikce § 34 ZPHN </w:t>
      </w:r>
      <w:r w:rsidRPr="00BD73AD">
        <w:rPr>
          <w:b/>
          <w:u w:val="single"/>
        </w:rPr>
        <w:t>zní</w:t>
      </w:r>
      <w:r>
        <w:rPr>
          <w:b/>
          <w:u w:val="single"/>
        </w:rPr>
        <w:t>:</w:t>
      </w:r>
    </w:p>
    <w:p w:rsidR="00067A33" w:rsidRDefault="00067A33" w:rsidP="00B013BE">
      <w:pPr>
        <w:pBdr>
          <w:top w:val="single" w:sz="4" w:space="1" w:color="auto"/>
          <w:left w:val="single" w:sz="4" w:space="4" w:color="auto"/>
          <w:bottom w:val="single" w:sz="4" w:space="1" w:color="auto"/>
          <w:right w:val="single" w:sz="4" w:space="4" w:color="auto"/>
        </w:pBdr>
        <w:rPr>
          <w:rFonts w:eastAsia="Times New Roman" w:cs="Arial"/>
          <w:color w:val="000000"/>
          <w:szCs w:val="24"/>
          <w:lang w:eastAsia="cs-CZ"/>
        </w:rPr>
      </w:pPr>
    </w:p>
    <w:p w:rsidR="00067A33" w:rsidRPr="00BD73AD" w:rsidRDefault="00067A33" w:rsidP="00B013BE">
      <w:pPr>
        <w:pBdr>
          <w:top w:val="single" w:sz="4" w:space="1" w:color="auto"/>
          <w:left w:val="single" w:sz="4" w:space="4" w:color="auto"/>
          <w:bottom w:val="single" w:sz="4" w:space="1" w:color="auto"/>
          <w:right w:val="single" w:sz="4" w:space="4" w:color="auto"/>
        </w:pBdr>
        <w:rPr>
          <w:rFonts w:eastAsia="Times New Roman" w:cs="Arial"/>
          <w:i/>
          <w:color w:val="000000"/>
          <w:szCs w:val="24"/>
          <w:lang w:eastAsia="cs-CZ"/>
        </w:rPr>
      </w:pPr>
      <w:r w:rsidRPr="00BD73AD">
        <w:rPr>
          <w:rFonts w:eastAsia="Times New Roman" w:cs="Arial"/>
          <w:i/>
          <w:color w:val="000000"/>
          <w:szCs w:val="24"/>
          <w:lang w:eastAsia="cs-CZ"/>
        </w:rPr>
        <w:t>„Do odůvodněných nákladů na bydlení se započítávají</w:t>
      </w:r>
    </w:p>
    <w:p w:rsidR="00067A33" w:rsidRPr="00BD73AD" w:rsidRDefault="00067A33" w:rsidP="00B013BE">
      <w:pPr>
        <w:pBdr>
          <w:top w:val="single" w:sz="4" w:space="1" w:color="auto"/>
          <w:left w:val="single" w:sz="4" w:space="4" w:color="auto"/>
          <w:bottom w:val="single" w:sz="4" w:space="1" w:color="auto"/>
          <w:right w:val="single" w:sz="4" w:space="4" w:color="auto"/>
        </w:pBdr>
        <w:rPr>
          <w:rFonts w:eastAsia="Times New Roman" w:cs="Arial"/>
          <w:i/>
          <w:color w:val="000000"/>
          <w:szCs w:val="24"/>
          <w:lang w:eastAsia="cs-CZ"/>
        </w:rPr>
      </w:pPr>
      <w:r w:rsidRPr="00BD73AD">
        <w:rPr>
          <w:rFonts w:eastAsia="Times New Roman" w:cs="Arial"/>
          <w:i/>
          <w:color w:val="000000"/>
          <w:szCs w:val="24"/>
          <w:lang w:eastAsia="cs-CZ"/>
        </w:rPr>
        <w:t xml:space="preserve"> </w:t>
      </w:r>
    </w:p>
    <w:p w:rsidR="00067A33" w:rsidRPr="00BD73AD" w:rsidRDefault="00067A33" w:rsidP="00B013BE">
      <w:pPr>
        <w:pBdr>
          <w:top w:val="single" w:sz="4" w:space="1" w:color="auto"/>
          <w:left w:val="single" w:sz="4" w:space="4" w:color="auto"/>
          <w:bottom w:val="single" w:sz="4" w:space="1" w:color="auto"/>
          <w:right w:val="single" w:sz="4" w:space="4" w:color="auto"/>
        </w:pBdr>
        <w:rPr>
          <w:rFonts w:eastAsia="Times New Roman" w:cs="Arial"/>
          <w:i/>
          <w:color w:val="000000"/>
          <w:szCs w:val="24"/>
          <w:lang w:eastAsia="cs-CZ"/>
        </w:rPr>
      </w:pPr>
      <w:r w:rsidRPr="00BD73AD">
        <w:rPr>
          <w:rFonts w:eastAsia="Times New Roman" w:cs="Arial"/>
          <w:i/>
          <w:color w:val="000000"/>
          <w:szCs w:val="24"/>
          <w:lang w:eastAsia="cs-CZ"/>
        </w:rPr>
        <w:t xml:space="preserve">a) nájemné, popřípadě obdobné náklady spojené s vlastnickou nebo družstevní formou bydlení nebo obdobné náklady při užívání bytu v jiné než nájemní, družstevní nebo vlastnické formě bydlení; nájemným nebo obdobnými náklady při užívání bytu </w:t>
      </w:r>
      <w:r w:rsidRPr="00BD73AD">
        <w:rPr>
          <w:rFonts w:eastAsia="Times New Roman" w:cs="Arial"/>
          <w:i/>
          <w:color w:val="000000"/>
          <w:szCs w:val="24"/>
          <w:lang w:eastAsia="cs-CZ"/>
        </w:rPr>
        <w:br/>
        <w:t xml:space="preserve">v jiné než nájemní, družstevní nebo vlastnické formě bydlení se rozumí nájemné hrazené v nájemních bytech, a to až do výše, která je v místě obvyklá; obdobnými náklady spojenými s vlastnickou nebo družstevní formou bydlení se rozumí výše prokazatelných nákladů, maximálně však do výše nákladů uvedených v zákoně </w:t>
      </w:r>
      <w:r w:rsidRPr="00BD73AD">
        <w:rPr>
          <w:rFonts w:eastAsia="Times New Roman" w:cs="Arial"/>
          <w:i/>
          <w:color w:val="000000"/>
          <w:szCs w:val="24"/>
          <w:lang w:eastAsia="cs-CZ"/>
        </w:rPr>
        <w:br/>
        <w:t>o státní sociální podpoře</w:t>
      </w:r>
      <w:r>
        <w:rPr>
          <w:rStyle w:val="Znakapoznpodarou"/>
          <w:rFonts w:eastAsia="Times New Roman" w:cs="Arial"/>
          <w:i/>
          <w:color w:val="000000"/>
          <w:szCs w:val="24"/>
          <w:lang w:eastAsia="cs-CZ"/>
        </w:rPr>
        <w:footnoteReference w:id="1"/>
      </w:r>
      <w:r w:rsidRPr="00BD73AD">
        <w:rPr>
          <w:rFonts w:eastAsia="Times New Roman" w:cs="Arial"/>
          <w:i/>
          <w:color w:val="000000"/>
          <w:szCs w:val="24"/>
          <w:lang w:eastAsia="cs-CZ"/>
        </w:rPr>
        <w:t>,</w:t>
      </w:r>
    </w:p>
    <w:p w:rsidR="00067A33" w:rsidRPr="00BD73AD" w:rsidRDefault="00067A33" w:rsidP="00B013BE">
      <w:pPr>
        <w:pBdr>
          <w:top w:val="single" w:sz="4" w:space="1" w:color="auto"/>
          <w:left w:val="single" w:sz="4" w:space="4" w:color="auto"/>
          <w:bottom w:val="single" w:sz="4" w:space="1" w:color="auto"/>
          <w:right w:val="single" w:sz="4" w:space="4" w:color="auto"/>
        </w:pBdr>
        <w:rPr>
          <w:rFonts w:eastAsia="Times New Roman" w:cs="Arial"/>
          <w:i/>
          <w:color w:val="000000"/>
          <w:szCs w:val="24"/>
          <w:lang w:eastAsia="cs-CZ"/>
        </w:rPr>
      </w:pPr>
      <w:r w:rsidRPr="00BD73AD">
        <w:rPr>
          <w:rFonts w:eastAsia="Times New Roman" w:cs="Arial"/>
          <w:i/>
          <w:color w:val="000000"/>
          <w:szCs w:val="24"/>
          <w:lang w:eastAsia="cs-CZ"/>
        </w:rPr>
        <w:t xml:space="preserve"> </w:t>
      </w:r>
    </w:p>
    <w:p w:rsidR="00067A33" w:rsidRPr="004A56DF" w:rsidRDefault="00067A33" w:rsidP="00B013BE">
      <w:pPr>
        <w:pBdr>
          <w:top w:val="single" w:sz="4" w:space="1" w:color="auto"/>
          <w:left w:val="single" w:sz="4" w:space="4" w:color="auto"/>
          <w:bottom w:val="single" w:sz="4" w:space="1" w:color="auto"/>
          <w:right w:val="single" w:sz="4" w:space="4" w:color="auto"/>
        </w:pBdr>
        <w:rPr>
          <w:rFonts w:eastAsia="Times New Roman" w:cs="Arial"/>
          <w:b/>
          <w:i/>
          <w:color w:val="000000"/>
          <w:szCs w:val="24"/>
          <w:lang w:eastAsia="cs-CZ"/>
        </w:rPr>
      </w:pPr>
      <w:r w:rsidRPr="004A56DF">
        <w:rPr>
          <w:rFonts w:eastAsia="Times New Roman" w:cs="Arial"/>
          <w:b/>
          <w:i/>
          <w:color w:val="000000"/>
          <w:szCs w:val="24"/>
          <w:lang w:eastAsia="cs-CZ"/>
        </w:rPr>
        <w:t>b) pravidelné úhrady za služby spojené s užíváním bytu, maximálně však do výše, která je v místě obvyklá; úhradou služeb bezprostředně spojených s užíváním bytu</w:t>
      </w:r>
      <w:r w:rsidR="004A56DF">
        <w:rPr>
          <w:rFonts w:eastAsia="Times New Roman" w:cs="Arial"/>
          <w:b/>
          <w:i/>
          <w:color w:val="000000"/>
          <w:szCs w:val="24"/>
          <w:lang w:eastAsia="cs-CZ"/>
        </w:rPr>
        <w:t xml:space="preserve"> </w:t>
      </w:r>
      <w:r w:rsidRPr="004A56DF">
        <w:rPr>
          <w:rFonts w:eastAsia="Times New Roman" w:cs="Arial"/>
          <w:b/>
          <w:i/>
          <w:color w:val="000000"/>
          <w:szCs w:val="24"/>
          <w:lang w:eastAsia="cs-CZ"/>
        </w:rPr>
        <w:t>se rozumí úhrada za ústřední (dálkové) vytápění a za dodávku teplé vody, za úklid společných prostor v domě, za užívání výtahu, za dodávku vody z</w:t>
      </w:r>
      <w:r w:rsidR="004A56DF">
        <w:rPr>
          <w:rFonts w:eastAsia="Times New Roman" w:cs="Arial"/>
          <w:b/>
          <w:i/>
          <w:color w:val="000000"/>
          <w:szCs w:val="24"/>
          <w:lang w:eastAsia="cs-CZ"/>
        </w:rPr>
        <w:t> </w:t>
      </w:r>
      <w:r w:rsidRPr="004A56DF">
        <w:rPr>
          <w:rFonts w:eastAsia="Times New Roman" w:cs="Arial"/>
          <w:b/>
          <w:i/>
          <w:color w:val="000000"/>
          <w:szCs w:val="24"/>
          <w:lang w:eastAsia="cs-CZ"/>
        </w:rPr>
        <w:t>vodovodů</w:t>
      </w:r>
      <w:r w:rsidR="004A56DF">
        <w:rPr>
          <w:rFonts w:eastAsia="Times New Roman" w:cs="Arial"/>
          <w:b/>
          <w:i/>
          <w:color w:val="000000"/>
          <w:szCs w:val="24"/>
          <w:lang w:eastAsia="cs-CZ"/>
        </w:rPr>
        <w:t xml:space="preserve"> </w:t>
      </w:r>
      <w:r w:rsidRPr="004A56DF">
        <w:rPr>
          <w:rFonts w:eastAsia="Times New Roman" w:cs="Arial"/>
          <w:b/>
          <w:i/>
          <w:color w:val="000000"/>
          <w:szCs w:val="24"/>
          <w:lang w:eastAsia="cs-CZ"/>
        </w:rPr>
        <w:t>a vodáren, za odvádění odpadních vod kanalizacemi, za osvětlení společných prostor v domě, za odvoz tuhého komunálního odpadu, za vybavení bytu společnou televizní a rozhlasovou anténou, popřípadě další prokazatelné a nezbytné služby související</w:t>
      </w:r>
      <w:r w:rsidR="004A56DF">
        <w:rPr>
          <w:rFonts w:eastAsia="Times New Roman" w:cs="Arial"/>
          <w:b/>
          <w:i/>
          <w:color w:val="000000"/>
          <w:szCs w:val="24"/>
          <w:lang w:eastAsia="cs-CZ"/>
        </w:rPr>
        <w:t xml:space="preserve"> </w:t>
      </w:r>
      <w:r w:rsidRPr="004A56DF">
        <w:rPr>
          <w:rFonts w:eastAsia="Times New Roman" w:cs="Arial"/>
          <w:b/>
          <w:i/>
          <w:color w:val="000000"/>
          <w:szCs w:val="24"/>
          <w:lang w:eastAsia="cs-CZ"/>
        </w:rPr>
        <w:t>s bydlením,</w:t>
      </w:r>
    </w:p>
    <w:p w:rsidR="00067A33" w:rsidRPr="004A56DF" w:rsidRDefault="00067A33" w:rsidP="00B013BE">
      <w:pPr>
        <w:pBdr>
          <w:top w:val="single" w:sz="4" w:space="1" w:color="auto"/>
          <w:left w:val="single" w:sz="4" w:space="4" w:color="auto"/>
          <w:bottom w:val="single" w:sz="4" w:space="1" w:color="auto"/>
          <w:right w:val="single" w:sz="4" w:space="4" w:color="auto"/>
        </w:pBdr>
        <w:rPr>
          <w:rFonts w:eastAsia="Times New Roman" w:cs="Arial"/>
          <w:b/>
          <w:i/>
          <w:color w:val="000000"/>
          <w:szCs w:val="24"/>
          <w:lang w:eastAsia="cs-CZ"/>
        </w:rPr>
      </w:pPr>
      <w:r w:rsidRPr="004A56DF">
        <w:rPr>
          <w:rFonts w:eastAsia="Times New Roman" w:cs="Arial"/>
          <w:b/>
          <w:i/>
          <w:color w:val="000000"/>
          <w:szCs w:val="24"/>
          <w:lang w:eastAsia="cs-CZ"/>
        </w:rPr>
        <w:lastRenderedPageBreak/>
        <w:t xml:space="preserve"> </w:t>
      </w:r>
    </w:p>
    <w:p w:rsidR="00067A33" w:rsidRPr="004A56DF" w:rsidRDefault="00067A33" w:rsidP="00B013BE">
      <w:pPr>
        <w:pBdr>
          <w:top w:val="single" w:sz="4" w:space="1" w:color="auto"/>
          <w:left w:val="single" w:sz="4" w:space="4" w:color="auto"/>
          <w:bottom w:val="single" w:sz="4" w:space="1" w:color="auto"/>
          <w:right w:val="single" w:sz="4" w:space="4" w:color="auto"/>
        </w:pBdr>
        <w:rPr>
          <w:rFonts w:eastAsia="Times New Roman" w:cs="Arial"/>
          <w:b/>
          <w:i/>
          <w:color w:val="000000"/>
          <w:szCs w:val="24"/>
          <w:lang w:eastAsia="cs-CZ"/>
        </w:rPr>
      </w:pPr>
      <w:r w:rsidRPr="004A56DF">
        <w:rPr>
          <w:rFonts w:eastAsia="Times New Roman" w:cs="Arial"/>
          <w:b/>
          <w:i/>
          <w:color w:val="000000"/>
          <w:szCs w:val="24"/>
          <w:lang w:eastAsia="cs-CZ"/>
        </w:rPr>
        <w:t>c) úhrada prokazatelné nezbytné spotřeby energií; úhradou prokazatelné nezbytné spotřeby energií se rozumí úhrada dodávky a spotřeby elektrické energie, plynu, případně výdaje na další druhy paliv, a to ve výši, která je v místě obvyklá; výše úhrady za prokazatelnou nezbytnou spotřebu energií se stanoví jako průměrná cena</w:t>
      </w:r>
      <w:r w:rsidR="004A56DF">
        <w:rPr>
          <w:rFonts w:eastAsia="Times New Roman" w:cs="Arial"/>
          <w:b/>
          <w:i/>
          <w:color w:val="000000"/>
          <w:szCs w:val="24"/>
          <w:lang w:eastAsia="cs-CZ"/>
        </w:rPr>
        <w:t xml:space="preserve"> </w:t>
      </w:r>
      <w:r w:rsidRPr="004A56DF">
        <w:rPr>
          <w:rFonts w:eastAsia="Times New Roman" w:cs="Arial"/>
          <w:b/>
          <w:i/>
          <w:color w:val="000000"/>
          <w:szCs w:val="24"/>
          <w:lang w:eastAsia="cs-CZ"/>
        </w:rPr>
        <w:t>za dodávku energií pro bytovou jednotku určité velikosti podle sdělení příslušných dodavatelů těchto energií, nejvýše však ve výši skutečných úhrad; v odůvodněných případech lze navýšit takto zjištěné částky až o 10 %; za odůvodněný případ se považuje zejména dlouhodobý nepříznivý zdravotní stav,</w:t>
      </w:r>
    </w:p>
    <w:p w:rsidR="00067A33" w:rsidRPr="004A56DF" w:rsidRDefault="00067A33" w:rsidP="00B013BE">
      <w:pPr>
        <w:pBdr>
          <w:top w:val="single" w:sz="4" w:space="1" w:color="auto"/>
          <w:left w:val="single" w:sz="4" w:space="4" w:color="auto"/>
          <w:bottom w:val="single" w:sz="4" w:space="1" w:color="auto"/>
          <w:right w:val="single" w:sz="4" w:space="4" w:color="auto"/>
        </w:pBdr>
        <w:rPr>
          <w:rFonts w:eastAsia="Times New Roman" w:cs="Arial"/>
          <w:b/>
          <w:i/>
          <w:color w:val="000000"/>
          <w:szCs w:val="24"/>
          <w:lang w:eastAsia="cs-CZ"/>
        </w:rPr>
      </w:pPr>
      <w:r w:rsidRPr="004A56DF">
        <w:rPr>
          <w:rFonts w:eastAsia="Times New Roman" w:cs="Arial"/>
          <w:b/>
          <w:i/>
          <w:color w:val="000000"/>
          <w:szCs w:val="24"/>
          <w:lang w:eastAsia="cs-CZ"/>
        </w:rPr>
        <w:t xml:space="preserve"> </w:t>
      </w:r>
    </w:p>
    <w:p w:rsidR="00067A33" w:rsidRPr="004A56DF" w:rsidRDefault="00067A33" w:rsidP="00B013BE">
      <w:pPr>
        <w:pBdr>
          <w:top w:val="single" w:sz="4" w:space="1" w:color="auto"/>
          <w:left w:val="single" w:sz="4" w:space="4" w:color="auto"/>
          <w:bottom w:val="single" w:sz="4" w:space="1" w:color="auto"/>
          <w:right w:val="single" w:sz="4" w:space="4" w:color="auto"/>
        </w:pBdr>
        <w:rPr>
          <w:rFonts w:eastAsia="Times New Roman" w:cs="Arial"/>
          <w:b/>
          <w:i/>
          <w:color w:val="000000"/>
          <w:szCs w:val="24"/>
          <w:lang w:eastAsia="cs-CZ"/>
        </w:rPr>
      </w:pPr>
      <w:r w:rsidRPr="004A56DF">
        <w:rPr>
          <w:rFonts w:eastAsia="Times New Roman" w:cs="Arial"/>
          <w:b/>
          <w:i/>
          <w:color w:val="000000"/>
          <w:szCs w:val="24"/>
          <w:lang w:eastAsia="cs-CZ"/>
        </w:rPr>
        <w:t>d) v případech hodných zvláštního zřetele při užívání jiného než obytného prostoru nebo ubytovacího zařízení úhrada nákladů uvedená v písmenech a) až c), a to do výše, která je v místě obvyklá, avšak maximálně do výše 80 % normativních nákladů na bydlení podle zákona o státní sociální podpoře,</w:t>
      </w:r>
    </w:p>
    <w:p w:rsidR="00067A33" w:rsidRPr="004A56DF" w:rsidRDefault="00067A33" w:rsidP="00B013BE">
      <w:pPr>
        <w:pBdr>
          <w:top w:val="single" w:sz="4" w:space="1" w:color="auto"/>
          <w:left w:val="single" w:sz="4" w:space="4" w:color="auto"/>
          <w:bottom w:val="single" w:sz="4" w:space="1" w:color="auto"/>
          <w:right w:val="single" w:sz="4" w:space="4" w:color="auto"/>
        </w:pBdr>
        <w:rPr>
          <w:rFonts w:eastAsia="Times New Roman" w:cs="Arial"/>
          <w:b/>
          <w:i/>
          <w:color w:val="000000"/>
          <w:szCs w:val="24"/>
          <w:lang w:eastAsia="cs-CZ"/>
        </w:rPr>
      </w:pPr>
      <w:r w:rsidRPr="004A56DF">
        <w:rPr>
          <w:rFonts w:eastAsia="Times New Roman" w:cs="Arial"/>
          <w:b/>
          <w:i/>
          <w:color w:val="000000"/>
          <w:szCs w:val="24"/>
          <w:lang w:eastAsia="cs-CZ"/>
        </w:rPr>
        <w:t xml:space="preserve"> </w:t>
      </w:r>
    </w:p>
    <w:p w:rsidR="00067A33" w:rsidRPr="004A56DF" w:rsidRDefault="00067A33" w:rsidP="00B013BE">
      <w:pPr>
        <w:pBdr>
          <w:top w:val="single" w:sz="4" w:space="1" w:color="auto"/>
          <w:left w:val="single" w:sz="4" w:space="4" w:color="auto"/>
          <w:bottom w:val="single" w:sz="4" w:space="1" w:color="auto"/>
          <w:right w:val="single" w:sz="4" w:space="4" w:color="auto"/>
        </w:pBdr>
        <w:rPr>
          <w:rFonts w:eastAsia="Times New Roman" w:cs="Arial"/>
          <w:b/>
          <w:i/>
          <w:color w:val="000000"/>
          <w:szCs w:val="24"/>
          <w:lang w:eastAsia="cs-CZ"/>
        </w:rPr>
      </w:pPr>
      <w:r w:rsidRPr="004A56DF">
        <w:rPr>
          <w:rFonts w:eastAsia="Times New Roman" w:cs="Arial"/>
          <w:b/>
          <w:i/>
          <w:color w:val="000000"/>
          <w:szCs w:val="24"/>
          <w:lang w:eastAsia="cs-CZ"/>
        </w:rPr>
        <w:t>e) v případech hodných zvláštního zřetele podle § 33 odst. 6 věty třetí úhrada nákladů uvedená v písmenech a) až c), a to do výše, která je v místě obvyklá, maximálně však do výše normativních nákladů na bydlení podle zákona o státní sociální podpoře</w:t>
      </w:r>
      <w:r w:rsidRPr="004A56DF">
        <w:rPr>
          <w:rStyle w:val="Znakapoznpodarou"/>
          <w:rFonts w:eastAsia="Times New Roman" w:cs="Arial"/>
          <w:b/>
          <w:i/>
          <w:color w:val="000000"/>
          <w:szCs w:val="24"/>
          <w:lang w:eastAsia="cs-CZ"/>
        </w:rPr>
        <w:footnoteReference w:id="2"/>
      </w:r>
      <w:r w:rsidRPr="004A56DF">
        <w:rPr>
          <w:rFonts w:eastAsia="Times New Roman" w:cs="Arial"/>
          <w:b/>
          <w:i/>
          <w:color w:val="000000"/>
          <w:szCs w:val="24"/>
          <w:lang w:eastAsia="cs-CZ"/>
        </w:rPr>
        <w:t>,</w:t>
      </w:r>
    </w:p>
    <w:p w:rsidR="00067A33" w:rsidRPr="004A56DF" w:rsidRDefault="00067A33" w:rsidP="00B013BE">
      <w:pPr>
        <w:pBdr>
          <w:top w:val="single" w:sz="4" w:space="1" w:color="auto"/>
          <w:left w:val="single" w:sz="4" w:space="4" w:color="auto"/>
          <w:bottom w:val="single" w:sz="4" w:space="1" w:color="auto"/>
          <w:right w:val="single" w:sz="4" w:space="4" w:color="auto"/>
        </w:pBdr>
        <w:rPr>
          <w:rFonts w:eastAsia="Times New Roman" w:cs="Arial"/>
          <w:b/>
          <w:i/>
          <w:color w:val="000000"/>
          <w:szCs w:val="24"/>
          <w:lang w:eastAsia="cs-CZ"/>
        </w:rPr>
      </w:pPr>
      <w:r w:rsidRPr="004A56DF">
        <w:rPr>
          <w:rFonts w:eastAsia="Times New Roman" w:cs="Arial"/>
          <w:b/>
          <w:i/>
          <w:color w:val="000000"/>
          <w:szCs w:val="24"/>
          <w:lang w:eastAsia="cs-CZ"/>
        </w:rPr>
        <w:t xml:space="preserve"> </w:t>
      </w:r>
    </w:p>
    <w:p w:rsidR="00067A33" w:rsidRPr="004A56DF" w:rsidRDefault="00067A33" w:rsidP="00B013BE">
      <w:pPr>
        <w:pBdr>
          <w:top w:val="single" w:sz="4" w:space="1" w:color="auto"/>
          <w:left w:val="single" w:sz="4" w:space="4" w:color="auto"/>
          <w:bottom w:val="single" w:sz="4" w:space="1" w:color="auto"/>
          <w:right w:val="single" w:sz="4" w:space="4" w:color="auto"/>
        </w:pBdr>
        <w:rPr>
          <w:rFonts w:eastAsia="Times New Roman" w:cs="Arial"/>
          <w:b/>
          <w:color w:val="000000"/>
          <w:szCs w:val="24"/>
          <w:lang w:eastAsia="cs-CZ"/>
        </w:rPr>
      </w:pPr>
      <w:r w:rsidRPr="004A56DF">
        <w:rPr>
          <w:rFonts w:eastAsia="Times New Roman" w:cs="Arial"/>
          <w:b/>
          <w:i/>
          <w:color w:val="000000"/>
          <w:szCs w:val="24"/>
          <w:lang w:eastAsia="cs-CZ"/>
        </w:rPr>
        <w:t>f) u stavby pro individuální či rodinnou rekreaci užívané vlastníkem úhrada nákladů uvedená v písmenech a) až c), a to do výše, která je v místě obvyklá, avšak maximálně do výše 90 % normativních nákladů na bydlení podle zákona o státní sociální podpoře</w:t>
      </w:r>
      <w:r w:rsidRPr="004A56DF">
        <w:rPr>
          <w:rStyle w:val="Znakapoznpodarou"/>
          <w:rFonts w:eastAsia="Times New Roman" w:cs="Arial"/>
          <w:b/>
          <w:i/>
          <w:color w:val="000000"/>
          <w:szCs w:val="24"/>
          <w:lang w:eastAsia="cs-CZ"/>
        </w:rPr>
        <w:footnoteReference w:id="3"/>
      </w:r>
      <w:r w:rsidRPr="004A56DF">
        <w:rPr>
          <w:rFonts w:eastAsia="Times New Roman" w:cs="Arial"/>
          <w:b/>
          <w:i/>
          <w:color w:val="000000"/>
          <w:szCs w:val="24"/>
          <w:lang w:eastAsia="cs-CZ"/>
        </w:rPr>
        <w:t>.“</w:t>
      </w:r>
    </w:p>
    <w:p w:rsidR="00A3185C" w:rsidRDefault="00A3185C">
      <w:pPr>
        <w:spacing w:after="160" w:line="259" w:lineRule="auto"/>
        <w:jc w:val="left"/>
        <w:rPr>
          <w:rFonts w:cs="Arial"/>
          <w:szCs w:val="24"/>
        </w:rPr>
      </w:pPr>
      <w:r>
        <w:rPr>
          <w:rFonts w:cs="Arial"/>
          <w:szCs w:val="24"/>
        </w:rPr>
        <w:br w:type="page"/>
      </w:r>
    </w:p>
    <w:p w:rsidR="00757A00" w:rsidRDefault="00757A00" w:rsidP="00757A00">
      <w:pPr>
        <w:pStyle w:val="Nadpis1"/>
      </w:pPr>
      <w:bookmarkStart w:id="2" w:name="_Toc25833335"/>
      <w:r w:rsidRPr="00757A00">
        <w:lastRenderedPageBreak/>
        <w:t>Článek I.</w:t>
      </w:r>
      <w:bookmarkEnd w:id="2"/>
    </w:p>
    <w:p w:rsidR="0030175A" w:rsidRDefault="008A453B" w:rsidP="0030175A">
      <w:pPr>
        <w:pStyle w:val="Nadpis2"/>
      </w:pPr>
      <w:bookmarkStart w:id="3" w:name="_Toc25833336"/>
      <w:r>
        <w:t>Obecné principy právní úpravy ONB</w:t>
      </w:r>
      <w:bookmarkEnd w:id="3"/>
    </w:p>
    <w:p w:rsidR="00A3185C" w:rsidRDefault="00A3185C" w:rsidP="00A3185C">
      <w:pPr>
        <w:tabs>
          <w:tab w:val="left" w:pos="3315"/>
        </w:tabs>
        <w:rPr>
          <w:b/>
          <w:u w:val="single"/>
        </w:rPr>
      </w:pPr>
    </w:p>
    <w:p w:rsidR="00A3185C" w:rsidRDefault="00A3185C" w:rsidP="00A3185C">
      <w:r>
        <w:t xml:space="preserve">Za ONB jsou považovány náklady </w:t>
      </w:r>
      <w:r w:rsidR="00423323">
        <w:t xml:space="preserve">bezprostředně spojené </w:t>
      </w:r>
      <w:r>
        <w:t>s bydlením, které jsou pro orgán pomoci v hmotné nouzi uznatelné pro</w:t>
      </w:r>
      <w:r w:rsidR="00423323">
        <w:t xml:space="preserve"> stanovení</w:t>
      </w:r>
      <w:r>
        <w:t xml:space="preserve"> nárok</w:t>
      </w:r>
      <w:r w:rsidR="00423323">
        <w:t>u a výše</w:t>
      </w:r>
      <w:r>
        <w:t xml:space="preserve"> </w:t>
      </w:r>
      <w:r w:rsidR="00067A33">
        <w:t xml:space="preserve">opakujících </w:t>
      </w:r>
      <w:r w:rsidR="00067A33">
        <w:br/>
        <w:t xml:space="preserve">se </w:t>
      </w:r>
      <w:r>
        <w:t>dávek</w:t>
      </w:r>
      <w:r w:rsidR="00423323">
        <w:t xml:space="preserve"> (PnŽ, DnB)</w:t>
      </w:r>
      <w:r>
        <w:t xml:space="preserve">. ONB přímo ovlivňují nárok a výši DnB, neboť nárok na DnB </w:t>
      </w:r>
      <w:r w:rsidR="00067A33">
        <w:br/>
      </w:r>
      <w:r>
        <w:t xml:space="preserve">má vlastník bytu, který jej užívá, nebo jiná osoba, která užívá byt na základě smlouvy, rozhodnutí, nebo jiného právního titulu, jestliže by po úhradě </w:t>
      </w:r>
      <w:r w:rsidRPr="00F65550">
        <w:rPr>
          <w:b/>
        </w:rPr>
        <w:t>ONB</w:t>
      </w:r>
      <w:r>
        <w:t xml:space="preserve"> snížených </w:t>
      </w:r>
      <w:r w:rsidR="004251B6">
        <w:br/>
      </w:r>
      <w:r>
        <w:t xml:space="preserve">o příspěvek na bydlení podle </w:t>
      </w:r>
      <w:r w:rsidR="009544CF">
        <w:t>jiného právního předpisu</w:t>
      </w:r>
      <w:r w:rsidR="009544CF">
        <w:rPr>
          <w:rStyle w:val="Znakapoznpodarou"/>
        </w:rPr>
        <w:footnoteReference w:id="4"/>
      </w:r>
      <w:r>
        <w:t xml:space="preserve"> byl příjem vlastníka bytu nebo jiné osoby, která užívá byt, zvýšený o vyplacený PnŽ nižší než částka živobytí osoby (ustanovení § 24 ZPHN), nebo příjem společně posuzovaných osob zvýšený </w:t>
      </w:r>
      <w:r w:rsidR="009544CF">
        <w:br/>
      </w:r>
      <w:r>
        <w:t>o vyplacený PnŽ nižší než částka živobytí společně posuzovan</w:t>
      </w:r>
      <w:r w:rsidR="00423323">
        <w:t>ých osob (ustanovení § 24 ZPHN). P</w:t>
      </w:r>
      <w:r>
        <w:t xml:space="preserve">rávní titul k užívání bytu je přitom nezbytné prokázat písemným dokladem, přičemž předložení čestného prohlášení k tomuto účelu nestačí (ustanovení § 33 odst. 1 ZPHN). </w:t>
      </w:r>
      <w:r w:rsidR="00423323">
        <w:t xml:space="preserve">V případě PnŽ u osob se započitatelnými příjmy ovlivňují ONB stanovení přiměřených nákladů na bydlení. </w:t>
      </w:r>
      <w:r>
        <w:t xml:space="preserve">Přiměřené náklady na bydlení snižují výši započitatelných příjmů a tím přímo ovlivňují nárok a výši PnŽ (ustanovení § 9 odst. 2 ZPHN).  </w:t>
      </w:r>
    </w:p>
    <w:p w:rsidR="00A3185C" w:rsidRDefault="00A3185C" w:rsidP="00A3185C">
      <w:pPr>
        <w:rPr>
          <w:rFonts w:cs="Arial"/>
        </w:rPr>
      </w:pPr>
    </w:p>
    <w:p w:rsidR="00031C33" w:rsidRDefault="00B3329A" w:rsidP="00A3185C">
      <w:pPr>
        <w:rPr>
          <w:rFonts w:cs="Arial"/>
        </w:rPr>
      </w:pPr>
      <w:r>
        <w:rPr>
          <w:rFonts w:cs="Arial"/>
        </w:rPr>
        <w:t xml:space="preserve">ONB jsou </w:t>
      </w:r>
      <w:r w:rsidR="00A3185C">
        <w:rPr>
          <w:rFonts w:cs="Arial"/>
        </w:rPr>
        <w:t>vyhodnocovány na základě informací uvedených žadatelem o dávku (příjemcem dávky) v tiskopise „Informace o užívaném bytu (obývaném prostoru)“, který je povinnou náležitostí žádostí o opakující se dávky</w:t>
      </w:r>
      <w:r w:rsidR="001C05A2">
        <w:rPr>
          <w:rFonts w:cs="Arial"/>
        </w:rPr>
        <w:t xml:space="preserve"> (PnŽ a DnB)</w:t>
      </w:r>
      <w:r w:rsidR="00A3185C">
        <w:rPr>
          <w:rFonts w:cs="Arial"/>
        </w:rPr>
        <w:t>.</w:t>
      </w:r>
      <w:r w:rsidR="001C05A2">
        <w:rPr>
          <w:rFonts w:cs="Arial"/>
        </w:rPr>
        <w:t xml:space="preserve"> Tyto jednotné tiskopisy stanovuje MPSV dle ustanovení § 60 písm. d) ZPHN. </w:t>
      </w:r>
      <w:r w:rsidR="00423323">
        <w:rPr>
          <w:rFonts w:cs="Arial"/>
        </w:rPr>
        <w:t xml:space="preserve"> </w:t>
      </w:r>
      <w:r w:rsidR="00977305">
        <w:rPr>
          <w:rFonts w:cs="Arial"/>
        </w:rPr>
        <w:t>ÚP ČR</w:t>
      </w:r>
      <w:r w:rsidR="00423323">
        <w:rPr>
          <w:rFonts w:cs="Arial"/>
        </w:rPr>
        <w:t xml:space="preserve"> je povinen </w:t>
      </w:r>
      <w:r w:rsidR="00A3185C">
        <w:rPr>
          <w:rFonts w:cs="Arial"/>
        </w:rPr>
        <w:t xml:space="preserve">provádět kontrolu detailního vyplnění daného tiskopisu </w:t>
      </w:r>
      <w:r w:rsidR="00031C33">
        <w:rPr>
          <w:rFonts w:cs="Arial"/>
        </w:rPr>
        <w:t>žadatelem o dávku (příjemcem dávky)</w:t>
      </w:r>
      <w:r w:rsidR="00A3185C">
        <w:rPr>
          <w:rFonts w:cs="Arial"/>
        </w:rPr>
        <w:t xml:space="preserve">. Dle ustanovení § 45 odst. 2 zákona č. 500/2004 Sb., správní řád, ve znění pozdějších předpisů (dále jen „správní řád“), nemá-li žádost předepsané náležitosti </w:t>
      </w:r>
      <w:r w:rsidR="00A3185C" w:rsidRPr="00926EFA">
        <w:rPr>
          <w:rFonts w:cs="Arial"/>
        </w:rPr>
        <w:t xml:space="preserve">nebo trpí-li jinými vadami, </w:t>
      </w:r>
      <w:r w:rsidR="00A3185C" w:rsidRPr="00F65550">
        <w:rPr>
          <w:rFonts w:cs="Arial"/>
          <w:b/>
        </w:rPr>
        <w:t xml:space="preserve">pomůže </w:t>
      </w:r>
      <w:r w:rsidR="00A3185C" w:rsidRPr="00926EFA">
        <w:rPr>
          <w:rFonts w:cs="Arial"/>
        </w:rPr>
        <w:t xml:space="preserve">správní orgán žadateli nedostatky odstranit </w:t>
      </w:r>
      <w:r w:rsidR="00574FAA">
        <w:rPr>
          <w:rFonts w:cs="Arial"/>
        </w:rPr>
        <w:br/>
      </w:r>
      <w:r w:rsidR="00A3185C" w:rsidRPr="00926EFA">
        <w:rPr>
          <w:rFonts w:cs="Arial"/>
        </w:rPr>
        <w:t xml:space="preserve">na místě nebo jej </w:t>
      </w:r>
      <w:r w:rsidR="00A3185C" w:rsidRPr="00F65550">
        <w:rPr>
          <w:rFonts w:cs="Arial"/>
          <w:b/>
        </w:rPr>
        <w:t>vyzve</w:t>
      </w:r>
      <w:r w:rsidR="00A3185C" w:rsidRPr="00926EFA">
        <w:rPr>
          <w:rFonts w:cs="Arial"/>
        </w:rPr>
        <w:t xml:space="preserve"> k jejich odstranění, poskytne mu k tomu přiměřenou lhůtu </w:t>
      </w:r>
      <w:r w:rsidR="00574FAA">
        <w:rPr>
          <w:rFonts w:cs="Arial"/>
        </w:rPr>
        <w:br/>
      </w:r>
      <w:r w:rsidR="00A3185C" w:rsidRPr="00926EFA">
        <w:rPr>
          <w:rFonts w:cs="Arial"/>
        </w:rPr>
        <w:t>a poučí jej o následcích neodstranění nedostatků v této lhůtě; současně může řízení přerušit (</w:t>
      </w:r>
      <w:r w:rsidR="00031C33">
        <w:rPr>
          <w:rFonts w:cs="Arial"/>
        </w:rPr>
        <w:t xml:space="preserve">ustanovení </w:t>
      </w:r>
      <w:r w:rsidR="00A3185C" w:rsidRPr="00926EFA">
        <w:rPr>
          <w:rFonts w:cs="Arial"/>
        </w:rPr>
        <w:t>§ 64</w:t>
      </w:r>
      <w:r w:rsidR="00031C33">
        <w:rPr>
          <w:rFonts w:cs="Arial"/>
        </w:rPr>
        <w:t xml:space="preserve"> správního řádu</w:t>
      </w:r>
      <w:r w:rsidR="00A3185C" w:rsidRPr="00926EFA">
        <w:rPr>
          <w:rFonts w:cs="Arial"/>
        </w:rPr>
        <w:t>).</w:t>
      </w:r>
      <w:r w:rsidR="00031C33">
        <w:rPr>
          <w:rFonts w:cs="Arial"/>
        </w:rPr>
        <w:t xml:space="preserve"> </w:t>
      </w:r>
    </w:p>
    <w:p w:rsidR="00A652B7" w:rsidRDefault="00A652B7" w:rsidP="00A3185C">
      <w:pPr>
        <w:rPr>
          <w:rFonts w:cs="Arial"/>
        </w:rPr>
      </w:pPr>
    </w:p>
    <w:p w:rsidR="00E31C5B" w:rsidRDefault="00031C33" w:rsidP="00E31C5B">
      <w:pPr>
        <w:rPr>
          <w:rFonts w:cs="Arial"/>
        </w:rPr>
      </w:pPr>
      <w:r>
        <w:rPr>
          <w:rFonts w:cs="Arial"/>
        </w:rPr>
        <w:t>Vyzý</w:t>
      </w:r>
      <w:r w:rsidR="00A3185C">
        <w:rPr>
          <w:rFonts w:cs="Arial"/>
        </w:rPr>
        <w:t xml:space="preserve">vání </w:t>
      </w:r>
      <w:r>
        <w:rPr>
          <w:rFonts w:cs="Arial"/>
        </w:rPr>
        <w:t>žadatele o dávku (příjemce dávky)</w:t>
      </w:r>
      <w:r w:rsidR="00A3185C">
        <w:rPr>
          <w:rFonts w:cs="Arial"/>
        </w:rPr>
        <w:t xml:space="preserve"> a osob společně posuzovaných </w:t>
      </w:r>
      <w:r w:rsidR="00E31C5B">
        <w:rPr>
          <w:rFonts w:cs="Arial"/>
        </w:rPr>
        <w:br/>
      </w:r>
      <w:r w:rsidR="00A3185C">
        <w:rPr>
          <w:rFonts w:cs="Arial"/>
        </w:rPr>
        <w:t>pro dokládání skutečností rozhodných pro nárok na dávku, jej</w:t>
      </w:r>
      <w:r>
        <w:rPr>
          <w:rFonts w:cs="Arial"/>
        </w:rPr>
        <w:t>í</w:t>
      </w:r>
      <w:r w:rsidR="00A3185C">
        <w:rPr>
          <w:rFonts w:cs="Arial"/>
        </w:rPr>
        <w:t xml:space="preserve"> výši či výplatu, </w:t>
      </w:r>
      <w:r w:rsidR="00E31C5B">
        <w:rPr>
          <w:rFonts w:cs="Arial"/>
        </w:rPr>
        <w:br/>
      </w:r>
      <w:r w:rsidR="00A3185C">
        <w:rPr>
          <w:rFonts w:cs="Arial"/>
        </w:rPr>
        <w:t xml:space="preserve">je upraveno v řízení o dávkách pomoci v hmotné nouzi v ustanovení § 49 </w:t>
      </w:r>
      <w:r>
        <w:rPr>
          <w:rFonts w:cs="Arial"/>
        </w:rPr>
        <w:t xml:space="preserve">ZPHN </w:t>
      </w:r>
      <w:r w:rsidR="00A3185C">
        <w:rPr>
          <w:rFonts w:cs="Arial"/>
        </w:rPr>
        <w:t>(povinnosti a odpovědnost žadatele, příjemce dávky a</w:t>
      </w:r>
      <w:r>
        <w:rPr>
          <w:rFonts w:cs="Arial"/>
        </w:rPr>
        <w:t xml:space="preserve"> osoby společně posuzované)</w:t>
      </w:r>
      <w:r w:rsidR="00A3185C">
        <w:rPr>
          <w:rFonts w:cs="Arial"/>
        </w:rPr>
        <w:t>.</w:t>
      </w:r>
      <w:r w:rsidR="00E31C5B">
        <w:rPr>
          <w:rFonts w:cs="Arial"/>
        </w:rPr>
        <w:t xml:space="preserve"> Dle ustanovení § 49 odst. 2 písm. a) ZPHN platí, že žadatel o dávku (p</w:t>
      </w:r>
      <w:r w:rsidR="00E31C5B" w:rsidRPr="00717B58">
        <w:rPr>
          <w:rFonts w:cs="Arial"/>
        </w:rPr>
        <w:t>říjemce dávky</w:t>
      </w:r>
      <w:r w:rsidR="00E31C5B">
        <w:rPr>
          <w:rFonts w:cs="Arial"/>
        </w:rPr>
        <w:t>)</w:t>
      </w:r>
      <w:r w:rsidR="00E31C5B" w:rsidRPr="00717B58">
        <w:rPr>
          <w:rFonts w:cs="Arial"/>
        </w:rPr>
        <w:t xml:space="preserve"> je povinen</w:t>
      </w:r>
      <w:r w:rsidR="00E31C5B">
        <w:rPr>
          <w:rFonts w:cs="Arial"/>
        </w:rPr>
        <w:t xml:space="preserve"> písemně </w:t>
      </w:r>
      <w:r w:rsidR="00E31C5B" w:rsidRPr="00717B58">
        <w:rPr>
          <w:rFonts w:cs="Arial"/>
        </w:rPr>
        <w:t xml:space="preserve">oznámit orgánu pomoci v hmotné nouzi změny ve skutečnostech rozhodných pro trvání nároku na dávku, její výši nebo výplatu, a to do 8 dnů ode dne, kdy se </w:t>
      </w:r>
      <w:r w:rsidR="00E31C5B">
        <w:rPr>
          <w:rFonts w:cs="Arial"/>
        </w:rPr>
        <w:t>o těchto skutečnostech dozvěděl. Pokud dojde ke změně skutečností ovlivňujících vyhodnocení výše ONB, je příjemce dávky povinen orgánu pomoci v hmotné nouzi tuto změnu písemně sdělit.</w:t>
      </w:r>
    </w:p>
    <w:p w:rsidR="00A3185C" w:rsidRDefault="00A3185C" w:rsidP="00A3185C">
      <w:pPr>
        <w:rPr>
          <w:rFonts w:cs="Arial"/>
        </w:rPr>
      </w:pPr>
      <w:r>
        <w:rPr>
          <w:rFonts w:cs="Arial"/>
        </w:rPr>
        <w:lastRenderedPageBreak/>
        <w:t>Dle ustanovení § 72</w:t>
      </w:r>
      <w:r w:rsidR="00437A26">
        <w:rPr>
          <w:rFonts w:cs="Arial"/>
        </w:rPr>
        <w:t xml:space="preserve"> ZPHN </w:t>
      </w:r>
      <w:r w:rsidR="001E45B0">
        <w:rPr>
          <w:rFonts w:cs="Arial"/>
        </w:rPr>
        <w:t xml:space="preserve">jsou náležitostmi žádostí o opakující se dávky, které bezprostředně ovlivňují stanovení ONB </w:t>
      </w:r>
      <w:r w:rsidR="00437A26">
        <w:rPr>
          <w:rFonts w:cs="Arial"/>
        </w:rPr>
        <w:t>následující doklady</w:t>
      </w:r>
      <w:r>
        <w:rPr>
          <w:rFonts w:cs="Arial"/>
        </w:rPr>
        <w:t>:</w:t>
      </w:r>
    </w:p>
    <w:p w:rsidR="00437A26" w:rsidRPr="00E31C5B" w:rsidRDefault="00437A26" w:rsidP="00E7491B">
      <w:pPr>
        <w:pStyle w:val="Odstavecseseznamem"/>
        <w:numPr>
          <w:ilvl w:val="0"/>
          <w:numId w:val="8"/>
        </w:numPr>
        <w:rPr>
          <w:rFonts w:cs="Arial"/>
          <w:szCs w:val="24"/>
        </w:rPr>
      </w:pPr>
      <w:r w:rsidRPr="00E31C5B">
        <w:rPr>
          <w:rFonts w:cs="Arial"/>
          <w:szCs w:val="24"/>
        </w:rPr>
        <w:t>doklad o podlahové ploše bytu nebo jiného než obytného prostoru;</w:t>
      </w:r>
    </w:p>
    <w:p w:rsidR="00E31C5B" w:rsidRPr="00E31C5B" w:rsidRDefault="00E31C5B" w:rsidP="008F3EF4">
      <w:pPr>
        <w:pStyle w:val="Odstavecseseznamem"/>
        <w:numPr>
          <w:ilvl w:val="0"/>
          <w:numId w:val="8"/>
        </w:numPr>
        <w:rPr>
          <w:rFonts w:cs="Arial"/>
          <w:szCs w:val="24"/>
        </w:rPr>
      </w:pPr>
      <w:r w:rsidRPr="00E31C5B">
        <w:rPr>
          <w:rFonts w:cs="Arial"/>
          <w:bCs/>
          <w:szCs w:val="24"/>
        </w:rPr>
        <w:t>doklady, na základě kterých je možné získat údaje potřebné k hodnocení standardů kvality bydlení stavby pro individuální či rodinnou rekreaci nebo jiného než obytného prostoru podle § 33b</w:t>
      </w:r>
      <w:r>
        <w:rPr>
          <w:rFonts w:cs="Arial"/>
          <w:bCs/>
          <w:szCs w:val="24"/>
        </w:rPr>
        <w:t xml:space="preserve"> ZPHN</w:t>
      </w:r>
      <w:r w:rsidRPr="00E31C5B">
        <w:rPr>
          <w:rFonts w:cs="Arial"/>
          <w:bCs/>
          <w:szCs w:val="24"/>
        </w:rPr>
        <w:t>;</w:t>
      </w:r>
    </w:p>
    <w:p w:rsidR="00437A26" w:rsidRDefault="00437A26" w:rsidP="00E7491B">
      <w:pPr>
        <w:pStyle w:val="Odstavecseseznamem"/>
        <w:numPr>
          <w:ilvl w:val="0"/>
          <w:numId w:val="8"/>
        </w:numPr>
        <w:rPr>
          <w:rFonts w:cs="Arial"/>
        </w:rPr>
      </w:pPr>
      <w:r w:rsidRPr="004460C7">
        <w:rPr>
          <w:rFonts w:cs="Arial"/>
        </w:rPr>
        <w:t xml:space="preserve">doklad o výši a úhradě nájemného, popřípadě o výši obdobných nákladů spojených s vlastnickou formou bydlení, družstevní formou bydlení nebo jinou než nájemní, družstevní </w:t>
      </w:r>
      <w:r>
        <w:rPr>
          <w:rFonts w:cs="Arial"/>
        </w:rPr>
        <w:t>nebo vlastnickou formou bydlení;</w:t>
      </w:r>
    </w:p>
    <w:p w:rsidR="00437A26" w:rsidRDefault="00437A26" w:rsidP="00E7491B">
      <w:pPr>
        <w:pStyle w:val="Odstavecseseznamem"/>
        <w:numPr>
          <w:ilvl w:val="0"/>
          <w:numId w:val="8"/>
        </w:numPr>
        <w:rPr>
          <w:rFonts w:cs="Arial"/>
        </w:rPr>
      </w:pPr>
      <w:r w:rsidRPr="004460C7">
        <w:rPr>
          <w:rFonts w:cs="Arial"/>
        </w:rPr>
        <w:t>doklad o výši pravidelných úhrad</w:t>
      </w:r>
      <w:r w:rsidR="00584541">
        <w:rPr>
          <w:rFonts w:cs="Arial"/>
        </w:rPr>
        <w:t xml:space="preserve"> za služby bezprostředně spojených</w:t>
      </w:r>
      <w:r w:rsidRPr="004460C7">
        <w:rPr>
          <w:rFonts w:cs="Arial"/>
        </w:rPr>
        <w:t xml:space="preserve"> </w:t>
      </w:r>
      <w:r w:rsidR="00E664E6">
        <w:rPr>
          <w:rFonts w:cs="Arial"/>
        </w:rPr>
        <w:br/>
      </w:r>
      <w:r w:rsidRPr="004460C7">
        <w:rPr>
          <w:rFonts w:cs="Arial"/>
        </w:rPr>
        <w:t>s užíváním bytu, jiného než obytného prost</w:t>
      </w:r>
      <w:r w:rsidRPr="00C3418D">
        <w:rPr>
          <w:rFonts w:cs="Arial"/>
        </w:rPr>
        <w:t xml:space="preserve">oru nebo ubytovacího zařízení </w:t>
      </w:r>
      <w:r w:rsidR="00E664E6">
        <w:rPr>
          <w:rFonts w:cs="Arial"/>
        </w:rPr>
        <w:br/>
      </w:r>
      <w:r w:rsidRPr="00C3418D">
        <w:rPr>
          <w:rFonts w:cs="Arial"/>
        </w:rPr>
        <w:t>a rozpis těchto služeb</w:t>
      </w:r>
      <w:r>
        <w:rPr>
          <w:rFonts w:cs="Arial"/>
        </w:rPr>
        <w:t>;</w:t>
      </w:r>
    </w:p>
    <w:p w:rsidR="00437A26" w:rsidRDefault="00437A26" w:rsidP="00E7491B">
      <w:pPr>
        <w:pStyle w:val="Odstavecseseznamem"/>
        <w:numPr>
          <w:ilvl w:val="0"/>
          <w:numId w:val="8"/>
        </w:numPr>
        <w:rPr>
          <w:rFonts w:cs="Arial"/>
        </w:rPr>
      </w:pPr>
      <w:r w:rsidRPr="004460C7">
        <w:rPr>
          <w:rFonts w:cs="Arial"/>
        </w:rPr>
        <w:t>doklad o výši úhrady za dodávku elektrické energie a plynu, případně dalších druhů paliv, a rozpis těchto energií</w:t>
      </w:r>
      <w:r>
        <w:rPr>
          <w:rFonts w:cs="Arial"/>
        </w:rPr>
        <w:t>.</w:t>
      </w:r>
    </w:p>
    <w:p w:rsidR="00437A26" w:rsidRPr="00437A26" w:rsidRDefault="00437A26" w:rsidP="00437A26">
      <w:pPr>
        <w:rPr>
          <w:rFonts w:cs="Arial"/>
        </w:rPr>
      </w:pPr>
    </w:p>
    <w:p w:rsidR="001E45B0" w:rsidRDefault="00E522D2" w:rsidP="00A3185C">
      <w:pPr>
        <w:rPr>
          <w:rFonts w:cs="Arial"/>
        </w:rPr>
      </w:pPr>
      <w:r>
        <w:rPr>
          <w:rFonts w:cs="Arial"/>
        </w:rPr>
        <w:t>K žádosti o DnB se dále dokládá potvrzení o zdravotním stavu vydaném ošetřujícím lékařem potvrzujícím dlouhodobou nemoc, a to v případě, že je</w:t>
      </w:r>
      <w:r w:rsidRPr="004460C7">
        <w:rPr>
          <w:rFonts w:cs="Arial"/>
        </w:rPr>
        <w:t xml:space="preserve"> žád</w:t>
      </w:r>
      <w:r>
        <w:rPr>
          <w:rFonts w:cs="Arial"/>
        </w:rPr>
        <w:t>áno zvýšení podle § 34 písm. c) ZPHN</w:t>
      </w:r>
      <w:r w:rsidR="003779C6">
        <w:rPr>
          <w:rFonts w:cs="Arial"/>
        </w:rPr>
        <w:t xml:space="preserve"> v souvislosti s dlouhodobým nepříznivým zdravotním stavem</w:t>
      </w:r>
      <w:r>
        <w:rPr>
          <w:rFonts w:cs="Arial"/>
        </w:rPr>
        <w:t xml:space="preserve">. </w:t>
      </w:r>
    </w:p>
    <w:p w:rsidR="00E932E3" w:rsidRDefault="00E932E3" w:rsidP="00A3185C">
      <w:pPr>
        <w:rPr>
          <w:rFonts w:cs="Arial"/>
        </w:rPr>
      </w:pPr>
    </w:p>
    <w:p w:rsidR="00A3185C" w:rsidRDefault="00A3185C" w:rsidP="00FE7E92">
      <w:pPr>
        <w:rPr>
          <w:rFonts w:cs="Arial"/>
        </w:rPr>
      </w:pPr>
      <w:r w:rsidRPr="004460C7">
        <w:rPr>
          <w:rFonts w:cs="Arial"/>
        </w:rPr>
        <w:t xml:space="preserve">Lze-li </w:t>
      </w:r>
      <w:r w:rsidR="00437A26">
        <w:rPr>
          <w:rFonts w:cs="Arial"/>
        </w:rPr>
        <w:t xml:space="preserve">výše </w:t>
      </w:r>
      <w:r>
        <w:rPr>
          <w:rFonts w:cs="Arial"/>
        </w:rPr>
        <w:t xml:space="preserve">uvedené </w:t>
      </w:r>
      <w:r w:rsidRPr="004460C7">
        <w:rPr>
          <w:rFonts w:cs="Arial"/>
        </w:rPr>
        <w:t xml:space="preserve">skutečnosti ověřit z </w:t>
      </w:r>
      <w:r>
        <w:rPr>
          <w:rFonts w:cs="Arial"/>
        </w:rPr>
        <w:t>rozhodnutí příslušných orgánů</w:t>
      </w:r>
      <w:r w:rsidRPr="004460C7">
        <w:rPr>
          <w:rFonts w:cs="Arial"/>
        </w:rPr>
        <w:t xml:space="preserve"> nebo z jiných dokladů, nevyžaduje se přiložení potvrzení.</w:t>
      </w:r>
      <w:r w:rsidR="00762696">
        <w:rPr>
          <w:rFonts w:cs="Arial"/>
        </w:rPr>
        <w:t xml:space="preserve"> </w:t>
      </w:r>
      <w:r>
        <w:rPr>
          <w:rFonts w:cs="Arial"/>
        </w:rPr>
        <w:t xml:space="preserve">Pokud je předložení dokladu </w:t>
      </w:r>
      <w:r w:rsidRPr="004460C7">
        <w:rPr>
          <w:rFonts w:cs="Arial"/>
        </w:rPr>
        <w:t>o podlahové ploše bytu nebo jiného než obytného prostoru</w:t>
      </w:r>
      <w:r>
        <w:rPr>
          <w:rFonts w:cs="Arial"/>
        </w:rPr>
        <w:t xml:space="preserve"> </w:t>
      </w:r>
      <w:r w:rsidRPr="007B432E">
        <w:rPr>
          <w:rFonts w:cs="Arial"/>
        </w:rPr>
        <w:t xml:space="preserve">pro žadatele o dávku </w:t>
      </w:r>
      <w:r>
        <w:rPr>
          <w:rFonts w:cs="Arial"/>
        </w:rPr>
        <w:t xml:space="preserve">spojeno </w:t>
      </w:r>
      <w:r w:rsidRPr="007B432E">
        <w:rPr>
          <w:rFonts w:cs="Arial"/>
        </w:rPr>
        <w:t>s těžko překonatelnou překážkou, poskytne tyto doklady na žádost orgánu pomoci v hmotné nouzi obecný stavební úřad.</w:t>
      </w:r>
      <w:r w:rsidR="00762696">
        <w:rPr>
          <w:rFonts w:cs="Arial"/>
        </w:rPr>
        <w:t xml:space="preserve"> Obdobně je tomu u dokladů </w:t>
      </w:r>
      <w:r w:rsidR="00762696" w:rsidRPr="00E31C5B">
        <w:rPr>
          <w:rFonts w:cs="Arial"/>
          <w:bCs/>
          <w:szCs w:val="24"/>
        </w:rPr>
        <w:t>potř</w:t>
      </w:r>
      <w:r w:rsidR="00762696">
        <w:rPr>
          <w:rFonts w:cs="Arial"/>
          <w:bCs/>
          <w:szCs w:val="24"/>
        </w:rPr>
        <w:t>ebných</w:t>
      </w:r>
      <w:r w:rsidR="00762696" w:rsidRPr="00E31C5B">
        <w:rPr>
          <w:rFonts w:cs="Arial"/>
          <w:bCs/>
          <w:szCs w:val="24"/>
        </w:rPr>
        <w:t xml:space="preserve"> k hodnocení standardů kvality bydlení stavby pro individuální či rodinnou rekreaci nebo jiného než obytného prostoru</w:t>
      </w:r>
      <w:r w:rsidR="00762696">
        <w:rPr>
          <w:rFonts w:cs="Arial"/>
          <w:bCs/>
          <w:szCs w:val="24"/>
        </w:rPr>
        <w:t xml:space="preserve">. </w:t>
      </w:r>
    </w:p>
    <w:p w:rsidR="00A3185C" w:rsidRDefault="00A3185C" w:rsidP="00FE7E92">
      <w:pPr>
        <w:rPr>
          <w:rFonts w:cs="Arial"/>
        </w:rPr>
      </w:pPr>
    </w:p>
    <w:p w:rsidR="00574FAA" w:rsidRDefault="00574FAA" w:rsidP="00FE7E92">
      <w:pPr>
        <w:rPr>
          <w:rFonts w:cs="Arial"/>
        </w:rPr>
      </w:pPr>
      <w:r>
        <w:t>Podle ustanovení § 10 odst. 5 písm. a) a b) ZPHN se ONB</w:t>
      </w:r>
      <w:r>
        <w:rPr>
          <w:rFonts w:cs="Arial"/>
        </w:rPr>
        <w:t xml:space="preserve"> </w:t>
      </w:r>
      <w:r w:rsidRPr="00EE58F6">
        <w:rPr>
          <w:rFonts w:cs="Arial"/>
        </w:rPr>
        <w:t>zjišťují vždy za aktuální kalendářní měsíc</w:t>
      </w:r>
      <w:r>
        <w:rPr>
          <w:rFonts w:cs="Arial"/>
        </w:rPr>
        <w:t xml:space="preserve">, tedy měsíc, v němž je podána žádost o opakující se dávku </w:t>
      </w:r>
      <w:r>
        <w:rPr>
          <w:rFonts w:cs="Arial"/>
        </w:rPr>
        <w:br/>
        <w:t>a v průběhu poskytování dávky se jedná o měsíc, pro který je posuzováno splnění podmínek nároku na dávku a stanovuje se výše dávky (ustanovení § 10 odst. 1 ZPHN)</w:t>
      </w:r>
      <w:r w:rsidRPr="00EE58F6">
        <w:rPr>
          <w:rFonts w:cs="Arial"/>
        </w:rPr>
        <w:t>.</w:t>
      </w:r>
      <w:r>
        <w:rPr>
          <w:rFonts w:cs="Arial"/>
        </w:rPr>
        <w:t xml:space="preserve">  </w:t>
      </w:r>
    </w:p>
    <w:p w:rsidR="00623BC2" w:rsidRDefault="00623BC2" w:rsidP="00FE7E92">
      <w:pPr>
        <w:rPr>
          <w:rFonts w:cs="Arial"/>
        </w:rPr>
      </w:pPr>
      <w:r w:rsidRPr="00925576">
        <w:rPr>
          <w:rFonts w:cs="Arial"/>
        </w:rPr>
        <w:t xml:space="preserve">Při </w:t>
      </w:r>
      <w:r>
        <w:rPr>
          <w:rFonts w:cs="Arial"/>
        </w:rPr>
        <w:t>stanovení výše</w:t>
      </w:r>
      <w:r w:rsidRPr="00925576">
        <w:rPr>
          <w:rFonts w:cs="Arial"/>
        </w:rPr>
        <w:t xml:space="preserve"> </w:t>
      </w:r>
      <w:r>
        <w:rPr>
          <w:rFonts w:cs="Arial"/>
        </w:rPr>
        <w:t>ONB</w:t>
      </w:r>
      <w:r w:rsidRPr="00925576">
        <w:rPr>
          <w:rFonts w:cs="Arial"/>
        </w:rPr>
        <w:t xml:space="preserve"> </w:t>
      </w:r>
      <w:r>
        <w:rPr>
          <w:rFonts w:cs="Arial"/>
        </w:rPr>
        <w:t xml:space="preserve">se </w:t>
      </w:r>
      <w:r w:rsidR="00914220">
        <w:rPr>
          <w:rFonts w:cs="Arial"/>
        </w:rPr>
        <w:t xml:space="preserve">proto </w:t>
      </w:r>
      <w:r>
        <w:rPr>
          <w:rFonts w:cs="Arial"/>
        </w:rPr>
        <w:t>vychází z nákladů</w:t>
      </w:r>
      <w:r w:rsidRPr="00925576">
        <w:rPr>
          <w:rFonts w:cs="Arial"/>
        </w:rPr>
        <w:t xml:space="preserve"> na bydlení, které jsou</w:t>
      </w:r>
      <w:r>
        <w:rPr>
          <w:rFonts w:cs="Arial"/>
        </w:rPr>
        <w:t xml:space="preserve"> v aktuálním kalendářním měsíci</w:t>
      </w:r>
      <w:r w:rsidRPr="00925576">
        <w:rPr>
          <w:rFonts w:cs="Arial"/>
        </w:rPr>
        <w:t xml:space="preserve"> </w:t>
      </w:r>
      <w:r w:rsidRPr="00925576">
        <w:rPr>
          <w:rFonts w:cs="Arial"/>
          <w:b/>
        </w:rPr>
        <w:t>předepsány</w:t>
      </w:r>
      <w:r w:rsidRPr="00925576">
        <w:rPr>
          <w:rFonts w:cs="Arial"/>
        </w:rPr>
        <w:t xml:space="preserve">, </w:t>
      </w:r>
      <w:r w:rsidR="00E522D2">
        <w:rPr>
          <w:rFonts w:cs="Arial"/>
        </w:rPr>
        <w:t>a to bez ohledu na jejich úhradu</w:t>
      </w:r>
      <w:r>
        <w:rPr>
          <w:rFonts w:cs="Arial"/>
        </w:rPr>
        <w:t xml:space="preserve">. A to zejména proto, že smyslem vyplácených dávek je udržení si bydlení (prevence proti vzniku stavu osob bez přístřeší) a zároveň skutečnost, že osoba nemusí mít z objektivních důvodů náklady na bydlení </w:t>
      </w:r>
      <w:r w:rsidR="001E45B0">
        <w:rPr>
          <w:rFonts w:cs="Arial"/>
        </w:rPr>
        <w:t xml:space="preserve">před výplatou dávky v aktuálním kalendářním měsíci </w:t>
      </w:r>
      <w:r>
        <w:rPr>
          <w:rFonts w:cs="Arial"/>
        </w:rPr>
        <w:t>uhrazeny.</w:t>
      </w:r>
    </w:p>
    <w:p w:rsidR="00623BC2" w:rsidRDefault="00623BC2" w:rsidP="00FE7E92">
      <w:pPr>
        <w:rPr>
          <w:rFonts w:cs="Arial"/>
        </w:rPr>
      </w:pPr>
    </w:p>
    <w:p w:rsidR="00623BC2" w:rsidRDefault="001E45B0" w:rsidP="00FE7E92">
      <w:pPr>
        <w:rPr>
          <w:rFonts w:cs="Arial"/>
        </w:rPr>
      </w:pPr>
      <w:r>
        <w:rPr>
          <w:rFonts w:cs="Arial"/>
        </w:rPr>
        <w:t>Úhrada</w:t>
      </w:r>
      <w:r w:rsidRPr="00925576">
        <w:rPr>
          <w:rFonts w:cs="Arial"/>
        </w:rPr>
        <w:t xml:space="preserve"> </w:t>
      </w:r>
      <w:r w:rsidR="00623BC2" w:rsidRPr="00925576">
        <w:rPr>
          <w:rFonts w:cs="Arial"/>
        </w:rPr>
        <w:t>nákladů na bydlení</w:t>
      </w:r>
      <w:r w:rsidR="00623BC2">
        <w:rPr>
          <w:rFonts w:cs="Arial"/>
        </w:rPr>
        <w:t xml:space="preserve"> za </w:t>
      </w:r>
      <w:r w:rsidR="00423323">
        <w:rPr>
          <w:rFonts w:cs="Arial"/>
        </w:rPr>
        <w:t>předcházející kalendářní měsíc</w:t>
      </w:r>
      <w:r w:rsidR="00623BC2" w:rsidRPr="00925576">
        <w:rPr>
          <w:rFonts w:cs="Arial"/>
        </w:rPr>
        <w:t xml:space="preserve"> </w:t>
      </w:r>
      <w:r w:rsidR="00623BC2">
        <w:rPr>
          <w:rFonts w:cs="Arial"/>
        </w:rPr>
        <w:t>je</w:t>
      </w:r>
      <w:r w:rsidR="00623BC2" w:rsidRPr="00925576">
        <w:rPr>
          <w:rFonts w:cs="Arial"/>
        </w:rPr>
        <w:t xml:space="preserve"> </w:t>
      </w:r>
      <w:r>
        <w:rPr>
          <w:rFonts w:cs="Arial"/>
        </w:rPr>
        <w:t>ze strany ÚP ČR kontrolována</w:t>
      </w:r>
      <w:r w:rsidR="001B1B1D">
        <w:rPr>
          <w:rFonts w:cs="Arial"/>
        </w:rPr>
        <w:t xml:space="preserve">. </w:t>
      </w:r>
      <w:r w:rsidR="00EA6A9E">
        <w:rPr>
          <w:rFonts w:cs="Arial"/>
        </w:rPr>
        <w:t xml:space="preserve">Periodicita kontroly (měsíční, jedenkrát za tři měsíce apod.) </w:t>
      </w:r>
      <w:r w:rsidR="00914220">
        <w:rPr>
          <w:rFonts w:cs="Arial"/>
        </w:rPr>
        <w:br/>
      </w:r>
      <w:r w:rsidR="00EA6A9E">
        <w:rPr>
          <w:rFonts w:cs="Arial"/>
        </w:rPr>
        <w:t>je ponechána na vyhodnocení ÚP ČR. Kontrola je nutná z</w:t>
      </w:r>
      <w:r w:rsidR="001B1B1D">
        <w:rPr>
          <w:rFonts w:cs="Arial"/>
        </w:rPr>
        <w:t xml:space="preserve">ejména </w:t>
      </w:r>
      <w:r w:rsidR="00623BC2" w:rsidRPr="00925576">
        <w:rPr>
          <w:rFonts w:cs="Arial"/>
        </w:rPr>
        <w:t xml:space="preserve">v případech, kdy </w:t>
      </w:r>
      <w:r w:rsidR="00914220">
        <w:rPr>
          <w:rFonts w:cs="Arial"/>
        </w:rPr>
        <w:br/>
      </w:r>
      <w:r w:rsidR="00623BC2" w:rsidRPr="00925576">
        <w:rPr>
          <w:rFonts w:cs="Arial"/>
        </w:rPr>
        <w:t>má ÚP ČR pochybnosti o této úhradě</w:t>
      </w:r>
      <w:r w:rsidR="00623BC2">
        <w:rPr>
          <w:rFonts w:cs="Arial"/>
        </w:rPr>
        <w:t xml:space="preserve"> ze strany příjemce DnB. </w:t>
      </w:r>
      <w:r w:rsidR="00EA6A9E">
        <w:rPr>
          <w:rFonts w:cs="Arial"/>
        </w:rPr>
        <w:t xml:space="preserve">Pokud není DnB používán k úhradě nákladů na bydlení (současně nedošlo k jiné změně v rozhodných skutečnostech, na základě které by zanikl nárok na DnB), nedochází k odejmutí DnB. </w:t>
      </w:r>
      <w:r w:rsidR="00623BC2">
        <w:rPr>
          <w:rFonts w:cs="Arial"/>
        </w:rPr>
        <w:t xml:space="preserve">Na základě zjištěných skutečností ÚP ČR </w:t>
      </w:r>
      <w:r w:rsidR="00914220">
        <w:rPr>
          <w:rFonts w:cs="Arial"/>
        </w:rPr>
        <w:t>musí</w:t>
      </w:r>
      <w:r w:rsidR="00623BC2">
        <w:rPr>
          <w:rFonts w:cs="Arial"/>
        </w:rPr>
        <w:t xml:space="preserve"> ustanovit zvláštního příjemce dávky </w:t>
      </w:r>
      <w:r w:rsidR="00FE7E92">
        <w:rPr>
          <w:rFonts w:cs="Arial"/>
        </w:rPr>
        <w:lastRenderedPageBreak/>
        <w:t xml:space="preserve">(ustanovení </w:t>
      </w:r>
      <w:r w:rsidR="00623BC2">
        <w:rPr>
          <w:rFonts w:cs="Arial"/>
        </w:rPr>
        <w:t xml:space="preserve">§ 40 ZPHN) nebo zvolit přímou úhradu DnB podle </w:t>
      </w:r>
      <w:r w:rsidR="00EA6A9E">
        <w:rPr>
          <w:rFonts w:cs="Arial"/>
        </w:rPr>
        <w:t xml:space="preserve">ustanovení </w:t>
      </w:r>
      <w:r w:rsidR="00623BC2">
        <w:rPr>
          <w:rFonts w:cs="Arial"/>
        </w:rPr>
        <w:t xml:space="preserve">§ 42 odst. 3 ZPHN. </w:t>
      </w:r>
    </w:p>
    <w:p w:rsidR="00623BC2" w:rsidRDefault="00623BC2" w:rsidP="00FE7E92">
      <w:pPr>
        <w:rPr>
          <w:rFonts w:cs="Arial"/>
        </w:rPr>
      </w:pPr>
    </w:p>
    <w:p w:rsidR="00A3185C" w:rsidRDefault="00A3185C" w:rsidP="00A3185C">
      <w:pPr>
        <w:rPr>
          <w:rFonts w:cs="Arial"/>
        </w:rPr>
      </w:pPr>
      <w:r>
        <w:rPr>
          <w:rFonts w:cs="Arial"/>
        </w:rPr>
        <w:t xml:space="preserve">Pokud je DnB </w:t>
      </w:r>
      <w:r w:rsidR="001B1B1D">
        <w:rPr>
          <w:rFonts w:cs="Arial"/>
        </w:rPr>
        <w:t>využit</w:t>
      </w:r>
      <w:r>
        <w:rPr>
          <w:rFonts w:cs="Arial"/>
        </w:rPr>
        <w:t xml:space="preserve"> k úhradě nákladů na bydlení pouze částečně, </w:t>
      </w:r>
      <w:r w:rsidR="001B1B1D">
        <w:rPr>
          <w:rFonts w:cs="Arial"/>
        </w:rPr>
        <w:t xml:space="preserve">nesnižuje </w:t>
      </w:r>
      <w:r w:rsidR="00F764EE">
        <w:rPr>
          <w:rFonts w:cs="Arial"/>
        </w:rPr>
        <w:t>ÚP ČR</w:t>
      </w:r>
      <w:r>
        <w:rPr>
          <w:rFonts w:cs="Arial"/>
        </w:rPr>
        <w:t xml:space="preserve"> ONB o </w:t>
      </w:r>
      <w:r w:rsidR="001B1B1D">
        <w:rPr>
          <w:rFonts w:cs="Arial"/>
        </w:rPr>
        <w:t>tu část dávky</w:t>
      </w:r>
      <w:r>
        <w:rPr>
          <w:rFonts w:cs="Arial"/>
        </w:rPr>
        <w:t xml:space="preserve">, která nebyla užita k úhradě nákladů na bydlení. Postupuje </w:t>
      </w:r>
      <w:r w:rsidR="001B1B1D">
        <w:rPr>
          <w:rFonts w:cs="Arial"/>
        </w:rPr>
        <w:t>stejně</w:t>
      </w:r>
      <w:r>
        <w:rPr>
          <w:rFonts w:cs="Arial"/>
        </w:rPr>
        <w:t xml:space="preserve"> jako v situacích, kdy z DnB nejsou uhrazeny žádné náklady na bydlení. </w:t>
      </w:r>
    </w:p>
    <w:p w:rsidR="001B1B1D" w:rsidRDefault="001B1B1D" w:rsidP="00A3185C">
      <w:pPr>
        <w:rPr>
          <w:rFonts w:cs="Arial"/>
        </w:rPr>
      </w:pPr>
    </w:p>
    <w:p w:rsidR="00A3185C" w:rsidRDefault="00A3185C" w:rsidP="00A3185C">
      <w:pPr>
        <w:rPr>
          <w:rFonts w:cs="Arial"/>
        </w:rPr>
      </w:pPr>
      <w:r>
        <w:rPr>
          <w:rFonts w:cs="Arial"/>
        </w:rPr>
        <w:t>Přesto, že v ustanovení § 72 ZPHN je uvedena povinnost doložení dokladů o úhradách nákladů na bydlení, neovlivní případné nehrazení nákladů na bydlení v měsících předcházejících aktuálnímu</w:t>
      </w:r>
      <w:r w:rsidR="001B1B1D">
        <w:rPr>
          <w:rFonts w:cs="Arial"/>
        </w:rPr>
        <w:t xml:space="preserve"> měsíci</w:t>
      </w:r>
      <w:r>
        <w:rPr>
          <w:rFonts w:cs="Arial"/>
        </w:rPr>
        <w:t xml:space="preserve"> (tedy předcházejících měsíci podání žádosti </w:t>
      </w:r>
      <w:r w:rsidR="00F764EE">
        <w:rPr>
          <w:rFonts w:cs="Arial"/>
        </w:rPr>
        <w:br/>
      </w:r>
      <w:r>
        <w:rPr>
          <w:rFonts w:cs="Arial"/>
        </w:rPr>
        <w:t xml:space="preserve">o dávku), nárok a výši dávky. Pokud nebyly v předcházejících měsících </w:t>
      </w:r>
      <w:r w:rsidR="004E1D57">
        <w:rPr>
          <w:rFonts w:cs="Arial"/>
        </w:rPr>
        <w:t xml:space="preserve">aktuálnímu </w:t>
      </w:r>
      <w:r>
        <w:rPr>
          <w:rFonts w:cs="Arial"/>
        </w:rPr>
        <w:t xml:space="preserve">měsíci hrazeny náklady na bydlení, jedná se právě o situaci, kdy je vhodné ze strany ÚP ČR ověřovat, po přiznání dávky, úhradu nákladů na bydlení. </w:t>
      </w:r>
    </w:p>
    <w:p w:rsidR="00B01CC3" w:rsidRDefault="00B01CC3" w:rsidP="00A3185C">
      <w:pPr>
        <w:rPr>
          <w:rFonts w:cs="Arial"/>
        </w:rPr>
      </w:pPr>
    </w:p>
    <w:p w:rsidR="00966382" w:rsidRDefault="00966382" w:rsidP="00A3185C">
      <w:pPr>
        <w:rPr>
          <w:rFonts w:cs="Arial"/>
        </w:rPr>
      </w:pPr>
    </w:p>
    <w:p w:rsidR="00EF4269" w:rsidRPr="00EF4269" w:rsidRDefault="001A5E25" w:rsidP="00EF4269">
      <w:pPr>
        <w:pStyle w:val="Nadpis1"/>
      </w:pPr>
      <w:bookmarkStart w:id="4" w:name="_Toc25833337"/>
      <w:r w:rsidRPr="001A5E25">
        <w:t>Článek II</w:t>
      </w:r>
      <w:r w:rsidR="00EF4269">
        <w:t>.</w:t>
      </w:r>
      <w:bookmarkEnd w:id="4"/>
    </w:p>
    <w:p w:rsidR="006A55CE" w:rsidRPr="00F01EDE" w:rsidRDefault="00E563D0" w:rsidP="00F01EDE">
      <w:pPr>
        <w:pStyle w:val="Nadpis2"/>
        <w:rPr>
          <w:rStyle w:val="Nadpis1Char"/>
          <w:b/>
          <w:sz w:val="28"/>
          <w:szCs w:val="26"/>
        </w:rPr>
      </w:pPr>
      <w:bookmarkStart w:id="5" w:name="_Toc25833338"/>
      <w:r w:rsidRPr="00F01EDE">
        <w:rPr>
          <w:rStyle w:val="Nadpis1Char"/>
          <w:b/>
          <w:sz w:val="28"/>
          <w:szCs w:val="26"/>
        </w:rPr>
        <w:t>A</w:t>
      </w:r>
      <w:r w:rsidR="00EF4269" w:rsidRPr="00F01EDE">
        <w:rPr>
          <w:rStyle w:val="Nadpis1Char"/>
          <w:b/>
          <w:sz w:val="28"/>
          <w:szCs w:val="26"/>
        </w:rPr>
        <w:t xml:space="preserve">) </w:t>
      </w:r>
      <w:r w:rsidR="009B7303" w:rsidRPr="00F01EDE">
        <w:rPr>
          <w:rStyle w:val="Nadpis1Char"/>
          <w:b/>
          <w:sz w:val="28"/>
          <w:szCs w:val="26"/>
        </w:rPr>
        <w:t>Pra</w:t>
      </w:r>
      <w:r w:rsidR="00927530" w:rsidRPr="00F01EDE">
        <w:rPr>
          <w:rStyle w:val="Nadpis1Char"/>
          <w:b/>
          <w:sz w:val="28"/>
          <w:szCs w:val="26"/>
        </w:rPr>
        <w:t>videlné úhrady za služby spojené</w:t>
      </w:r>
      <w:r w:rsidR="009B7303" w:rsidRPr="00F01EDE">
        <w:rPr>
          <w:rStyle w:val="Nadpis1Char"/>
          <w:b/>
          <w:sz w:val="28"/>
          <w:szCs w:val="26"/>
        </w:rPr>
        <w:t xml:space="preserve"> s užíváním bytu</w:t>
      </w:r>
      <w:bookmarkEnd w:id="5"/>
    </w:p>
    <w:p w:rsidR="001A5E25" w:rsidRPr="001A5E25" w:rsidRDefault="001A5E25" w:rsidP="001A5E25"/>
    <w:p w:rsidR="002A712B" w:rsidRDefault="002A712B" w:rsidP="002A712B">
      <w:pPr>
        <w:rPr>
          <w:rFonts w:cs="Arial"/>
          <w:color w:val="000000"/>
          <w:szCs w:val="24"/>
        </w:rPr>
      </w:pPr>
      <w:r w:rsidRPr="0042653D">
        <w:rPr>
          <w:rFonts w:cs="Arial"/>
          <w:color w:val="000000"/>
          <w:szCs w:val="24"/>
        </w:rPr>
        <w:t xml:space="preserve">Úhradou služeb </w:t>
      </w:r>
      <w:r>
        <w:rPr>
          <w:rFonts w:cs="Arial"/>
          <w:color w:val="000000"/>
          <w:szCs w:val="24"/>
        </w:rPr>
        <w:t xml:space="preserve">spojených s užíváním bytu </w:t>
      </w:r>
      <w:r w:rsidRPr="0042653D">
        <w:rPr>
          <w:rFonts w:cs="Arial"/>
          <w:color w:val="000000"/>
          <w:szCs w:val="24"/>
        </w:rPr>
        <w:t>se</w:t>
      </w:r>
      <w:r>
        <w:rPr>
          <w:rFonts w:cs="Arial"/>
          <w:color w:val="000000"/>
          <w:szCs w:val="24"/>
        </w:rPr>
        <w:t xml:space="preserve"> dle ZPHN</w:t>
      </w:r>
      <w:r w:rsidRPr="0042653D">
        <w:rPr>
          <w:rFonts w:cs="Arial"/>
          <w:color w:val="000000"/>
          <w:szCs w:val="24"/>
        </w:rPr>
        <w:t xml:space="preserve"> rozumí úhrada za dodávku </w:t>
      </w:r>
      <w:r>
        <w:rPr>
          <w:rFonts w:cs="Arial"/>
          <w:color w:val="000000"/>
          <w:szCs w:val="24"/>
        </w:rPr>
        <w:t>teplé vody a</w:t>
      </w:r>
      <w:r w:rsidRPr="008A0D4D">
        <w:rPr>
          <w:rFonts w:cs="Arial"/>
          <w:color w:val="000000"/>
          <w:szCs w:val="24"/>
        </w:rPr>
        <w:t xml:space="preserve"> </w:t>
      </w:r>
      <w:r w:rsidRPr="0042653D">
        <w:rPr>
          <w:rFonts w:cs="Arial"/>
          <w:color w:val="000000"/>
          <w:szCs w:val="24"/>
        </w:rPr>
        <w:t>za dodávku vody z vodovodů a vodáren, za odvádění odpadních vod kanalizacemi</w:t>
      </w:r>
      <w:r>
        <w:rPr>
          <w:rFonts w:cs="Arial"/>
          <w:color w:val="000000"/>
          <w:szCs w:val="24"/>
        </w:rPr>
        <w:t>,</w:t>
      </w:r>
      <w:r w:rsidRPr="0042653D">
        <w:rPr>
          <w:rFonts w:cs="Arial"/>
          <w:color w:val="000000"/>
          <w:szCs w:val="24"/>
        </w:rPr>
        <w:t xml:space="preserve"> za dálkové vytápění a za úklid společných pro</w:t>
      </w:r>
      <w:r>
        <w:rPr>
          <w:rFonts w:cs="Arial"/>
          <w:color w:val="000000"/>
          <w:szCs w:val="24"/>
        </w:rPr>
        <w:t xml:space="preserve">stor v domě, za užívání výtahu, </w:t>
      </w:r>
      <w:r w:rsidRPr="0042653D">
        <w:rPr>
          <w:rFonts w:cs="Arial"/>
          <w:color w:val="000000"/>
          <w:szCs w:val="24"/>
        </w:rPr>
        <w:t>za osvětlení společných prostor v domě, za odvoz tuhého komunálního odpadu, za vybavení bytu společnou televizní a rozhlasovou anténou, popřípadě další prokazatelné a nezbytné služby související s bydlením.</w:t>
      </w:r>
    </w:p>
    <w:p w:rsidR="002A712B" w:rsidRDefault="002A712B" w:rsidP="002A712B">
      <w:pPr>
        <w:rPr>
          <w:rFonts w:cs="Arial"/>
          <w:color w:val="000000"/>
          <w:szCs w:val="24"/>
        </w:rPr>
      </w:pPr>
    </w:p>
    <w:p w:rsidR="002A712B" w:rsidRPr="005C0904" w:rsidRDefault="002A712B" w:rsidP="002A712B">
      <w:pPr>
        <w:rPr>
          <w:rFonts w:cs="Arial"/>
          <w:color w:val="000000"/>
          <w:szCs w:val="24"/>
        </w:rPr>
      </w:pPr>
      <w:r>
        <w:rPr>
          <w:rFonts w:cs="Arial"/>
          <w:color w:val="000000"/>
        </w:rPr>
        <w:t xml:space="preserve">Do ONB se pravidelné úhrady za služby bezprostředně spojené s užíváním bytu započítávají </w:t>
      </w:r>
      <w:r w:rsidRPr="0065043D">
        <w:rPr>
          <w:rFonts w:cs="Arial"/>
          <w:b/>
          <w:color w:val="000000"/>
        </w:rPr>
        <w:t>maximálně</w:t>
      </w:r>
      <w:r>
        <w:rPr>
          <w:rFonts w:cs="Arial"/>
          <w:b/>
          <w:color w:val="000000"/>
        </w:rPr>
        <w:t xml:space="preserve"> </w:t>
      </w:r>
      <w:r w:rsidRPr="0065043D">
        <w:rPr>
          <w:rFonts w:cs="Arial"/>
          <w:b/>
          <w:color w:val="000000"/>
        </w:rPr>
        <w:t>do výše, která je v místě obvyklá</w:t>
      </w:r>
      <w:r>
        <w:rPr>
          <w:rFonts w:cs="Arial"/>
          <w:color w:val="000000"/>
        </w:rPr>
        <w:t xml:space="preserve">. </w:t>
      </w:r>
      <w:r w:rsidRPr="00F65550">
        <w:rPr>
          <w:rFonts w:cs="Arial"/>
          <w:szCs w:val="24"/>
        </w:rPr>
        <w:t>V případě, že skuteč</w:t>
      </w:r>
      <w:r w:rsidRPr="005C0904">
        <w:rPr>
          <w:rFonts w:cs="Arial"/>
          <w:szCs w:val="24"/>
        </w:rPr>
        <w:t>ná výše náklad</w:t>
      </w:r>
      <w:r>
        <w:rPr>
          <w:rFonts w:cs="Arial"/>
          <w:szCs w:val="24"/>
        </w:rPr>
        <w:t>ů</w:t>
      </w:r>
      <w:r w:rsidRPr="00F65550">
        <w:rPr>
          <w:rFonts w:cs="Arial"/>
          <w:szCs w:val="24"/>
        </w:rPr>
        <w:t xml:space="preserve"> z</w:t>
      </w:r>
      <w:r w:rsidRPr="005C0904">
        <w:rPr>
          <w:rFonts w:cs="Arial"/>
          <w:szCs w:val="24"/>
        </w:rPr>
        <w:t>a služby je nižší než</w:t>
      </w:r>
      <w:r>
        <w:rPr>
          <w:rFonts w:cs="Arial"/>
          <w:szCs w:val="24"/>
        </w:rPr>
        <w:t xml:space="preserve"> výše </w:t>
      </w:r>
      <w:r w:rsidRPr="00F65550">
        <w:rPr>
          <w:rFonts w:cs="Arial"/>
          <w:szCs w:val="24"/>
        </w:rPr>
        <w:t>v místě obvyklá, započ</w:t>
      </w:r>
      <w:r w:rsidRPr="009114B7">
        <w:rPr>
          <w:rFonts w:cs="Arial"/>
          <w:szCs w:val="24"/>
        </w:rPr>
        <w:t xml:space="preserve">ítá se </w:t>
      </w:r>
      <w:r w:rsidRPr="00F65550">
        <w:rPr>
          <w:rFonts w:cs="Arial"/>
          <w:szCs w:val="24"/>
        </w:rPr>
        <w:t>skuteč</w:t>
      </w:r>
      <w:r w:rsidRPr="005C0904">
        <w:rPr>
          <w:rFonts w:cs="Arial"/>
          <w:szCs w:val="24"/>
        </w:rPr>
        <w:t>ná výše náklad</w:t>
      </w:r>
      <w:r>
        <w:rPr>
          <w:rFonts w:cs="Arial"/>
          <w:szCs w:val="24"/>
        </w:rPr>
        <w:t>ů</w:t>
      </w:r>
      <w:r w:rsidRPr="00F65550">
        <w:rPr>
          <w:rFonts w:cs="Arial"/>
          <w:szCs w:val="24"/>
        </w:rPr>
        <w:t xml:space="preserve"> za služby.</w:t>
      </w:r>
      <w:r>
        <w:rPr>
          <w:rFonts w:cs="Arial"/>
          <w:szCs w:val="24"/>
        </w:rPr>
        <w:t xml:space="preserve"> </w:t>
      </w:r>
    </w:p>
    <w:p w:rsidR="002A712B" w:rsidRDefault="002A712B" w:rsidP="002A712B">
      <w:pPr>
        <w:rPr>
          <w:rFonts w:cs="Arial"/>
          <w:color w:val="000000"/>
          <w:szCs w:val="24"/>
        </w:rPr>
      </w:pPr>
    </w:p>
    <w:p w:rsidR="00172730" w:rsidRDefault="00172730" w:rsidP="00172730">
      <w:pPr>
        <w:rPr>
          <w:rFonts w:cs="Arial"/>
          <w:szCs w:val="24"/>
        </w:rPr>
      </w:pPr>
      <w:r>
        <w:rPr>
          <w:rFonts w:cs="Arial"/>
          <w:szCs w:val="24"/>
        </w:rPr>
        <w:t>Vzhledem k tomu, že služby spojené s užíváním bytu jsou v ZPHN uvedeny demonstrativním výčtem, může o</w:t>
      </w:r>
      <w:r w:rsidRPr="0042653D">
        <w:rPr>
          <w:rFonts w:cs="Arial"/>
          <w:szCs w:val="24"/>
        </w:rPr>
        <w:t xml:space="preserve">rgán pomoci v hmotné nouzi </w:t>
      </w:r>
      <w:r>
        <w:rPr>
          <w:rFonts w:cs="Arial"/>
          <w:szCs w:val="24"/>
        </w:rPr>
        <w:t>vyhodnotit, které</w:t>
      </w:r>
      <w:r w:rsidRPr="0042653D">
        <w:rPr>
          <w:rFonts w:cs="Arial"/>
          <w:szCs w:val="24"/>
        </w:rPr>
        <w:t xml:space="preserve"> </w:t>
      </w:r>
      <w:r w:rsidR="00652123">
        <w:rPr>
          <w:rFonts w:cs="Arial"/>
          <w:szCs w:val="24"/>
        </w:rPr>
        <w:t xml:space="preserve">případné další </w:t>
      </w:r>
      <w:r w:rsidRPr="0042653D">
        <w:rPr>
          <w:rFonts w:cs="Arial"/>
          <w:szCs w:val="24"/>
        </w:rPr>
        <w:t>služby uzná za nezbytné</w:t>
      </w:r>
      <w:r>
        <w:rPr>
          <w:rFonts w:cs="Arial"/>
          <w:szCs w:val="24"/>
        </w:rPr>
        <w:t xml:space="preserve"> služby související s bydlením</w:t>
      </w:r>
      <w:r w:rsidRPr="0042653D">
        <w:rPr>
          <w:rFonts w:cs="Arial"/>
          <w:szCs w:val="24"/>
        </w:rPr>
        <w:t xml:space="preserve"> </w:t>
      </w:r>
      <w:r>
        <w:rPr>
          <w:rFonts w:cs="Arial"/>
          <w:szCs w:val="24"/>
        </w:rPr>
        <w:t xml:space="preserve">a zahrne </w:t>
      </w:r>
      <w:r w:rsidR="00652123">
        <w:rPr>
          <w:rFonts w:cs="Arial"/>
          <w:szCs w:val="24"/>
        </w:rPr>
        <w:br/>
      </w:r>
      <w:r>
        <w:rPr>
          <w:rFonts w:cs="Arial"/>
          <w:szCs w:val="24"/>
        </w:rPr>
        <w:t xml:space="preserve">je </w:t>
      </w:r>
      <w:r w:rsidRPr="0042653D">
        <w:rPr>
          <w:rFonts w:cs="Arial"/>
          <w:szCs w:val="24"/>
        </w:rPr>
        <w:t xml:space="preserve">do </w:t>
      </w:r>
      <w:r>
        <w:rPr>
          <w:rFonts w:cs="Arial"/>
          <w:szCs w:val="24"/>
        </w:rPr>
        <w:t>ONB</w:t>
      </w:r>
      <w:r w:rsidRPr="0042653D">
        <w:rPr>
          <w:rFonts w:cs="Arial"/>
          <w:szCs w:val="24"/>
        </w:rPr>
        <w:t>.</w:t>
      </w:r>
    </w:p>
    <w:p w:rsidR="00172730" w:rsidRDefault="00172730" w:rsidP="00172730">
      <w:pPr>
        <w:rPr>
          <w:rFonts w:cs="Arial"/>
          <w:szCs w:val="24"/>
        </w:rPr>
      </w:pPr>
      <w:r>
        <w:rPr>
          <w:rFonts w:cs="Arial"/>
          <w:szCs w:val="24"/>
        </w:rPr>
        <w:t xml:space="preserve"> </w:t>
      </w:r>
    </w:p>
    <w:p w:rsidR="00172730" w:rsidRDefault="00172730" w:rsidP="00172730">
      <w:pPr>
        <w:rPr>
          <w:rFonts w:cs="Arial"/>
          <w:szCs w:val="24"/>
        </w:rPr>
      </w:pPr>
      <w:r>
        <w:rPr>
          <w:rFonts w:cs="Arial"/>
          <w:szCs w:val="24"/>
        </w:rPr>
        <w:t xml:space="preserve">V rámci služeb spojených s užíváním bytu se např. dále </w:t>
      </w:r>
      <w:r w:rsidR="003B3BFE">
        <w:rPr>
          <w:rFonts w:cs="Arial"/>
          <w:szCs w:val="24"/>
        </w:rPr>
        <w:t>zohledňuje</w:t>
      </w:r>
      <w:r>
        <w:rPr>
          <w:rFonts w:cs="Arial"/>
          <w:szCs w:val="24"/>
        </w:rPr>
        <w:t>:</w:t>
      </w:r>
    </w:p>
    <w:p w:rsidR="002A712B" w:rsidRPr="00172730" w:rsidRDefault="002A712B" w:rsidP="00E7491B">
      <w:pPr>
        <w:pStyle w:val="Odstavecseseznamem"/>
        <w:numPr>
          <w:ilvl w:val="0"/>
          <w:numId w:val="24"/>
        </w:numPr>
        <w:rPr>
          <w:rFonts w:cs="Arial"/>
          <w:szCs w:val="24"/>
        </w:rPr>
      </w:pPr>
      <w:r w:rsidRPr="00172730">
        <w:rPr>
          <w:rFonts w:cs="Arial"/>
          <w:szCs w:val="24"/>
        </w:rPr>
        <w:t>u vlastnické formy bydlení daň z nemovitosti;</w:t>
      </w:r>
    </w:p>
    <w:p w:rsidR="002A712B" w:rsidRPr="002A712B" w:rsidRDefault="00520888" w:rsidP="00E7491B">
      <w:pPr>
        <w:pStyle w:val="Odstavecseseznamem"/>
        <w:numPr>
          <w:ilvl w:val="0"/>
          <w:numId w:val="10"/>
        </w:numPr>
        <w:rPr>
          <w:rFonts w:cs="Arial"/>
          <w:szCs w:val="24"/>
        </w:rPr>
      </w:pPr>
      <w:r>
        <w:rPr>
          <w:rFonts w:cs="Arial"/>
          <w:szCs w:val="24"/>
          <w:lang w:eastAsia="cs-CZ"/>
        </w:rPr>
        <w:t>platba</w:t>
      </w:r>
      <w:r w:rsidR="002A712B">
        <w:rPr>
          <w:rFonts w:cs="Arial"/>
          <w:szCs w:val="24"/>
          <w:lang w:eastAsia="cs-CZ"/>
        </w:rPr>
        <w:t xml:space="preserve"> za </w:t>
      </w:r>
      <w:r w:rsidR="00B155FC">
        <w:rPr>
          <w:rFonts w:cs="Arial"/>
          <w:szCs w:val="24"/>
          <w:lang w:eastAsia="cs-CZ"/>
        </w:rPr>
        <w:t xml:space="preserve">standardní základní </w:t>
      </w:r>
      <w:r w:rsidR="002A712B">
        <w:rPr>
          <w:rFonts w:cs="Arial"/>
          <w:szCs w:val="24"/>
          <w:lang w:eastAsia="cs-CZ"/>
        </w:rPr>
        <w:t>zařízení bytu ve výši v místě obvyklé</w:t>
      </w:r>
      <w:r w:rsidR="00B155FC">
        <w:rPr>
          <w:rFonts w:cs="Arial"/>
          <w:szCs w:val="24"/>
          <w:lang w:eastAsia="cs-CZ"/>
        </w:rPr>
        <w:t xml:space="preserve"> (např. sporák, karma)</w:t>
      </w:r>
      <w:r w:rsidR="002A712B">
        <w:rPr>
          <w:rFonts w:cs="Arial"/>
          <w:szCs w:val="24"/>
          <w:lang w:eastAsia="cs-CZ"/>
        </w:rPr>
        <w:t>.</w:t>
      </w:r>
    </w:p>
    <w:p w:rsidR="002A712B" w:rsidRDefault="00172730" w:rsidP="002A712B">
      <w:pPr>
        <w:rPr>
          <w:rFonts w:cs="Arial"/>
          <w:szCs w:val="24"/>
        </w:rPr>
      </w:pPr>
      <w:r>
        <w:rPr>
          <w:rFonts w:cs="Arial"/>
          <w:szCs w:val="24"/>
        </w:rPr>
        <w:t xml:space="preserve">V rámci </w:t>
      </w:r>
      <w:r w:rsidRPr="0042653D">
        <w:rPr>
          <w:rFonts w:cs="Arial"/>
          <w:szCs w:val="24"/>
        </w:rPr>
        <w:t>služ</w:t>
      </w:r>
      <w:r>
        <w:rPr>
          <w:rFonts w:cs="Arial"/>
          <w:szCs w:val="24"/>
        </w:rPr>
        <w:t>eb bezprostředně spojených s užíváním bytu</w:t>
      </w:r>
      <w:r w:rsidRPr="0042653D">
        <w:rPr>
          <w:rFonts w:cs="Arial"/>
          <w:szCs w:val="24"/>
        </w:rPr>
        <w:t xml:space="preserve"> </w:t>
      </w:r>
      <w:r w:rsidRPr="005F5A74">
        <w:rPr>
          <w:rFonts w:cs="Arial"/>
          <w:b/>
          <w:szCs w:val="24"/>
        </w:rPr>
        <w:t xml:space="preserve">nelze </w:t>
      </w:r>
      <w:r w:rsidRPr="0042653D">
        <w:rPr>
          <w:rFonts w:cs="Arial"/>
          <w:szCs w:val="24"/>
        </w:rPr>
        <w:t>zohlednit</w:t>
      </w:r>
      <w:r>
        <w:rPr>
          <w:rFonts w:cs="Arial"/>
          <w:szCs w:val="24"/>
        </w:rPr>
        <w:t>:</w:t>
      </w:r>
      <w:r w:rsidRPr="0042653D">
        <w:rPr>
          <w:rFonts w:cs="Arial"/>
          <w:szCs w:val="24"/>
        </w:rPr>
        <w:t xml:space="preserve"> </w:t>
      </w:r>
    </w:p>
    <w:p w:rsidR="002A712B" w:rsidRDefault="002A712B" w:rsidP="00E7491B">
      <w:pPr>
        <w:pStyle w:val="Odstavecseseznamem"/>
        <w:numPr>
          <w:ilvl w:val="0"/>
          <w:numId w:val="11"/>
        </w:numPr>
        <w:rPr>
          <w:rFonts w:cs="Arial"/>
          <w:szCs w:val="24"/>
        </w:rPr>
      </w:pPr>
      <w:r w:rsidRPr="00826602">
        <w:rPr>
          <w:rFonts w:cs="Arial"/>
          <w:szCs w:val="24"/>
        </w:rPr>
        <w:t>platby za služby spojené s užíváním prostorů v domě, které neslouží k bydlení (ale např. k samostatné výdělečné činnosti)</w:t>
      </w:r>
      <w:r>
        <w:rPr>
          <w:rFonts w:cs="Arial"/>
          <w:szCs w:val="24"/>
        </w:rPr>
        <w:t>;</w:t>
      </w:r>
    </w:p>
    <w:p w:rsidR="002A712B" w:rsidRDefault="002A712B" w:rsidP="00E7491B">
      <w:pPr>
        <w:pStyle w:val="Odstavecseseznamem"/>
        <w:numPr>
          <w:ilvl w:val="0"/>
          <w:numId w:val="11"/>
        </w:numPr>
        <w:rPr>
          <w:rFonts w:cs="Arial"/>
          <w:szCs w:val="24"/>
        </w:rPr>
      </w:pPr>
      <w:r>
        <w:rPr>
          <w:rFonts w:cs="Arial"/>
          <w:szCs w:val="24"/>
        </w:rPr>
        <w:lastRenderedPageBreak/>
        <w:t>platby</w:t>
      </w:r>
      <w:r w:rsidRPr="00826602">
        <w:rPr>
          <w:rFonts w:cs="Arial"/>
          <w:szCs w:val="24"/>
        </w:rPr>
        <w:t xml:space="preserve"> za jiné služby, které nejsou nezbytné pro užívání bydlení</w:t>
      </w:r>
      <w:r>
        <w:rPr>
          <w:rFonts w:cs="Arial"/>
          <w:szCs w:val="24"/>
        </w:rPr>
        <w:t>;</w:t>
      </w:r>
    </w:p>
    <w:p w:rsidR="002A712B" w:rsidRDefault="002A712B" w:rsidP="00E7491B">
      <w:pPr>
        <w:pStyle w:val="Odstavecseseznamem"/>
        <w:numPr>
          <w:ilvl w:val="0"/>
          <w:numId w:val="11"/>
        </w:numPr>
        <w:rPr>
          <w:rFonts w:cs="Arial"/>
          <w:szCs w:val="24"/>
        </w:rPr>
      </w:pPr>
      <w:r>
        <w:rPr>
          <w:rFonts w:cs="Arial"/>
          <w:szCs w:val="24"/>
        </w:rPr>
        <w:t>platby za</w:t>
      </w:r>
      <w:r w:rsidRPr="00826602">
        <w:rPr>
          <w:rFonts w:cs="Arial"/>
          <w:szCs w:val="24"/>
        </w:rPr>
        <w:t xml:space="preserve"> služby nadstandardní (např. ostraha objektu, parkování, údržba bazénu, internet, platba za kabelovou televizi)</w:t>
      </w:r>
      <w:r>
        <w:rPr>
          <w:rFonts w:cs="Arial"/>
          <w:szCs w:val="24"/>
        </w:rPr>
        <w:t>;</w:t>
      </w:r>
    </w:p>
    <w:p w:rsidR="002A712B" w:rsidRDefault="00172730" w:rsidP="00E7491B">
      <w:pPr>
        <w:pStyle w:val="Odstavecseseznamem"/>
        <w:numPr>
          <w:ilvl w:val="0"/>
          <w:numId w:val="11"/>
        </w:numPr>
        <w:rPr>
          <w:rFonts w:cs="Arial"/>
          <w:szCs w:val="24"/>
        </w:rPr>
      </w:pPr>
      <w:r w:rsidRPr="00826602">
        <w:rPr>
          <w:rFonts w:cs="Arial"/>
          <w:szCs w:val="24"/>
        </w:rPr>
        <w:t>koncesionářské poplatky</w:t>
      </w:r>
      <w:r w:rsidRPr="000F72D7">
        <w:rPr>
          <w:rFonts w:cs="Arial"/>
          <w:szCs w:val="24"/>
        </w:rPr>
        <w:t xml:space="preserve"> </w:t>
      </w:r>
      <w:r>
        <w:rPr>
          <w:rFonts w:cs="Arial"/>
          <w:szCs w:val="24"/>
        </w:rPr>
        <w:t>spojené s</w:t>
      </w:r>
      <w:r w:rsidRPr="000F72D7">
        <w:rPr>
          <w:rFonts w:cs="Arial"/>
          <w:szCs w:val="24"/>
        </w:rPr>
        <w:t xml:space="preserve"> vlastnictví</w:t>
      </w:r>
      <w:r>
        <w:rPr>
          <w:rFonts w:cs="Arial"/>
          <w:szCs w:val="24"/>
        </w:rPr>
        <w:t>m</w:t>
      </w:r>
      <w:r w:rsidRPr="000F72D7">
        <w:rPr>
          <w:rFonts w:cs="Arial"/>
          <w:szCs w:val="24"/>
        </w:rPr>
        <w:t xml:space="preserve"> a užívání</w:t>
      </w:r>
      <w:r>
        <w:rPr>
          <w:rFonts w:cs="Arial"/>
          <w:szCs w:val="24"/>
        </w:rPr>
        <w:t>m</w:t>
      </w:r>
      <w:r w:rsidRPr="000F72D7">
        <w:rPr>
          <w:rFonts w:cs="Arial"/>
          <w:szCs w:val="24"/>
        </w:rPr>
        <w:t xml:space="preserve"> televizního </w:t>
      </w:r>
      <w:r w:rsidR="000B3550">
        <w:rPr>
          <w:rFonts w:cs="Arial"/>
          <w:szCs w:val="24"/>
        </w:rPr>
        <w:br/>
      </w:r>
      <w:r w:rsidRPr="000F72D7">
        <w:rPr>
          <w:rFonts w:cs="Arial"/>
          <w:szCs w:val="24"/>
        </w:rPr>
        <w:t>a rozhlasového vysílání, neboť povinnosti hradit tyto poplatky jsou zproštěny osoby, jejichž čistý příjem za uplynulé čtvrtletí nepřesahuje</w:t>
      </w:r>
      <w:r w:rsidR="002A712B" w:rsidRPr="000F72D7">
        <w:rPr>
          <w:rFonts w:cs="Arial"/>
          <w:szCs w:val="24"/>
        </w:rPr>
        <w:t xml:space="preserve"> 2,15 násobek </w:t>
      </w:r>
      <w:r w:rsidR="002A712B">
        <w:rPr>
          <w:rFonts w:cs="Arial"/>
          <w:szCs w:val="24"/>
        </w:rPr>
        <w:t>životního minima</w:t>
      </w:r>
      <w:r w:rsidR="00A73B25">
        <w:rPr>
          <w:rStyle w:val="Znakapoznpodarou"/>
          <w:rFonts w:cs="Arial"/>
          <w:szCs w:val="24"/>
        </w:rPr>
        <w:footnoteReference w:id="5"/>
      </w:r>
      <w:r w:rsidR="002A712B">
        <w:rPr>
          <w:rFonts w:cs="Arial"/>
          <w:szCs w:val="24"/>
        </w:rPr>
        <w:t>;</w:t>
      </w:r>
    </w:p>
    <w:p w:rsidR="002A712B" w:rsidRPr="002A712B" w:rsidRDefault="002A712B" w:rsidP="00E7491B">
      <w:pPr>
        <w:pStyle w:val="Odstavecseseznamem"/>
        <w:numPr>
          <w:ilvl w:val="0"/>
          <w:numId w:val="11"/>
        </w:numPr>
        <w:rPr>
          <w:rFonts w:cs="Arial"/>
          <w:szCs w:val="24"/>
        </w:rPr>
      </w:pPr>
      <w:r>
        <w:rPr>
          <w:rFonts w:cs="Arial"/>
          <w:szCs w:val="24"/>
        </w:rPr>
        <w:t>poplatek za zaslání finanční částky za užití poštovní poukázky</w:t>
      </w:r>
      <w:r w:rsidR="00A73B25">
        <w:rPr>
          <w:rStyle w:val="Znakapoznpodarou"/>
          <w:rFonts w:cs="Arial"/>
          <w:szCs w:val="24"/>
        </w:rPr>
        <w:footnoteReference w:id="6"/>
      </w:r>
      <w:r>
        <w:rPr>
          <w:rFonts w:cs="Arial"/>
          <w:szCs w:val="24"/>
        </w:rPr>
        <w:t>.</w:t>
      </w:r>
    </w:p>
    <w:p w:rsidR="0005531C" w:rsidRDefault="0005531C" w:rsidP="002A712B">
      <w:pPr>
        <w:rPr>
          <w:rFonts w:cs="Arial"/>
        </w:rPr>
      </w:pPr>
    </w:p>
    <w:p w:rsidR="002A712B" w:rsidRDefault="00172730" w:rsidP="002A712B">
      <w:pPr>
        <w:rPr>
          <w:rFonts w:cs="Arial"/>
        </w:rPr>
      </w:pPr>
      <w:r>
        <w:rPr>
          <w:rFonts w:cs="Arial"/>
        </w:rPr>
        <w:t>Pod</w:t>
      </w:r>
      <w:r w:rsidR="002A712B">
        <w:rPr>
          <w:rFonts w:cs="Arial"/>
        </w:rPr>
        <w:t xml:space="preserve">le ustanovení § 72 odst. 3 písm. f) a odst. 4 písm. e) ZPHN je součástí žádosti </w:t>
      </w:r>
      <w:r w:rsidR="005F5A74">
        <w:rPr>
          <w:rFonts w:cs="Arial"/>
        </w:rPr>
        <w:br/>
      </w:r>
      <w:r w:rsidR="002A712B">
        <w:rPr>
          <w:rFonts w:cs="Arial"/>
        </w:rPr>
        <w:t xml:space="preserve">o opakující se dávku </w:t>
      </w:r>
      <w:r w:rsidR="002A712B" w:rsidRPr="000F52F4">
        <w:rPr>
          <w:rFonts w:cs="Arial"/>
        </w:rPr>
        <w:t xml:space="preserve">doklad o výši pravidelných úhrad za služby bezprostředně spojené s užíváním bytu, jiného než obytného prostoru nebo ubytovacího zařízení </w:t>
      </w:r>
      <w:r w:rsidR="005F5A74">
        <w:rPr>
          <w:rFonts w:cs="Arial"/>
        </w:rPr>
        <w:br/>
      </w:r>
      <w:r w:rsidR="002A712B" w:rsidRPr="000F52F4">
        <w:rPr>
          <w:rFonts w:cs="Arial"/>
        </w:rPr>
        <w:t>a rozpis těchto služeb</w:t>
      </w:r>
      <w:r w:rsidR="002A712B">
        <w:rPr>
          <w:rFonts w:cs="Arial"/>
        </w:rPr>
        <w:t xml:space="preserve">. Za rozpis služeb je v praxi považován tzv. evidenční list bytu, dále může být rozpis služeb součástí smlouvy, rozhodnutí či jiného právního titulu, </w:t>
      </w:r>
      <w:r w:rsidR="005F5A74">
        <w:rPr>
          <w:rFonts w:cs="Arial"/>
        </w:rPr>
        <w:br/>
      </w:r>
      <w:r w:rsidR="002A712B">
        <w:rPr>
          <w:rFonts w:cs="Arial"/>
        </w:rPr>
        <w:t>na základě kterého je bydlení užíváno.</w:t>
      </w:r>
    </w:p>
    <w:p w:rsidR="00A73B25" w:rsidRPr="000F52F4" w:rsidRDefault="00A73B25" w:rsidP="002A712B">
      <w:pPr>
        <w:rPr>
          <w:rFonts w:cs="Arial"/>
        </w:rPr>
      </w:pPr>
    </w:p>
    <w:p w:rsidR="002A712B" w:rsidRDefault="002A712B" w:rsidP="002A712B">
      <w:pPr>
        <w:rPr>
          <w:rFonts w:cs="Arial"/>
          <w:color w:val="000000"/>
          <w:szCs w:val="24"/>
        </w:rPr>
      </w:pPr>
      <w:r>
        <w:rPr>
          <w:rFonts w:cs="Arial"/>
          <w:color w:val="000000"/>
          <w:szCs w:val="24"/>
        </w:rPr>
        <w:t xml:space="preserve">Pokud žadatel o dávku (příjemce dávky) nedoloží rozpis předepsaných služeb </w:t>
      </w:r>
      <w:r w:rsidR="005F5A74">
        <w:rPr>
          <w:rFonts w:cs="Arial"/>
          <w:color w:val="000000"/>
          <w:szCs w:val="24"/>
        </w:rPr>
        <w:br/>
      </w:r>
      <w:r>
        <w:rPr>
          <w:rFonts w:cs="Arial"/>
          <w:color w:val="000000"/>
          <w:szCs w:val="24"/>
        </w:rPr>
        <w:t xml:space="preserve">a současně nemůže orgán pomoci v hmotné nouzi rozpis předepsaných služeb ověřit z rozhodnutí příslušného orgánu nebo z jiných dokladů, nebude moci orgán pomoci v hmotné nouzi určit odůvodněné náklady za služby a následně je </w:t>
      </w:r>
      <w:r w:rsidR="000B3550">
        <w:rPr>
          <w:rFonts w:cs="Arial"/>
          <w:color w:val="000000"/>
          <w:szCs w:val="24"/>
        </w:rPr>
        <w:t xml:space="preserve">nebude moci </w:t>
      </w:r>
      <w:r>
        <w:rPr>
          <w:rFonts w:cs="Arial"/>
          <w:color w:val="000000"/>
          <w:szCs w:val="24"/>
        </w:rPr>
        <w:t xml:space="preserve">započítat do celkových ONB. </w:t>
      </w:r>
    </w:p>
    <w:p w:rsidR="00A73B25" w:rsidRDefault="00A73B25" w:rsidP="002A712B">
      <w:pPr>
        <w:rPr>
          <w:rFonts w:cs="Arial"/>
          <w:color w:val="000000"/>
          <w:szCs w:val="24"/>
        </w:rPr>
      </w:pPr>
    </w:p>
    <w:p w:rsidR="00D9363E" w:rsidRDefault="00B01E13" w:rsidP="002A712B">
      <w:pPr>
        <w:rPr>
          <w:rFonts w:cs="Arial"/>
          <w:color w:val="000000"/>
          <w:szCs w:val="24"/>
        </w:rPr>
      </w:pPr>
      <w:r>
        <w:rPr>
          <w:rFonts w:cs="Arial"/>
          <w:color w:val="000000"/>
          <w:szCs w:val="24"/>
        </w:rPr>
        <w:t>Služby, které jsou v aplikaci evidovány zálohově a které příjemce dávky používá, musí být ze strany poskytovatele služeb</w:t>
      </w:r>
      <w:r w:rsidR="0032438C">
        <w:rPr>
          <w:rStyle w:val="Znakapoznpodarou"/>
          <w:rFonts w:cs="Arial"/>
          <w:color w:val="000000"/>
          <w:szCs w:val="24"/>
        </w:rPr>
        <w:footnoteReference w:id="7"/>
      </w:r>
      <w:r w:rsidR="002A712B">
        <w:rPr>
          <w:rFonts w:cs="Arial"/>
          <w:color w:val="000000"/>
          <w:szCs w:val="24"/>
        </w:rPr>
        <w:t xml:space="preserve"> vyúčtovány</w:t>
      </w:r>
      <w:r w:rsidR="002A712B" w:rsidRPr="0042653D">
        <w:rPr>
          <w:rStyle w:val="Znakapoznpodarou"/>
          <w:rFonts w:cs="Arial"/>
          <w:color w:val="000000"/>
          <w:szCs w:val="24"/>
        </w:rPr>
        <w:footnoteReference w:id="8"/>
      </w:r>
      <w:r w:rsidR="002A712B">
        <w:rPr>
          <w:rFonts w:cs="Arial"/>
          <w:color w:val="000000"/>
          <w:szCs w:val="24"/>
        </w:rPr>
        <w:t>.</w:t>
      </w:r>
      <w:r w:rsidR="002A712B" w:rsidRPr="0042653D">
        <w:rPr>
          <w:rFonts w:cs="Arial"/>
          <w:color w:val="000000"/>
          <w:szCs w:val="24"/>
        </w:rPr>
        <w:t xml:space="preserve"> </w:t>
      </w:r>
      <w:r w:rsidR="002A712B">
        <w:rPr>
          <w:rFonts w:cs="Arial"/>
          <w:color w:val="000000"/>
          <w:szCs w:val="24"/>
        </w:rPr>
        <w:t xml:space="preserve"> Pokud orgán pomoci v hmotné nouzi neobdrží v obvyklém čase od příjemce dávky vyúčtování služeb, vyzve příjemce dávky k předložení vyúčtování. </w:t>
      </w:r>
      <w:r w:rsidR="00F941CE">
        <w:rPr>
          <w:rFonts w:cs="Arial"/>
          <w:color w:val="000000"/>
          <w:szCs w:val="24"/>
        </w:rPr>
        <w:t>V případě, že na výzvu příjemce dávky nereaguje, lze dávku odejmout v souladu s ustanovením § 49 ZPHN. Pokud však</w:t>
      </w:r>
      <w:r w:rsidR="002A712B">
        <w:rPr>
          <w:rFonts w:cs="Arial"/>
          <w:color w:val="000000"/>
          <w:szCs w:val="24"/>
        </w:rPr>
        <w:t xml:space="preserve"> příjemce dávky sdělí orgánu pomoci v hmotné nouzi, že mu poskytovatel služeb odmítá předat vyúčtování služeb spojených s užíváním bytu, užije orgán pomoci v hmotné nouzi postup </w:t>
      </w:r>
      <w:r w:rsidR="005C3645">
        <w:rPr>
          <w:rFonts w:cs="Arial"/>
          <w:color w:val="000000"/>
          <w:szCs w:val="24"/>
        </w:rPr>
        <w:t>po</w:t>
      </w:r>
      <w:r w:rsidR="002A712B">
        <w:rPr>
          <w:rFonts w:cs="Arial"/>
          <w:color w:val="000000"/>
          <w:szCs w:val="24"/>
        </w:rPr>
        <w:t>dle ustanovení § 50 ZPHN a vyzve poskytovatele služeb (SVJ, vlastníka bytu) k předložení vyúčtování. Při nedoložení vyúčtování služeb z</w:t>
      </w:r>
      <w:r w:rsidR="00D9363E">
        <w:rPr>
          <w:rFonts w:cs="Arial"/>
          <w:color w:val="000000"/>
          <w:szCs w:val="24"/>
        </w:rPr>
        <w:t> jejich strany (SVJ, vlastníka bytu)</w:t>
      </w:r>
      <w:r w:rsidR="002A712B">
        <w:rPr>
          <w:rFonts w:cs="Arial"/>
          <w:color w:val="000000"/>
          <w:szCs w:val="24"/>
        </w:rPr>
        <w:t>, nemůže být tato skutečnost zohledněna při</w:t>
      </w:r>
      <w:r w:rsidR="00D9363E">
        <w:rPr>
          <w:rFonts w:cs="Arial"/>
          <w:color w:val="000000"/>
          <w:szCs w:val="24"/>
        </w:rPr>
        <w:t xml:space="preserve"> hodno</w:t>
      </w:r>
      <w:r w:rsidR="00B155FC">
        <w:rPr>
          <w:rFonts w:cs="Arial"/>
          <w:color w:val="000000"/>
          <w:szCs w:val="24"/>
        </w:rPr>
        <w:t xml:space="preserve">cení nároku a výše dávky a nemůže </w:t>
      </w:r>
      <w:r w:rsidR="00F941CE">
        <w:rPr>
          <w:rFonts w:cs="Arial"/>
          <w:color w:val="000000"/>
          <w:szCs w:val="24"/>
        </w:rPr>
        <w:t xml:space="preserve">tudíž </w:t>
      </w:r>
      <w:r w:rsidR="00B155FC">
        <w:rPr>
          <w:rFonts w:cs="Arial"/>
          <w:color w:val="000000"/>
          <w:szCs w:val="24"/>
        </w:rPr>
        <w:t>dojít</w:t>
      </w:r>
      <w:r w:rsidR="00D9363E">
        <w:rPr>
          <w:rFonts w:cs="Arial"/>
          <w:color w:val="000000"/>
          <w:szCs w:val="24"/>
        </w:rPr>
        <w:t xml:space="preserve"> k odejmutí dávky.</w:t>
      </w:r>
      <w:r w:rsidR="00B155FC">
        <w:rPr>
          <w:rFonts w:cs="Arial"/>
          <w:color w:val="000000"/>
          <w:szCs w:val="24"/>
        </w:rPr>
        <w:t xml:space="preserve"> V tomto případě však lze využít ustanovení § </w:t>
      </w:r>
      <w:r w:rsidR="00F941CE">
        <w:rPr>
          <w:rFonts w:cs="Arial"/>
          <w:color w:val="000000"/>
          <w:szCs w:val="24"/>
        </w:rPr>
        <w:t>58 odst. 2 ZPHN a uložit poskytovateli služeb (SVJ, vlastník bytu) pokutu až do výše 20 000,- Kč.</w:t>
      </w:r>
    </w:p>
    <w:p w:rsidR="00BD4831" w:rsidRDefault="00BD4831" w:rsidP="002A712B">
      <w:pPr>
        <w:rPr>
          <w:lang w:eastAsia="cs-CZ"/>
        </w:rPr>
      </w:pPr>
    </w:p>
    <w:p w:rsidR="002A712B" w:rsidRDefault="002A712B" w:rsidP="002A712B">
      <w:pPr>
        <w:rPr>
          <w:rFonts w:cs="Arial"/>
          <w:szCs w:val="24"/>
        </w:rPr>
      </w:pPr>
      <w:r>
        <w:rPr>
          <w:rFonts w:cs="Arial"/>
          <w:szCs w:val="24"/>
        </w:rPr>
        <w:lastRenderedPageBreak/>
        <w:t>V</w:t>
      </w:r>
      <w:r w:rsidRPr="00F65550">
        <w:rPr>
          <w:rFonts w:cs="Arial"/>
          <w:szCs w:val="24"/>
        </w:rPr>
        <w:t xml:space="preserve">yúčtováním </w:t>
      </w:r>
      <w:r>
        <w:rPr>
          <w:rFonts w:cs="Arial"/>
          <w:szCs w:val="24"/>
        </w:rPr>
        <w:t xml:space="preserve">se rozumí </w:t>
      </w:r>
      <w:r w:rsidRPr="00F65550">
        <w:rPr>
          <w:rFonts w:cs="Arial"/>
          <w:szCs w:val="24"/>
        </w:rPr>
        <w:t xml:space="preserve">vyčíslení skutečné výše nákladů na služby a </w:t>
      </w:r>
      <w:r w:rsidR="00B01E13">
        <w:rPr>
          <w:rFonts w:cs="Arial"/>
          <w:szCs w:val="24"/>
        </w:rPr>
        <w:t xml:space="preserve">uhrazených </w:t>
      </w:r>
      <w:r w:rsidRPr="00F65550">
        <w:rPr>
          <w:rFonts w:cs="Arial"/>
          <w:szCs w:val="24"/>
        </w:rPr>
        <w:t>záloh za jednotlivé služby v daném zúčtovacím období</w:t>
      </w:r>
      <w:r>
        <w:rPr>
          <w:rFonts w:cs="Arial"/>
          <w:szCs w:val="24"/>
        </w:rPr>
        <w:t>, kdy</w:t>
      </w:r>
      <w:r w:rsidRPr="00BC78E2">
        <w:rPr>
          <w:rFonts w:cs="Arial"/>
          <w:szCs w:val="24"/>
        </w:rPr>
        <w:t xml:space="preserve"> </w:t>
      </w:r>
      <w:r>
        <w:rPr>
          <w:rFonts w:cs="Arial"/>
          <w:szCs w:val="24"/>
        </w:rPr>
        <w:t>z</w:t>
      </w:r>
      <w:r w:rsidRPr="00F65550">
        <w:rPr>
          <w:rFonts w:cs="Arial"/>
          <w:szCs w:val="24"/>
        </w:rPr>
        <w:t>účtovací období je nejvýše dvanáctiměs</w:t>
      </w:r>
      <w:r w:rsidRPr="00563AF6">
        <w:rPr>
          <w:rFonts w:cs="Arial"/>
          <w:szCs w:val="24"/>
        </w:rPr>
        <w:t>íční a jeho počátek urč</w:t>
      </w:r>
      <w:r>
        <w:rPr>
          <w:rFonts w:cs="Arial"/>
          <w:szCs w:val="24"/>
        </w:rPr>
        <w:t>uje</w:t>
      </w:r>
      <w:r w:rsidRPr="00F65550">
        <w:rPr>
          <w:rFonts w:cs="Arial"/>
          <w:szCs w:val="24"/>
        </w:rPr>
        <w:t xml:space="preserve"> poskytovatel služeb</w:t>
      </w:r>
      <w:r>
        <w:rPr>
          <w:rFonts w:cs="Arial"/>
          <w:szCs w:val="24"/>
        </w:rPr>
        <w:t>. Vyúčtování se doručuje příjemci služeb nejpozději do čtyř měsíců od skončení zúčtovacího období, f</w:t>
      </w:r>
      <w:r w:rsidRPr="00F65550">
        <w:rPr>
          <w:rFonts w:cs="Arial"/>
          <w:szCs w:val="24"/>
        </w:rPr>
        <w:t>inanční vyrovnání provedou poskytovatel a příjemce služeb v dohodnuté lhůtě, nejpozději však ve lhůtě 4 měsíců ode dne doručení vyúčtování příjemci služeb.</w:t>
      </w:r>
    </w:p>
    <w:p w:rsidR="00AF21E1" w:rsidRPr="002E3BBC" w:rsidRDefault="00AF21E1" w:rsidP="00AF21E1">
      <w:pPr>
        <w:rPr>
          <w:rFonts w:cs="Arial"/>
          <w:color w:val="00B050"/>
          <w:szCs w:val="24"/>
        </w:rPr>
      </w:pPr>
    </w:p>
    <w:p w:rsidR="00AF21E1" w:rsidRPr="007637A8" w:rsidRDefault="00AF21E1" w:rsidP="00AF21E1">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b/>
          <w:i/>
          <w:szCs w:val="24"/>
        </w:rPr>
      </w:pPr>
      <w:r w:rsidRPr="007637A8">
        <w:rPr>
          <w:rFonts w:cs="Arial"/>
          <w:b/>
          <w:i/>
          <w:szCs w:val="24"/>
        </w:rPr>
        <w:t>Příklad:</w:t>
      </w:r>
    </w:p>
    <w:p w:rsidR="00AF21E1" w:rsidRPr="007637A8" w:rsidRDefault="00AF21E1" w:rsidP="00AF21E1">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i/>
          <w:szCs w:val="24"/>
        </w:rPr>
      </w:pPr>
      <w:r w:rsidRPr="007637A8">
        <w:rPr>
          <w:rFonts w:cs="Arial"/>
          <w:i/>
          <w:szCs w:val="24"/>
        </w:rPr>
        <w:t>Zúčtovací období je leden až prosinec 2018. Příjemce služeb má právo na obdržení vyúčtování nejpozději do konce měsíce dubna 2019. Pokud je vyúčtování příjemci služeb doručeno na konci měsíce dubna 2019, k finančnímu vyrovnání by mělo dojít nejpozději do konce měsíce srpna 2019.</w:t>
      </w:r>
    </w:p>
    <w:p w:rsidR="00AF21E1" w:rsidRDefault="00AF21E1" w:rsidP="002A712B">
      <w:pPr>
        <w:rPr>
          <w:rFonts w:cs="Arial"/>
          <w:szCs w:val="24"/>
        </w:rPr>
      </w:pPr>
    </w:p>
    <w:p w:rsidR="002E3BBC" w:rsidRPr="0005531C" w:rsidRDefault="002E3BBC" w:rsidP="002E3BBC">
      <w:pPr>
        <w:rPr>
          <w:rFonts w:cs="Arial"/>
          <w:szCs w:val="24"/>
        </w:rPr>
      </w:pPr>
      <w:r w:rsidRPr="0005531C">
        <w:rPr>
          <w:rFonts w:cs="Arial"/>
          <w:szCs w:val="24"/>
        </w:rPr>
        <w:t xml:space="preserve">Má-li </w:t>
      </w:r>
      <w:r w:rsidR="007C4BDE" w:rsidRPr="0005531C">
        <w:rPr>
          <w:rFonts w:cs="Arial"/>
          <w:szCs w:val="24"/>
        </w:rPr>
        <w:t>poskytovatel služeb (SVJ, vlastník bytu)</w:t>
      </w:r>
      <w:r w:rsidRPr="0005531C">
        <w:rPr>
          <w:rFonts w:cs="Arial"/>
          <w:szCs w:val="24"/>
        </w:rPr>
        <w:t xml:space="preserve"> s</w:t>
      </w:r>
      <w:r w:rsidR="007C4BDE" w:rsidRPr="0005531C">
        <w:rPr>
          <w:rFonts w:cs="Arial"/>
          <w:szCs w:val="24"/>
        </w:rPr>
        <w:t> žadatelem o dávku (příjemcem dávky)</w:t>
      </w:r>
      <w:r w:rsidRPr="0005531C">
        <w:rPr>
          <w:rFonts w:cs="Arial"/>
          <w:szCs w:val="24"/>
        </w:rPr>
        <w:t xml:space="preserve"> bytu sjednanou </w:t>
      </w:r>
      <w:r w:rsidRPr="00C77F95">
        <w:rPr>
          <w:rFonts w:cs="Arial"/>
          <w:b/>
          <w:szCs w:val="24"/>
        </w:rPr>
        <w:t>paušální platbu</w:t>
      </w:r>
      <w:r w:rsidRPr="0005531C">
        <w:rPr>
          <w:rFonts w:cs="Arial"/>
          <w:szCs w:val="24"/>
        </w:rPr>
        <w:t xml:space="preserve"> nebo platby za služby bezprostředně spojené s užíváním bytu dle § 9 odst. 3 zákona č. 67/2013 Sb.,</w:t>
      </w:r>
      <w:r w:rsidRPr="0005531C">
        <w:t xml:space="preserve"> o </w:t>
      </w:r>
      <w:r w:rsidRPr="0005531C">
        <w:rPr>
          <w:rFonts w:cs="Arial"/>
          <w:szCs w:val="24"/>
        </w:rPr>
        <w:t>poskytování plnění spojených s užíváním bytů a nebytových prostorů v domě s byty, ve znění pozdějších předpisů</w:t>
      </w:r>
      <w:r w:rsidR="0005531C" w:rsidRPr="0005531C">
        <w:rPr>
          <w:rFonts w:cs="Arial"/>
          <w:szCs w:val="24"/>
        </w:rPr>
        <w:t xml:space="preserve"> (dále jen „</w:t>
      </w:r>
      <w:r w:rsidR="00EC2DD4">
        <w:rPr>
          <w:rFonts w:cs="Arial"/>
          <w:szCs w:val="24"/>
        </w:rPr>
        <w:t>zákon č. 67/2013 Sb</w:t>
      </w:r>
      <w:r w:rsidR="0005531C" w:rsidRPr="0005531C">
        <w:rPr>
          <w:rFonts w:cs="Arial"/>
          <w:szCs w:val="24"/>
        </w:rPr>
        <w:t>.“)</w:t>
      </w:r>
      <w:r w:rsidRPr="0005531C">
        <w:rPr>
          <w:rFonts w:cs="Arial"/>
          <w:szCs w:val="24"/>
        </w:rPr>
        <w:t xml:space="preserve">, má </w:t>
      </w:r>
      <w:r w:rsidR="007C4BDE" w:rsidRPr="0005531C">
        <w:rPr>
          <w:rFonts w:cs="Arial"/>
          <w:szCs w:val="24"/>
        </w:rPr>
        <w:t>poskytovatel služeb (SVJ, vlastník bytu)</w:t>
      </w:r>
      <w:r w:rsidRPr="0005531C">
        <w:rPr>
          <w:rFonts w:cs="Arial"/>
          <w:szCs w:val="24"/>
        </w:rPr>
        <w:t xml:space="preserve"> </w:t>
      </w:r>
      <w:r w:rsidR="0005531C" w:rsidRPr="0005531C">
        <w:rPr>
          <w:rFonts w:cs="Arial"/>
          <w:szCs w:val="24"/>
        </w:rPr>
        <w:br/>
      </w:r>
      <w:r w:rsidRPr="0005531C">
        <w:rPr>
          <w:rFonts w:cs="Arial"/>
          <w:szCs w:val="24"/>
        </w:rPr>
        <w:t xml:space="preserve">na žádost </w:t>
      </w:r>
      <w:r w:rsidR="007C4BDE" w:rsidRPr="0005531C">
        <w:rPr>
          <w:rFonts w:cs="Arial"/>
          <w:szCs w:val="24"/>
        </w:rPr>
        <w:t>žadatele o dávku (příjemce dávky)</w:t>
      </w:r>
      <w:r w:rsidRPr="0005531C">
        <w:rPr>
          <w:rFonts w:cs="Arial"/>
          <w:szCs w:val="24"/>
        </w:rPr>
        <w:t xml:space="preserve"> povinnost vystavit vyúčtování služeb, tzn. rozepsat poskytované služby a vyčíslit náklady tohoto </w:t>
      </w:r>
      <w:r w:rsidR="007C4BDE" w:rsidRPr="0005531C">
        <w:rPr>
          <w:rFonts w:cs="Arial"/>
          <w:szCs w:val="24"/>
        </w:rPr>
        <w:t>žadatele o dávku (příjemce dávky)</w:t>
      </w:r>
      <w:r w:rsidRPr="0005531C">
        <w:rPr>
          <w:rFonts w:cs="Arial"/>
          <w:szCs w:val="24"/>
        </w:rPr>
        <w:t xml:space="preserve">. Pokud ovšem mají sjednanou paušální platbu, </w:t>
      </w:r>
      <w:r w:rsidR="00E06104">
        <w:rPr>
          <w:rFonts w:cs="Arial"/>
          <w:szCs w:val="24"/>
        </w:rPr>
        <w:t>nemusí docházet</w:t>
      </w:r>
      <w:r w:rsidRPr="0005531C">
        <w:rPr>
          <w:rFonts w:cs="Arial"/>
          <w:szCs w:val="24"/>
        </w:rPr>
        <w:t xml:space="preserve"> k faktickému vyplacení případných přeplatků nebo nedoplatků jednou nebo druhou stranou.</w:t>
      </w:r>
      <w:r w:rsidR="00E06104">
        <w:rPr>
          <w:rFonts w:cs="Arial"/>
          <w:szCs w:val="24"/>
        </w:rPr>
        <w:t xml:space="preserve"> </w:t>
      </w:r>
      <w:r w:rsidR="00654B1E">
        <w:rPr>
          <w:rFonts w:cs="Arial"/>
          <w:szCs w:val="24"/>
        </w:rPr>
        <w:t xml:space="preserve">Tento postup nelze aplikovat v případech, kdy je nájemní smlouva uzavřena na dobu delší než 24 měsíců, a to v souladu s § 9 odst. 4 zákon č. 67/2013 Sb. </w:t>
      </w:r>
      <w:r w:rsidR="0081171A">
        <w:rPr>
          <w:rFonts w:cs="Arial"/>
          <w:szCs w:val="24"/>
        </w:rPr>
        <w:t xml:space="preserve">Pokud nebudou přeplatky a nedoplatky fakticky vyplaceny, nelze k nim přihlížet. </w:t>
      </w:r>
      <w:r w:rsidRPr="0005531C">
        <w:rPr>
          <w:rFonts w:cs="Arial"/>
          <w:szCs w:val="24"/>
        </w:rPr>
        <w:t xml:space="preserve">Pro účely ÚP ČR vyúčtování, které majitel vystaví, </w:t>
      </w:r>
      <w:r w:rsidRPr="000717FE">
        <w:rPr>
          <w:rFonts w:cs="Arial"/>
          <w:szCs w:val="24"/>
        </w:rPr>
        <w:t xml:space="preserve">bude sloužit pouze jako informace k </w:t>
      </w:r>
      <w:r w:rsidR="00C907F6">
        <w:rPr>
          <w:rFonts w:cs="Arial"/>
          <w:szCs w:val="24"/>
        </w:rPr>
        <w:t>z</w:t>
      </w:r>
      <w:r w:rsidRPr="000717FE">
        <w:rPr>
          <w:rFonts w:cs="Arial"/>
          <w:szCs w:val="24"/>
        </w:rPr>
        <w:t xml:space="preserve">aznamenání data, kdy bylo zúčtování provedeno. </w:t>
      </w:r>
      <w:r w:rsidR="007C4BDE" w:rsidRPr="000717FE">
        <w:rPr>
          <w:rFonts w:cs="Arial"/>
          <w:szCs w:val="24"/>
        </w:rPr>
        <w:t>Poskytovatele služeb (SVJ, vlastník bytu)</w:t>
      </w:r>
      <w:r w:rsidRPr="000717FE">
        <w:rPr>
          <w:rFonts w:cs="Arial"/>
          <w:szCs w:val="24"/>
        </w:rPr>
        <w:t xml:space="preserve"> lze vyzvat k doložení rozpisu p</w:t>
      </w:r>
      <w:r w:rsidR="007C4BDE" w:rsidRPr="000717FE">
        <w:rPr>
          <w:rFonts w:cs="Arial"/>
          <w:szCs w:val="24"/>
        </w:rPr>
        <w:t xml:space="preserve">aušálních plateb s odkazem na § </w:t>
      </w:r>
      <w:r w:rsidR="006F3637" w:rsidRPr="000717FE">
        <w:rPr>
          <w:rFonts w:cs="Arial"/>
          <w:szCs w:val="24"/>
        </w:rPr>
        <w:t>50</w:t>
      </w:r>
      <w:r w:rsidR="007C4BDE" w:rsidRPr="000717FE">
        <w:rPr>
          <w:rFonts w:cs="Arial"/>
          <w:szCs w:val="24"/>
        </w:rPr>
        <w:t xml:space="preserve"> ZPHN</w:t>
      </w:r>
      <w:r w:rsidRPr="000717FE">
        <w:rPr>
          <w:rFonts w:cs="Arial"/>
          <w:szCs w:val="24"/>
        </w:rPr>
        <w:t xml:space="preserve">. </w:t>
      </w:r>
      <w:r w:rsidR="00E06104" w:rsidRPr="000717FE">
        <w:rPr>
          <w:rFonts w:cs="Arial"/>
          <w:szCs w:val="24"/>
        </w:rPr>
        <w:t xml:space="preserve">V případě nesplnění výzvy se </w:t>
      </w:r>
      <w:r w:rsidR="000717FE" w:rsidRPr="000717FE">
        <w:rPr>
          <w:rFonts w:cs="Arial"/>
          <w:szCs w:val="24"/>
        </w:rPr>
        <w:t>dopustí</w:t>
      </w:r>
      <w:r w:rsidR="00E06104" w:rsidRPr="000717FE">
        <w:rPr>
          <w:rFonts w:cs="Arial"/>
          <w:szCs w:val="24"/>
        </w:rPr>
        <w:t xml:space="preserve"> přestupku podle § 57 </w:t>
      </w:r>
      <w:r w:rsidR="00C77F95">
        <w:rPr>
          <w:rFonts w:cs="Arial"/>
          <w:szCs w:val="24"/>
        </w:rPr>
        <w:t xml:space="preserve">nebo § 58 </w:t>
      </w:r>
      <w:r w:rsidR="00E06104" w:rsidRPr="000717FE">
        <w:rPr>
          <w:rFonts w:cs="Arial"/>
          <w:szCs w:val="24"/>
        </w:rPr>
        <w:t xml:space="preserve">ZPHN. </w:t>
      </w:r>
    </w:p>
    <w:p w:rsidR="001728D2" w:rsidRDefault="001728D2" w:rsidP="000253C1">
      <w:pPr>
        <w:rPr>
          <w:rFonts w:cs="Arial"/>
          <w:szCs w:val="24"/>
          <w:lang w:eastAsia="cs-CZ"/>
        </w:rPr>
      </w:pPr>
    </w:p>
    <w:p w:rsidR="00A73B25" w:rsidRDefault="00B01E13" w:rsidP="00A73B25">
      <w:pPr>
        <w:rPr>
          <w:rFonts w:cs="Arial"/>
          <w:szCs w:val="24"/>
          <w:lang w:eastAsia="cs-CZ"/>
        </w:rPr>
      </w:pPr>
      <w:r>
        <w:rPr>
          <w:rFonts w:cs="Arial"/>
          <w:szCs w:val="24"/>
          <w:lang w:eastAsia="cs-CZ"/>
        </w:rPr>
        <w:t xml:space="preserve">Zálohy za služby bezprostředně spojené s užíváním bytu vodné a stočné, ohřev teplé vody dálkovým teplem a dálkové vytápění se do ONB započítají tak, že </w:t>
      </w:r>
      <w:r w:rsidRPr="00E60C09">
        <w:rPr>
          <w:rFonts w:cs="Arial"/>
          <w:b/>
          <w:szCs w:val="24"/>
          <w:lang w:eastAsia="cs-CZ"/>
        </w:rPr>
        <w:t>suma</w:t>
      </w:r>
      <w:r>
        <w:rPr>
          <w:rFonts w:cs="Arial"/>
          <w:b/>
          <w:szCs w:val="24"/>
          <w:lang w:eastAsia="cs-CZ"/>
        </w:rPr>
        <w:t xml:space="preserve"> (součet)</w:t>
      </w:r>
      <w:r w:rsidRPr="00E60C09">
        <w:rPr>
          <w:rFonts w:cs="Arial"/>
          <w:b/>
          <w:szCs w:val="24"/>
          <w:lang w:eastAsia="cs-CZ"/>
        </w:rPr>
        <w:t xml:space="preserve"> </w:t>
      </w:r>
      <w:r>
        <w:rPr>
          <w:rFonts w:cs="Arial"/>
          <w:b/>
          <w:szCs w:val="24"/>
          <w:lang w:eastAsia="cs-CZ"/>
        </w:rPr>
        <w:t xml:space="preserve">skutečných </w:t>
      </w:r>
      <w:r w:rsidRPr="00E60C09">
        <w:rPr>
          <w:rFonts w:cs="Arial"/>
          <w:b/>
          <w:szCs w:val="24"/>
          <w:lang w:eastAsia="cs-CZ"/>
        </w:rPr>
        <w:t xml:space="preserve">záloh za </w:t>
      </w:r>
      <w:r>
        <w:rPr>
          <w:rFonts w:cs="Arial"/>
          <w:b/>
          <w:szCs w:val="24"/>
          <w:lang w:eastAsia="cs-CZ"/>
        </w:rPr>
        <w:t xml:space="preserve">tyto </w:t>
      </w:r>
      <w:r w:rsidRPr="00E60C09">
        <w:rPr>
          <w:rFonts w:cs="Arial"/>
          <w:b/>
          <w:szCs w:val="24"/>
          <w:lang w:eastAsia="cs-CZ"/>
        </w:rPr>
        <w:t xml:space="preserve">služby se </w:t>
      </w:r>
      <w:r>
        <w:rPr>
          <w:rFonts w:cs="Arial"/>
          <w:b/>
          <w:szCs w:val="24"/>
          <w:lang w:eastAsia="cs-CZ"/>
        </w:rPr>
        <w:t>započítá</w:t>
      </w:r>
      <w:r w:rsidRPr="00E60C09">
        <w:rPr>
          <w:rFonts w:cs="Arial"/>
          <w:b/>
          <w:szCs w:val="24"/>
          <w:lang w:eastAsia="cs-CZ"/>
        </w:rPr>
        <w:t xml:space="preserve"> maximálně do výše sumy</w:t>
      </w:r>
      <w:r>
        <w:rPr>
          <w:rFonts w:cs="Arial"/>
          <w:b/>
          <w:szCs w:val="24"/>
          <w:lang w:eastAsia="cs-CZ"/>
        </w:rPr>
        <w:t xml:space="preserve"> (součtu)</w:t>
      </w:r>
      <w:r w:rsidRPr="00E60C09">
        <w:rPr>
          <w:rFonts w:cs="Arial"/>
          <w:b/>
          <w:szCs w:val="24"/>
          <w:lang w:eastAsia="cs-CZ"/>
        </w:rPr>
        <w:t xml:space="preserve"> nákladů na </w:t>
      </w:r>
      <w:r>
        <w:rPr>
          <w:rFonts w:cs="Arial"/>
          <w:b/>
          <w:szCs w:val="24"/>
          <w:lang w:eastAsia="cs-CZ"/>
        </w:rPr>
        <w:t xml:space="preserve">tyto </w:t>
      </w:r>
      <w:r w:rsidRPr="00E60C09">
        <w:rPr>
          <w:rFonts w:cs="Arial"/>
          <w:b/>
          <w:szCs w:val="24"/>
          <w:lang w:eastAsia="cs-CZ"/>
        </w:rPr>
        <w:t>služby v místě obvyklých</w:t>
      </w:r>
      <w:r>
        <w:rPr>
          <w:rFonts w:cs="Arial"/>
          <w:szCs w:val="24"/>
          <w:lang w:eastAsia="cs-CZ"/>
        </w:rPr>
        <w:t>.</w:t>
      </w:r>
    </w:p>
    <w:p w:rsidR="00B01E13" w:rsidRDefault="00B01E13" w:rsidP="00A73B25">
      <w:pPr>
        <w:rPr>
          <w:rFonts w:cs="Arial"/>
          <w:szCs w:val="24"/>
          <w:lang w:eastAsia="cs-CZ"/>
        </w:rPr>
      </w:pPr>
    </w:p>
    <w:p w:rsidR="0032627C" w:rsidRDefault="00A73B25" w:rsidP="000253C1">
      <w:pPr>
        <w:rPr>
          <w:rFonts w:cs="Arial"/>
          <w:szCs w:val="24"/>
          <w:lang w:eastAsia="cs-CZ"/>
        </w:rPr>
      </w:pPr>
      <w:r>
        <w:rPr>
          <w:rFonts w:cs="Arial"/>
          <w:szCs w:val="24"/>
          <w:lang w:eastAsia="cs-CZ"/>
        </w:rPr>
        <w:t>U těchto služeb se na základě doložení vyúčtování za zúčtovací období provádí nový výpočet výše dávky (viz postup při doložení vyúčtování za zúčtovací období).</w:t>
      </w:r>
    </w:p>
    <w:p w:rsidR="007637A8" w:rsidRDefault="007637A8" w:rsidP="000253C1">
      <w:pPr>
        <w:rPr>
          <w:rFonts w:cs="Arial"/>
          <w:szCs w:val="24"/>
          <w:lang w:eastAsia="cs-CZ"/>
        </w:rPr>
      </w:pPr>
    </w:p>
    <w:p w:rsidR="007637A8" w:rsidRPr="007637A8" w:rsidRDefault="007637A8" w:rsidP="007637A8">
      <w:pPr>
        <w:pBdr>
          <w:top w:val="single" w:sz="4" w:space="1" w:color="auto"/>
          <w:left w:val="single" w:sz="4" w:space="1" w:color="auto"/>
          <w:bottom w:val="single" w:sz="4" w:space="1" w:color="auto"/>
          <w:right w:val="single" w:sz="4" w:space="1" w:color="auto"/>
        </w:pBdr>
        <w:shd w:val="clear" w:color="auto" w:fill="BDD6EE" w:themeFill="accent1" w:themeFillTint="66"/>
        <w:rPr>
          <w:rFonts w:cs="Arial"/>
          <w:b/>
          <w:i/>
          <w:szCs w:val="24"/>
          <w:lang w:eastAsia="cs-CZ"/>
        </w:rPr>
      </w:pPr>
      <w:r w:rsidRPr="007637A8">
        <w:rPr>
          <w:rFonts w:cs="Arial"/>
          <w:b/>
          <w:i/>
          <w:szCs w:val="24"/>
          <w:lang w:eastAsia="cs-CZ"/>
        </w:rPr>
        <w:t>Příklad:</w:t>
      </w:r>
    </w:p>
    <w:p w:rsidR="00B01E13" w:rsidRPr="007637A8" w:rsidRDefault="00B01E13" w:rsidP="00B01E13">
      <w:pPr>
        <w:pBdr>
          <w:top w:val="single" w:sz="4" w:space="1" w:color="auto"/>
          <w:left w:val="single" w:sz="4" w:space="1" w:color="auto"/>
          <w:bottom w:val="single" w:sz="4" w:space="1" w:color="auto"/>
          <w:right w:val="single" w:sz="4" w:space="1" w:color="auto"/>
        </w:pBdr>
        <w:shd w:val="clear" w:color="auto" w:fill="BDD6EE" w:themeFill="accent1" w:themeFillTint="66"/>
        <w:rPr>
          <w:rFonts w:cs="Arial"/>
          <w:i/>
          <w:szCs w:val="24"/>
          <w:lang w:eastAsia="cs-CZ"/>
        </w:rPr>
      </w:pPr>
      <w:r w:rsidRPr="007637A8">
        <w:rPr>
          <w:rFonts w:cs="Arial"/>
          <w:i/>
          <w:szCs w:val="24"/>
          <w:lang w:eastAsia="cs-CZ"/>
        </w:rPr>
        <w:t xml:space="preserve">Stanovené zálohy za služby spojené s užíváním bytu: </w:t>
      </w:r>
      <w:r w:rsidRPr="007637A8">
        <w:rPr>
          <w:rFonts w:cs="Arial"/>
          <w:i/>
        </w:rPr>
        <w:t xml:space="preserve">vodné a stočné 200 Kč, ohřev teplé vody </w:t>
      </w:r>
      <w:r>
        <w:rPr>
          <w:rFonts w:cs="Arial"/>
          <w:i/>
        </w:rPr>
        <w:t xml:space="preserve">dálkovým teplem </w:t>
      </w:r>
      <w:r w:rsidRPr="007637A8">
        <w:rPr>
          <w:rFonts w:cs="Arial"/>
          <w:i/>
        </w:rPr>
        <w:t xml:space="preserve">320 Kč, dálkové vytápění 400 Kč; </w:t>
      </w:r>
      <w:r w:rsidRPr="007637A8">
        <w:rPr>
          <w:rFonts w:cs="Arial"/>
          <w:b/>
          <w:i/>
        </w:rPr>
        <w:t>celkem 920 Kč</w:t>
      </w:r>
      <w:r w:rsidRPr="007637A8">
        <w:rPr>
          <w:rFonts w:cs="Arial"/>
          <w:i/>
        </w:rPr>
        <w:t>.</w:t>
      </w:r>
    </w:p>
    <w:p w:rsidR="00B01E13" w:rsidRDefault="00B01E13" w:rsidP="00B01E13">
      <w:pPr>
        <w:pBdr>
          <w:top w:val="single" w:sz="4" w:space="1" w:color="auto"/>
          <w:left w:val="single" w:sz="4" w:space="1" w:color="auto"/>
          <w:bottom w:val="single" w:sz="4" w:space="1" w:color="auto"/>
          <w:right w:val="single" w:sz="4" w:space="1" w:color="auto"/>
        </w:pBdr>
        <w:shd w:val="clear" w:color="auto" w:fill="BDD6EE" w:themeFill="accent1" w:themeFillTint="66"/>
        <w:rPr>
          <w:rFonts w:cs="Arial"/>
          <w:i/>
        </w:rPr>
      </w:pPr>
      <w:r w:rsidRPr="007637A8">
        <w:rPr>
          <w:rFonts w:cs="Arial"/>
          <w:i/>
        </w:rPr>
        <w:t xml:space="preserve">Zálohy za služby spojené s užíváním bytu ve výši v místě obvyklé: vodné a stočné 255 Kč, ohřev teplé vody 273 Kč, dálkové vytápění 357 Kč; </w:t>
      </w:r>
      <w:r w:rsidRPr="007637A8">
        <w:rPr>
          <w:rFonts w:cs="Arial"/>
          <w:b/>
          <w:i/>
        </w:rPr>
        <w:t>celkem 885 Kč</w:t>
      </w:r>
      <w:r w:rsidRPr="007637A8">
        <w:rPr>
          <w:rFonts w:cs="Arial"/>
          <w:i/>
        </w:rPr>
        <w:t>.</w:t>
      </w:r>
    </w:p>
    <w:p w:rsidR="00B01E13" w:rsidRPr="007637A8" w:rsidRDefault="00B01E13" w:rsidP="00B01E13">
      <w:pPr>
        <w:pBdr>
          <w:top w:val="single" w:sz="4" w:space="1" w:color="auto"/>
          <w:left w:val="single" w:sz="4" w:space="1" w:color="auto"/>
          <w:bottom w:val="single" w:sz="4" w:space="1" w:color="auto"/>
          <w:right w:val="single" w:sz="4" w:space="1" w:color="auto"/>
        </w:pBdr>
        <w:shd w:val="clear" w:color="auto" w:fill="BDD6EE" w:themeFill="accent1" w:themeFillTint="66"/>
        <w:rPr>
          <w:rFonts w:cs="Arial"/>
          <w:i/>
        </w:rPr>
      </w:pPr>
    </w:p>
    <w:p w:rsidR="00B01E13" w:rsidRPr="007637A8" w:rsidRDefault="00B01E13" w:rsidP="00B01E13">
      <w:pPr>
        <w:pBdr>
          <w:top w:val="single" w:sz="4" w:space="1" w:color="auto"/>
          <w:left w:val="single" w:sz="4" w:space="1" w:color="auto"/>
          <w:bottom w:val="single" w:sz="4" w:space="1" w:color="auto"/>
          <w:right w:val="single" w:sz="4" w:space="1" w:color="auto"/>
        </w:pBdr>
        <w:shd w:val="clear" w:color="auto" w:fill="BDD6EE" w:themeFill="accent1" w:themeFillTint="66"/>
        <w:rPr>
          <w:rFonts w:cs="Arial"/>
          <w:i/>
        </w:rPr>
      </w:pPr>
      <w:r w:rsidRPr="007637A8">
        <w:rPr>
          <w:rFonts w:cs="Arial"/>
          <w:i/>
        </w:rPr>
        <w:t>ONB v části záloh za služby vodné a stočné, ohřev teplé vody</w:t>
      </w:r>
      <w:r>
        <w:rPr>
          <w:rFonts w:cs="Arial"/>
          <w:i/>
        </w:rPr>
        <w:t xml:space="preserve"> dálkovým teplem</w:t>
      </w:r>
      <w:r w:rsidRPr="007637A8">
        <w:rPr>
          <w:rFonts w:cs="Arial"/>
          <w:i/>
        </w:rPr>
        <w:t xml:space="preserve"> </w:t>
      </w:r>
      <w:r w:rsidR="0032627C">
        <w:rPr>
          <w:rFonts w:cs="Arial"/>
          <w:i/>
        </w:rPr>
        <w:br/>
      </w:r>
      <w:r w:rsidRPr="007637A8">
        <w:rPr>
          <w:rFonts w:cs="Arial"/>
          <w:i/>
        </w:rPr>
        <w:t xml:space="preserve">a dálkové vytápění </w:t>
      </w:r>
      <w:r w:rsidRPr="007637A8">
        <w:rPr>
          <w:rFonts w:cs="Arial"/>
          <w:b/>
          <w:i/>
        </w:rPr>
        <w:t>činí 885 Kč</w:t>
      </w:r>
      <w:r w:rsidRPr="007637A8">
        <w:rPr>
          <w:rFonts w:cs="Arial"/>
          <w:i/>
        </w:rPr>
        <w:t>.</w:t>
      </w:r>
    </w:p>
    <w:p w:rsidR="000253C1" w:rsidRDefault="000253C1" w:rsidP="000253C1">
      <w:pPr>
        <w:rPr>
          <w:lang w:eastAsia="cs-CZ"/>
        </w:rPr>
      </w:pPr>
    </w:p>
    <w:p w:rsidR="002321AD" w:rsidRDefault="00B01E13" w:rsidP="00B01E13">
      <w:pPr>
        <w:rPr>
          <w:rFonts w:cs="Arial"/>
        </w:rPr>
      </w:pPr>
      <w:r>
        <w:rPr>
          <w:rFonts w:cs="Arial"/>
        </w:rPr>
        <w:t xml:space="preserve">K ONB za služby vodné a stočné, ohřev teplé vody dálkovým teplem a dálkové vytápění se dále přičítají náklady na ostatní služby spojené s užíváním bytu, max. </w:t>
      </w:r>
      <w:r w:rsidR="000A4BBE">
        <w:rPr>
          <w:rFonts w:cs="Arial"/>
        </w:rPr>
        <w:br/>
      </w:r>
      <w:r>
        <w:rPr>
          <w:rFonts w:cs="Arial"/>
        </w:rPr>
        <w:t>ve výši v místě obvyklé.</w:t>
      </w:r>
    </w:p>
    <w:p w:rsidR="00A73B25" w:rsidRDefault="00A73B25" w:rsidP="000253C1">
      <w:pPr>
        <w:rPr>
          <w:lang w:eastAsia="cs-CZ"/>
        </w:rPr>
      </w:pPr>
    </w:p>
    <w:p w:rsidR="007637A8" w:rsidRPr="007637A8" w:rsidRDefault="007637A8" w:rsidP="007637A8">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b/>
          <w:i/>
          <w:color w:val="000000"/>
          <w:szCs w:val="24"/>
        </w:rPr>
      </w:pPr>
      <w:r w:rsidRPr="007637A8">
        <w:rPr>
          <w:rFonts w:cs="Arial"/>
          <w:b/>
          <w:i/>
          <w:color w:val="000000"/>
          <w:szCs w:val="24"/>
        </w:rPr>
        <w:t>Příklad:</w:t>
      </w:r>
    </w:p>
    <w:p w:rsidR="007637A8" w:rsidRPr="007637A8" w:rsidRDefault="007637A8" w:rsidP="007637A8">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i/>
        </w:rPr>
      </w:pPr>
      <w:r w:rsidRPr="007637A8">
        <w:rPr>
          <w:rFonts w:cs="Arial"/>
          <w:i/>
        </w:rPr>
        <w:t xml:space="preserve">Stanovené zálohy za ostatní služby spojené s užíváním bytu: výtah 80 Kč, osvětlení společných prostor 20 Kč; </w:t>
      </w:r>
      <w:r w:rsidRPr="007637A8">
        <w:rPr>
          <w:rFonts w:cs="Arial"/>
          <w:b/>
          <w:i/>
        </w:rPr>
        <w:t>celkem 100 Kč</w:t>
      </w:r>
      <w:r w:rsidRPr="007637A8">
        <w:rPr>
          <w:rFonts w:cs="Arial"/>
          <w:i/>
        </w:rPr>
        <w:t xml:space="preserve">. Protože se jedná o běžné výše záloh, </w:t>
      </w:r>
      <w:r w:rsidRPr="007637A8">
        <w:rPr>
          <w:rFonts w:cs="Arial"/>
          <w:b/>
          <w:i/>
        </w:rPr>
        <w:t>činí</w:t>
      </w:r>
      <w:r w:rsidRPr="007637A8">
        <w:rPr>
          <w:rFonts w:cs="Arial"/>
          <w:i/>
        </w:rPr>
        <w:t xml:space="preserve"> ONB za ostatní služby </w:t>
      </w:r>
      <w:r w:rsidRPr="007637A8">
        <w:rPr>
          <w:rFonts w:cs="Arial"/>
          <w:b/>
          <w:i/>
        </w:rPr>
        <w:t>100 Kč</w:t>
      </w:r>
      <w:r w:rsidRPr="007637A8">
        <w:rPr>
          <w:rFonts w:cs="Arial"/>
          <w:i/>
        </w:rPr>
        <w:t>.</w:t>
      </w:r>
    </w:p>
    <w:p w:rsidR="007637A8" w:rsidRPr="007637A8" w:rsidRDefault="007637A8" w:rsidP="007637A8">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i/>
        </w:rPr>
      </w:pPr>
    </w:p>
    <w:p w:rsidR="007637A8" w:rsidRPr="007637A8" w:rsidRDefault="007637A8" w:rsidP="007637A8">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i/>
        </w:rPr>
      </w:pPr>
      <w:r w:rsidRPr="007637A8">
        <w:rPr>
          <w:rFonts w:cs="Arial"/>
          <w:b/>
          <w:i/>
        </w:rPr>
        <w:t>ONB za služby spojen</w:t>
      </w:r>
      <w:r w:rsidR="00E17B9B">
        <w:rPr>
          <w:rFonts w:cs="Arial"/>
          <w:b/>
          <w:i/>
        </w:rPr>
        <w:t>é s užíváním bytu celkem činí 98</w:t>
      </w:r>
      <w:r w:rsidRPr="007637A8">
        <w:rPr>
          <w:rFonts w:cs="Arial"/>
          <w:b/>
          <w:i/>
        </w:rPr>
        <w:t>5 Kč</w:t>
      </w:r>
      <w:r w:rsidRPr="007637A8">
        <w:rPr>
          <w:rFonts w:cs="Arial"/>
          <w:i/>
        </w:rPr>
        <w:t xml:space="preserve"> (885 Kč + 100 Kč).</w:t>
      </w:r>
    </w:p>
    <w:p w:rsidR="007637A8" w:rsidRDefault="007637A8" w:rsidP="000253C1">
      <w:pPr>
        <w:rPr>
          <w:rFonts w:cs="Arial"/>
          <w:color w:val="000000"/>
          <w:szCs w:val="24"/>
        </w:rPr>
      </w:pPr>
    </w:p>
    <w:p w:rsidR="004226B3" w:rsidRDefault="004226B3" w:rsidP="004226B3">
      <w:pPr>
        <w:rPr>
          <w:rFonts w:cs="Arial"/>
          <w:szCs w:val="24"/>
          <w:lang w:eastAsia="cs-CZ"/>
        </w:rPr>
      </w:pPr>
      <w:r>
        <w:rPr>
          <w:rFonts w:cs="Arial"/>
          <w:szCs w:val="24"/>
          <w:lang w:eastAsia="cs-CZ"/>
        </w:rPr>
        <w:t xml:space="preserve">Výpočet výše záloh za služby spojené s užíváním bytu vodné a stočné, ohřev teplé vody dálkovým teplem a dálkové vytápění v částce v místě obvyklé je nastaven </w:t>
      </w:r>
      <w:r w:rsidR="002321AD">
        <w:rPr>
          <w:rFonts w:cs="Arial"/>
          <w:szCs w:val="24"/>
          <w:lang w:eastAsia="cs-CZ"/>
        </w:rPr>
        <w:br/>
      </w:r>
      <w:r>
        <w:rPr>
          <w:rFonts w:cs="Arial"/>
          <w:szCs w:val="24"/>
          <w:lang w:eastAsia="cs-CZ"/>
        </w:rPr>
        <w:t>na jeden kalendářní měsíc (viz konkrétní vzorce dále v textu). Proto v situacích, kdy není stanovena povinnost hrazení zálohy měsíčně, ale např. jedenkrát za tři měsíce, přepočítává se výše zálohy na jeden kalendářní měsíc</w:t>
      </w:r>
      <w:r w:rsidR="000E0415">
        <w:rPr>
          <w:rFonts w:cs="Arial"/>
          <w:szCs w:val="24"/>
          <w:lang w:eastAsia="cs-CZ"/>
        </w:rPr>
        <w:t xml:space="preserve">, tzn., že v uvedeném případě se započítá ve výši </w:t>
      </w:r>
      <w:r>
        <w:rPr>
          <w:rFonts w:cs="Arial"/>
          <w:szCs w:val="24"/>
          <w:lang w:eastAsia="cs-CZ"/>
        </w:rPr>
        <w:t>1/3.</w:t>
      </w:r>
    </w:p>
    <w:p w:rsidR="00A73B25" w:rsidRPr="00F65550" w:rsidRDefault="00A73B25" w:rsidP="00A73B25">
      <w:pPr>
        <w:rPr>
          <w:rFonts w:cs="Arial"/>
          <w:b/>
          <w:szCs w:val="24"/>
          <w:lang w:eastAsia="cs-CZ"/>
        </w:rPr>
      </w:pPr>
    </w:p>
    <w:p w:rsidR="00A73B25" w:rsidRDefault="00A73B25" w:rsidP="00A73B25">
      <w:pPr>
        <w:rPr>
          <w:rFonts w:cs="Arial"/>
          <w:szCs w:val="24"/>
          <w:lang w:eastAsia="cs-CZ"/>
        </w:rPr>
      </w:pPr>
      <w:r>
        <w:rPr>
          <w:rFonts w:cs="Arial"/>
          <w:szCs w:val="24"/>
          <w:lang w:eastAsia="cs-CZ"/>
        </w:rPr>
        <w:t xml:space="preserve">Platba za odvoz tuhého komunálního odpadu je v praxi často hrazena jedenkrát </w:t>
      </w:r>
      <w:r w:rsidR="002321AD">
        <w:rPr>
          <w:rFonts w:cs="Arial"/>
          <w:szCs w:val="24"/>
          <w:lang w:eastAsia="cs-CZ"/>
        </w:rPr>
        <w:br/>
      </w:r>
      <w:r>
        <w:rPr>
          <w:rFonts w:cs="Arial"/>
          <w:szCs w:val="24"/>
          <w:lang w:eastAsia="cs-CZ"/>
        </w:rPr>
        <w:t>či dvakrát v kalendářním roce</w:t>
      </w:r>
      <w:r w:rsidR="004226B3">
        <w:rPr>
          <w:rFonts w:cs="Arial"/>
          <w:szCs w:val="24"/>
          <w:lang w:eastAsia="cs-CZ"/>
        </w:rPr>
        <w:t xml:space="preserve"> a</w:t>
      </w:r>
      <w:r>
        <w:rPr>
          <w:rFonts w:cs="Arial"/>
          <w:szCs w:val="24"/>
          <w:lang w:eastAsia="cs-CZ"/>
        </w:rPr>
        <w:t xml:space="preserve"> není hrazena formou záloh. Platba za odvoz tuhého komunálního odpadu může být zohledněna v ONB v kalendářním měsíci v plné výši úhrady</w:t>
      </w:r>
      <w:r w:rsidR="007F3E18">
        <w:rPr>
          <w:rStyle w:val="Znakapoznpodarou"/>
          <w:rFonts w:cs="Arial"/>
          <w:szCs w:val="24"/>
          <w:lang w:eastAsia="cs-CZ"/>
        </w:rPr>
        <w:footnoteReference w:id="9"/>
      </w:r>
      <w:r>
        <w:rPr>
          <w:rFonts w:cs="Arial"/>
          <w:szCs w:val="24"/>
          <w:lang w:eastAsia="cs-CZ"/>
        </w:rPr>
        <w:t>.</w:t>
      </w:r>
    </w:p>
    <w:p w:rsidR="00A73B25" w:rsidRDefault="00A73B25" w:rsidP="000253C1">
      <w:pPr>
        <w:rPr>
          <w:rFonts w:cs="Arial"/>
          <w:color w:val="000000"/>
          <w:szCs w:val="24"/>
        </w:rPr>
      </w:pPr>
    </w:p>
    <w:p w:rsidR="007637A8" w:rsidRPr="007637A8" w:rsidRDefault="007637A8" w:rsidP="007637A8">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b/>
          <w:i/>
          <w:color w:val="000000"/>
          <w:szCs w:val="24"/>
        </w:rPr>
      </w:pPr>
      <w:r w:rsidRPr="007637A8">
        <w:rPr>
          <w:rFonts w:cs="Arial"/>
          <w:b/>
          <w:i/>
          <w:color w:val="000000"/>
          <w:szCs w:val="24"/>
        </w:rPr>
        <w:t>Příklad:</w:t>
      </w:r>
    </w:p>
    <w:p w:rsidR="007637A8" w:rsidRPr="007637A8" w:rsidRDefault="007637A8" w:rsidP="007637A8">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7637A8">
        <w:rPr>
          <w:i/>
          <w:lang w:eastAsia="cs-CZ"/>
        </w:rPr>
        <w:t xml:space="preserve">Povinnost platby za odvoz tuhého komunálního odpadu je stanovena na měsíc červen 2019 ve výši 600 Kč a na měsíc prosinec 2019 ve výši 600 Kč. Při stanovení ONB může být platba zohledněna v měsíci červnu 2019 ve výši 600 Kč a v měsíci prosinci 2019 ve výši 600 Kč. </w:t>
      </w:r>
    </w:p>
    <w:p w:rsidR="007637A8" w:rsidRDefault="007637A8" w:rsidP="000253C1">
      <w:pPr>
        <w:rPr>
          <w:rFonts w:cs="Arial"/>
          <w:b/>
          <w:color w:val="000000"/>
          <w:szCs w:val="24"/>
        </w:rPr>
      </w:pPr>
    </w:p>
    <w:p w:rsidR="0003115B" w:rsidRPr="00F45634" w:rsidRDefault="003D04F1" w:rsidP="000253C1">
      <w:pPr>
        <w:rPr>
          <w:rFonts w:cs="Arial"/>
          <w:color w:val="000000"/>
          <w:szCs w:val="24"/>
        </w:rPr>
      </w:pPr>
      <w:r>
        <w:rPr>
          <w:rFonts w:cs="Arial"/>
          <w:color w:val="000000"/>
          <w:szCs w:val="24"/>
        </w:rPr>
        <w:t xml:space="preserve">Platba za službu, která se považuje službou spojenou s užíváním bytu, je i úhrada </w:t>
      </w:r>
      <w:r w:rsidR="00EE4F0D">
        <w:rPr>
          <w:rFonts w:cs="Arial"/>
          <w:color w:val="000000"/>
          <w:szCs w:val="24"/>
        </w:rPr>
        <w:br/>
      </w:r>
      <w:r>
        <w:rPr>
          <w:rFonts w:cs="Arial"/>
          <w:color w:val="000000"/>
          <w:szCs w:val="24"/>
        </w:rPr>
        <w:t xml:space="preserve">za </w:t>
      </w:r>
      <w:r w:rsidRPr="0042653D">
        <w:rPr>
          <w:rFonts w:cs="Arial"/>
          <w:color w:val="000000"/>
          <w:szCs w:val="24"/>
        </w:rPr>
        <w:t>vybavení bytu společnou televizní a rozhlasovou anténou</w:t>
      </w:r>
      <w:r w:rsidR="0003115B">
        <w:rPr>
          <w:rFonts w:cs="Arial"/>
          <w:color w:val="000000"/>
          <w:szCs w:val="24"/>
        </w:rPr>
        <w:t>.</w:t>
      </w:r>
      <w:r>
        <w:rPr>
          <w:rFonts w:cs="Arial"/>
          <w:color w:val="000000"/>
          <w:szCs w:val="24"/>
        </w:rPr>
        <w:t xml:space="preserve"> Princip </w:t>
      </w:r>
      <w:r w:rsidRPr="0042653D">
        <w:rPr>
          <w:rFonts w:cs="Arial"/>
          <w:color w:val="000000"/>
          <w:szCs w:val="24"/>
        </w:rPr>
        <w:t>vybavení bytu společnou televizní a rozhlasovou anténou</w:t>
      </w:r>
      <w:r>
        <w:rPr>
          <w:rFonts w:cs="Arial"/>
          <w:color w:val="000000"/>
          <w:szCs w:val="24"/>
        </w:rPr>
        <w:t xml:space="preserve"> spočívá ve využití jednoho anténního systému na střeše objektu (tvořeného jednou nebo více anténami, např. pro různá pásma, TV, rozhlas apod.), z nějž je signál zpracován aktivními prvky a dále rozveden kabely po objektu. </w:t>
      </w:r>
      <w:r w:rsidR="00253BA4">
        <w:rPr>
          <w:rFonts w:cs="Arial"/>
          <w:color w:val="000000"/>
          <w:szCs w:val="24"/>
        </w:rPr>
        <w:t>Osoba</w:t>
      </w:r>
      <w:r>
        <w:rPr>
          <w:rFonts w:cs="Arial"/>
          <w:color w:val="000000"/>
          <w:szCs w:val="24"/>
        </w:rPr>
        <w:t xml:space="preserve"> má ve svém bytě účastnickou zásuvku, na níž je k dispozici TV signál právě ze společné antény. </w:t>
      </w:r>
    </w:p>
    <w:p w:rsidR="00DE6B1B" w:rsidRDefault="00DE6B1B" w:rsidP="000253C1">
      <w:pPr>
        <w:rPr>
          <w:lang w:eastAsia="cs-CZ"/>
        </w:rPr>
      </w:pPr>
    </w:p>
    <w:p w:rsidR="001F0443" w:rsidRDefault="001F0443" w:rsidP="005D327C">
      <w:pPr>
        <w:pStyle w:val="Nadpis4"/>
        <w:rPr>
          <w:lang w:eastAsia="cs-CZ"/>
        </w:rPr>
      </w:pPr>
      <w:bookmarkStart w:id="6" w:name="_Toc531857526"/>
      <w:bookmarkStart w:id="7" w:name="_Toc25833339"/>
      <w:r>
        <w:rPr>
          <w:lang w:eastAsia="cs-CZ"/>
        </w:rPr>
        <w:lastRenderedPageBreak/>
        <w:t>1. Náklady na dálkové teplo</w:t>
      </w:r>
      <w:bookmarkEnd w:id="6"/>
      <w:r w:rsidR="007C212F">
        <w:rPr>
          <w:lang w:eastAsia="cs-CZ"/>
        </w:rPr>
        <w:t xml:space="preserve"> (DT)</w:t>
      </w:r>
      <w:bookmarkEnd w:id="7"/>
    </w:p>
    <w:p w:rsidR="00D12BCA" w:rsidRDefault="00D12BCA" w:rsidP="00D12BCA">
      <w:pPr>
        <w:rPr>
          <w:rFonts w:cs="Arial"/>
          <w:szCs w:val="24"/>
        </w:rPr>
      </w:pPr>
      <w:r w:rsidRPr="0042653D">
        <w:rPr>
          <w:rFonts w:cs="Arial"/>
          <w:szCs w:val="24"/>
        </w:rPr>
        <w:t>Jedná se o položku služeb, v rámci které je domácnosti zálohově účtována dodávka tepla z </w:t>
      </w:r>
      <w:r w:rsidR="009D1818">
        <w:rPr>
          <w:rFonts w:cs="Arial"/>
          <w:szCs w:val="24"/>
        </w:rPr>
        <w:t>dálkového</w:t>
      </w:r>
      <w:r w:rsidRPr="0042653D">
        <w:rPr>
          <w:rFonts w:cs="Arial"/>
          <w:szCs w:val="24"/>
        </w:rPr>
        <w:t xml:space="preserve"> vytápění.</w:t>
      </w:r>
    </w:p>
    <w:p w:rsidR="00047B07" w:rsidRDefault="00047B07" w:rsidP="001F0443">
      <w:pPr>
        <w:rPr>
          <w:lang w:eastAsia="cs-CZ"/>
        </w:rPr>
      </w:pPr>
    </w:p>
    <w:p w:rsidR="00047B07" w:rsidRDefault="004226B3" w:rsidP="00047B07">
      <w:pPr>
        <w:rPr>
          <w:b/>
          <w:lang w:eastAsia="cs-CZ"/>
        </w:rPr>
      </w:pPr>
      <w:r w:rsidRPr="001C2EDB">
        <w:rPr>
          <w:b/>
          <w:lang w:eastAsia="cs-CZ"/>
        </w:rPr>
        <w:t xml:space="preserve">Náklady na </w:t>
      </w:r>
      <w:r>
        <w:rPr>
          <w:b/>
          <w:lang w:eastAsia="cs-CZ"/>
        </w:rPr>
        <w:t>DT</w:t>
      </w:r>
      <w:r w:rsidRPr="001C2EDB">
        <w:rPr>
          <w:b/>
          <w:lang w:eastAsia="cs-CZ"/>
        </w:rPr>
        <w:t xml:space="preserve"> k vytápění v místě obvyklé se vypočítají jako součin ceny d</w:t>
      </w:r>
      <w:r>
        <w:rPr>
          <w:b/>
          <w:lang w:eastAsia="cs-CZ"/>
        </w:rPr>
        <w:t>álkového tepla v místě obvyklé,</w:t>
      </w:r>
      <w:r w:rsidRPr="001C2EDB">
        <w:rPr>
          <w:b/>
          <w:lang w:eastAsia="cs-CZ"/>
        </w:rPr>
        <w:t xml:space="preserve"> nezbytné spotřeby energie na vytápění</w:t>
      </w:r>
      <w:r>
        <w:rPr>
          <w:b/>
          <w:lang w:eastAsia="cs-CZ"/>
        </w:rPr>
        <w:t xml:space="preserve"> </w:t>
      </w:r>
      <w:r w:rsidR="00EE4F0D">
        <w:rPr>
          <w:b/>
          <w:lang w:eastAsia="cs-CZ"/>
        </w:rPr>
        <w:br/>
      </w:r>
      <w:r>
        <w:rPr>
          <w:b/>
          <w:lang w:eastAsia="cs-CZ"/>
        </w:rPr>
        <w:t>a procenta použití dálkového tepla k vytápění</w:t>
      </w:r>
      <w:r w:rsidRPr="001C2EDB">
        <w:rPr>
          <w:b/>
          <w:lang w:eastAsia="cs-CZ"/>
        </w:rPr>
        <w:t>.</w:t>
      </w:r>
    </w:p>
    <w:p w:rsidR="00506AE3" w:rsidRDefault="00506AE3" w:rsidP="001F0443">
      <w:pPr>
        <w:rPr>
          <w:b/>
          <w:lang w:eastAsia="cs-CZ"/>
        </w:rPr>
      </w:pPr>
    </w:p>
    <w:p w:rsidR="004226B3" w:rsidRPr="00506AE3" w:rsidRDefault="004226B3" w:rsidP="004226B3">
      <w:pPr>
        <w:pBdr>
          <w:top w:val="single" w:sz="4" w:space="1" w:color="auto"/>
          <w:left w:val="single" w:sz="4" w:space="4" w:color="auto"/>
          <w:bottom w:val="single" w:sz="4" w:space="1" w:color="auto"/>
          <w:right w:val="single" w:sz="4" w:space="4" w:color="auto"/>
        </w:pBdr>
        <w:jc w:val="center"/>
        <w:rPr>
          <w:lang w:eastAsia="cs-CZ"/>
        </w:rPr>
      </w:pPr>
      <w:r w:rsidRPr="009C1ED2">
        <w:rPr>
          <w:b/>
          <w:lang w:eastAsia="cs-CZ"/>
        </w:rPr>
        <w:t>Náklady na DT k vytápění v místě obvyklé</w:t>
      </w:r>
      <w:r>
        <w:rPr>
          <w:lang w:eastAsia="cs-CZ"/>
        </w:rPr>
        <w:t xml:space="preserve"> = cena DT v místě obvyklá * nezbytná spotřeba energie na vytápění * procento použití dálkového tepla k vytápění / 100 </w:t>
      </w:r>
    </w:p>
    <w:p w:rsidR="00FC2311" w:rsidRDefault="00FC2311" w:rsidP="00FC2311">
      <w:pPr>
        <w:rPr>
          <w:lang w:eastAsia="cs-CZ"/>
        </w:rPr>
      </w:pPr>
    </w:p>
    <w:p w:rsidR="004226B3" w:rsidRDefault="004226B3" w:rsidP="004226B3">
      <w:pPr>
        <w:rPr>
          <w:lang w:eastAsia="cs-CZ"/>
        </w:rPr>
      </w:pPr>
      <w:r w:rsidRPr="00F65550">
        <w:rPr>
          <w:rFonts w:cs="Arial"/>
          <w:szCs w:val="24"/>
        </w:rPr>
        <w:t>Cen</w:t>
      </w:r>
      <w:r w:rsidR="00E67891">
        <w:rPr>
          <w:rFonts w:cs="Arial"/>
          <w:szCs w:val="24"/>
        </w:rPr>
        <w:t>a</w:t>
      </w:r>
      <w:r w:rsidRPr="00F65550">
        <w:rPr>
          <w:rFonts w:cs="Arial"/>
          <w:szCs w:val="24"/>
        </w:rPr>
        <w:t xml:space="preserve"> dálkového </w:t>
      </w:r>
      <w:r>
        <w:rPr>
          <w:rFonts w:cs="Arial"/>
          <w:szCs w:val="24"/>
        </w:rPr>
        <w:t>tepla</w:t>
      </w:r>
      <w:r w:rsidRPr="00F65550">
        <w:rPr>
          <w:rFonts w:cs="Arial"/>
          <w:szCs w:val="24"/>
        </w:rPr>
        <w:t xml:space="preserve"> v místě obvykl</w:t>
      </w:r>
      <w:r w:rsidR="00E67891">
        <w:rPr>
          <w:rFonts w:cs="Arial"/>
          <w:szCs w:val="24"/>
        </w:rPr>
        <w:t>á</w:t>
      </w:r>
      <w:r w:rsidRPr="00F65550">
        <w:rPr>
          <w:rFonts w:cs="Arial"/>
          <w:szCs w:val="24"/>
        </w:rPr>
        <w:t xml:space="preserve"> </w:t>
      </w:r>
      <w:r w:rsidR="00E67891">
        <w:rPr>
          <w:rFonts w:cs="Arial"/>
          <w:szCs w:val="24"/>
        </w:rPr>
        <w:t>se</w:t>
      </w:r>
      <w:r>
        <w:rPr>
          <w:rFonts w:cs="Arial"/>
          <w:szCs w:val="24"/>
        </w:rPr>
        <w:t xml:space="preserve"> vypočítává jako průměr ceníkových cen dodavatelů dálkového tepla v dané obci</w:t>
      </w:r>
      <w:r w:rsidRPr="00F65550">
        <w:rPr>
          <w:rFonts w:cs="Arial"/>
          <w:szCs w:val="24"/>
        </w:rPr>
        <w:t xml:space="preserve"> </w:t>
      </w:r>
      <w:r>
        <w:rPr>
          <w:rFonts w:cs="Arial"/>
          <w:szCs w:val="24"/>
        </w:rPr>
        <w:t>s ohledem na celkové množství dálkového tepla, které tito dodavatelé vyrobili</w:t>
      </w:r>
      <w:r w:rsidR="00E67891">
        <w:rPr>
          <w:rStyle w:val="Znakapoznpodarou"/>
          <w:rFonts w:cs="Arial"/>
          <w:szCs w:val="24"/>
        </w:rPr>
        <w:footnoteReference w:id="10"/>
      </w:r>
      <w:r w:rsidRPr="00F65550">
        <w:rPr>
          <w:rFonts w:cs="Arial"/>
          <w:szCs w:val="24"/>
        </w:rPr>
        <w:t xml:space="preserve">. </w:t>
      </w:r>
      <w:r>
        <w:rPr>
          <w:rFonts w:cs="Arial"/>
          <w:szCs w:val="24"/>
        </w:rPr>
        <w:t xml:space="preserve">Ceny jsou </w:t>
      </w:r>
      <w:r w:rsidRPr="00F65550">
        <w:rPr>
          <w:rFonts w:cs="Arial"/>
          <w:szCs w:val="24"/>
        </w:rPr>
        <w:t>pravidelně aktualizován</w:t>
      </w:r>
      <w:r>
        <w:rPr>
          <w:rFonts w:cs="Arial"/>
          <w:szCs w:val="24"/>
        </w:rPr>
        <w:t>y</w:t>
      </w:r>
      <w:r w:rsidRPr="00F65550">
        <w:rPr>
          <w:rFonts w:cs="Arial"/>
          <w:szCs w:val="24"/>
        </w:rPr>
        <w:t xml:space="preserve"> (minimálně 1x za rok).</w:t>
      </w:r>
      <w:r w:rsidR="00E67891">
        <w:rPr>
          <w:rFonts w:cs="Arial"/>
          <w:szCs w:val="24"/>
        </w:rPr>
        <w:t xml:space="preserve"> Pokud dojde k situaci, že se ceny změnily v předešlém období, než došlo k jejich aktualizaci, je zapotřebí tyto ceny zpětně přepočítat a v případě jejich navýšení doplatit a v případě jejich snížení se nejedná o přeplatek, protože výše dávky byla </w:t>
      </w:r>
      <w:r w:rsidR="003B7CBD">
        <w:rPr>
          <w:rFonts w:cs="Arial"/>
          <w:szCs w:val="24"/>
        </w:rPr>
        <w:t>stanovena</w:t>
      </w:r>
      <w:r w:rsidR="00025C80">
        <w:rPr>
          <w:rFonts w:cs="Arial"/>
          <w:szCs w:val="24"/>
        </w:rPr>
        <w:t xml:space="preserve"> a </w:t>
      </w:r>
      <w:r w:rsidR="00E67891">
        <w:rPr>
          <w:rFonts w:cs="Arial"/>
          <w:szCs w:val="24"/>
        </w:rPr>
        <w:t xml:space="preserve">vyplacena v dobré víře. </w:t>
      </w:r>
    </w:p>
    <w:p w:rsidR="004226B3" w:rsidRDefault="004226B3" w:rsidP="004226B3">
      <w:pPr>
        <w:rPr>
          <w:lang w:eastAsia="cs-CZ"/>
        </w:rPr>
      </w:pPr>
    </w:p>
    <w:p w:rsidR="004226B3" w:rsidRDefault="004226B3" w:rsidP="004226B3">
      <w:pPr>
        <w:rPr>
          <w:lang w:eastAsia="cs-CZ"/>
        </w:rPr>
      </w:pPr>
      <w:r>
        <w:rPr>
          <w:lang w:eastAsia="cs-CZ"/>
        </w:rPr>
        <w:t>Nezbytná spotřeba energie na vytápění pomocí dálkového tepla se počítá stejně jako energie potřebná pro vytápění elektřinou nebo plynem a ostatními energiemi.</w:t>
      </w:r>
    </w:p>
    <w:p w:rsidR="00CF7E7B" w:rsidRDefault="00CF7E7B" w:rsidP="001F0443">
      <w:pPr>
        <w:rPr>
          <w:lang w:eastAsia="cs-CZ"/>
        </w:rPr>
      </w:pPr>
    </w:p>
    <w:p w:rsidR="00506AE3" w:rsidRDefault="00506AE3" w:rsidP="00506AE3">
      <w:pPr>
        <w:pBdr>
          <w:top w:val="single" w:sz="4" w:space="1" w:color="auto"/>
          <w:left w:val="single" w:sz="4" w:space="4" w:color="auto"/>
          <w:bottom w:val="single" w:sz="4" w:space="1" w:color="auto"/>
          <w:right w:val="single" w:sz="4" w:space="4" w:color="auto"/>
        </w:pBdr>
        <w:jc w:val="center"/>
        <w:rPr>
          <w:lang w:eastAsia="cs-CZ"/>
        </w:rPr>
      </w:pPr>
      <w:r w:rsidRPr="009377EE">
        <w:rPr>
          <w:b/>
          <w:lang w:eastAsia="cs-CZ"/>
        </w:rPr>
        <w:t>Nezbytná spotřeba energie na vytápění</w:t>
      </w:r>
      <w:r w:rsidR="004A5548">
        <w:rPr>
          <w:lang w:eastAsia="cs-CZ"/>
        </w:rPr>
        <w:t xml:space="preserve"> = podlahová plocha * m</w:t>
      </w:r>
      <w:r>
        <w:rPr>
          <w:lang w:eastAsia="cs-CZ"/>
        </w:rPr>
        <w:t>ěrný ukaza</w:t>
      </w:r>
      <w:r w:rsidR="004A5548">
        <w:rPr>
          <w:lang w:eastAsia="cs-CZ"/>
        </w:rPr>
        <w:t>tel spotřeby tepelné energie * z</w:t>
      </w:r>
      <w:r>
        <w:rPr>
          <w:lang w:eastAsia="cs-CZ"/>
        </w:rPr>
        <w:t>výšení za tepelné ztráty</w:t>
      </w:r>
    </w:p>
    <w:p w:rsidR="001F0443" w:rsidRDefault="001F0443" w:rsidP="001F0443">
      <w:pPr>
        <w:rPr>
          <w:lang w:eastAsia="cs-CZ"/>
        </w:rPr>
      </w:pPr>
    </w:p>
    <w:p w:rsidR="004226B3" w:rsidRDefault="004226B3" w:rsidP="004226B3">
      <w:pPr>
        <w:rPr>
          <w:lang w:eastAsia="cs-CZ"/>
        </w:rPr>
      </w:pPr>
      <w:r>
        <w:rPr>
          <w:lang w:eastAsia="cs-CZ"/>
        </w:rPr>
        <w:t>Nezbytná spotřeba energie na vytápění v místě obvyklá se vypočte z podlahové plochy obývaného prostoru, měrného ukazatele spotřeby tepelné energie a koeficientu zvýšení za tepelné ztráty.</w:t>
      </w:r>
    </w:p>
    <w:p w:rsidR="00EE4F0D" w:rsidRDefault="00EE4F0D" w:rsidP="004226B3">
      <w:pPr>
        <w:rPr>
          <w:lang w:eastAsia="cs-CZ"/>
        </w:rPr>
      </w:pPr>
    </w:p>
    <w:p w:rsidR="004226B3" w:rsidRDefault="004226B3" w:rsidP="004226B3">
      <w:r>
        <w:t xml:space="preserve">Způsob stanovení měrného ukazatele spotřeby tepelné energie je určen na základě doporučení </w:t>
      </w:r>
      <w:r w:rsidR="003B7CBD">
        <w:t>Energetického regulačního úřadu</w:t>
      </w:r>
      <w:r w:rsidR="00446532">
        <w:t xml:space="preserve"> (dále jen „ERÚ“)</w:t>
      </w:r>
      <w:r>
        <w:t xml:space="preserve">. Podle adresy obývaného prostoru </w:t>
      </w:r>
      <w:r w:rsidR="003B7CBD">
        <w:t>se</w:t>
      </w:r>
      <w:r>
        <w:t xml:space="preserve"> stanoví teplotní pásmo, podle kterého </w:t>
      </w:r>
      <w:r w:rsidR="003B7CBD">
        <w:t xml:space="preserve">se </w:t>
      </w:r>
      <w:r>
        <w:t>určí měrný ukazatel spotřeby tepelné energie</w:t>
      </w:r>
      <w:r w:rsidR="003B7CBD">
        <w:rPr>
          <w:rStyle w:val="Znakapoznpodarou"/>
        </w:rPr>
        <w:footnoteReference w:id="11"/>
      </w:r>
      <w:r>
        <w:t xml:space="preserve">. </w:t>
      </w:r>
    </w:p>
    <w:p w:rsidR="00EE4F0D" w:rsidRDefault="00EE4F0D" w:rsidP="004226B3"/>
    <w:p w:rsidR="004226B3" w:rsidRDefault="004226B3" w:rsidP="004226B3">
      <w:pPr>
        <w:rPr>
          <w:rFonts w:cs="Arial"/>
          <w:szCs w:val="24"/>
        </w:rPr>
      </w:pPr>
      <w:r>
        <w:rPr>
          <w:lang w:eastAsia="cs-CZ"/>
        </w:rPr>
        <w:t xml:space="preserve">Měrný ukazatel spotřeby tepelné energie na vytápění je </w:t>
      </w:r>
      <w:r w:rsidRPr="004D21AD">
        <w:rPr>
          <w:rFonts w:cs="Arial"/>
          <w:szCs w:val="24"/>
        </w:rPr>
        <w:t>udáván v GJ/m</w:t>
      </w:r>
      <w:r w:rsidRPr="004D21AD">
        <w:rPr>
          <w:rFonts w:cs="Arial"/>
          <w:szCs w:val="24"/>
          <w:vertAlign w:val="superscript"/>
        </w:rPr>
        <w:t xml:space="preserve">2 </w:t>
      </w:r>
      <w:r w:rsidRPr="004D21AD">
        <w:rPr>
          <w:rFonts w:cs="Arial"/>
          <w:szCs w:val="24"/>
        </w:rPr>
        <w:t xml:space="preserve">za rok </w:t>
      </w:r>
      <w:r w:rsidR="008A2DB9">
        <w:rPr>
          <w:rFonts w:cs="Arial"/>
          <w:szCs w:val="24"/>
        </w:rPr>
        <w:br/>
      </w:r>
      <w:r w:rsidRPr="004D21AD">
        <w:rPr>
          <w:rFonts w:cs="Arial"/>
          <w:szCs w:val="24"/>
        </w:rPr>
        <w:t>na 2,7 m výšku místnosti, jakožto průměrnou výšku místnosti.</w:t>
      </w:r>
    </w:p>
    <w:p w:rsidR="00E664E6" w:rsidRDefault="00E664E6" w:rsidP="004226B3"/>
    <w:p w:rsidR="004226B3" w:rsidRDefault="004226B3" w:rsidP="004226B3">
      <w:pPr>
        <w:rPr>
          <w:lang w:eastAsia="cs-CZ"/>
        </w:rPr>
      </w:pPr>
      <w:r>
        <w:rPr>
          <w:lang w:eastAsia="cs-CZ"/>
        </w:rPr>
        <w:lastRenderedPageBreak/>
        <w:t>Podlahovou plochou obývaného prostoru je myšlena podl</w:t>
      </w:r>
      <w:r w:rsidR="009D7EB8">
        <w:rPr>
          <w:lang w:eastAsia="cs-CZ"/>
        </w:rPr>
        <w:t>ahová plocha obývaného prostoru</w:t>
      </w:r>
      <w:r>
        <w:rPr>
          <w:lang w:eastAsia="cs-CZ"/>
        </w:rPr>
        <w:t>. Informace se zjišťuje z formuláře „Informa</w:t>
      </w:r>
      <w:r w:rsidR="00C06651">
        <w:rPr>
          <w:lang w:eastAsia="cs-CZ"/>
        </w:rPr>
        <w:t>ce o užívaném bytu (</w:t>
      </w:r>
      <w:r>
        <w:rPr>
          <w:lang w:eastAsia="cs-CZ"/>
        </w:rPr>
        <w:t>obývaném prostoru</w:t>
      </w:r>
      <w:r w:rsidR="00C06651">
        <w:rPr>
          <w:lang w:eastAsia="cs-CZ"/>
        </w:rPr>
        <w:t>)</w:t>
      </w:r>
      <w:r>
        <w:rPr>
          <w:lang w:eastAsia="cs-CZ"/>
        </w:rPr>
        <w:t>“.</w:t>
      </w:r>
    </w:p>
    <w:p w:rsidR="004226B3" w:rsidRDefault="004226B3" w:rsidP="004226B3"/>
    <w:p w:rsidR="004226B3" w:rsidRDefault="004226B3" w:rsidP="004226B3">
      <w:r>
        <w:t>Jelikož výpočet n</w:t>
      </w:r>
      <w:r>
        <w:rPr>
          <w:lang w:eastAsia="cs-CZ"/>
        </w:rPr>
        <w:t xml:space="preserve">ezbytné spotřeby energie </w:t>
      </w:r>
      <w:r>
        <w:t xml:space="preserve">nezahrnuje izolační vlastnosti obývaného prostoru, jsou tepelné ztráty paušálně kompenzovány navýšením vypočtené energie </w:t>
      </w:r>
      <w:r w:rsidR="00EE4F0D">
        <w:br/>
      </w:r>
      <w:r>
        <w:t>o 20%.</w:t>
      </w:r>
    </w:p>
    <w:p w:rsidR="004226B3" w:rsidRDefault="004226B3" w:rsidP="004226B3"/>
    <w:p w:rsidR="00047B07" w:rsidRDefault="004226B3" w:rsidP="00047B07">
      <w:r>
        <w:rPr>
          <w:lang w:eastAsia="cs-CZ"/>
        </w:rPr>
        <w:t xml:space="preserve">Nezbytná spotřeba energie na vytápění dálkovým teplem se </w:t>
      </w:r>
      <w:r>
        <w:t>započte v poměrné výši, v jaké je dálkové teplo na vytápění používáno (procento použi</w:t>
      </w:r>
      <w:r w:rsidR="00C06651">
        <w:t xml:space="preserve">tí dálkového tepla k vytápění) - </w:t>
      </w:r>
      <w:r>
        <w:t>zjišťuje se z formuláře „Informace o uží</w:t>
      </w:r>
      <w:r w:rsidR="00C06651">
        <w:t>vaném bytu (obývaném prostoru)“</w:t>
      </w:r>
      <w:r>
        <w:t>.</w:t>
      </w:r>
    </w:p>
    <w:p w:rsidR="002D7F26" w:rsidRDefault="002D7F26" w:rsidP="00047B07"/>
    <w:p w:rsidR="00047B07" w:rsidRPr="00047B07" w:rsidRDefault="00047B07" w:rsidP="00047B07">
      <w:pPr>
        <w:pBdr>
          <w:top w:val="single" w:sz="4" w:space="1" w:color="auto"/>
          <w:left w:val="single" w:sz="4" w:space="4" w:color="auto"/>
          <w:bottom w:val="single" w:sz="4" w:space="1" w:color="auto"/>
          <w:right w:val="single" w:sz="4" w:space="4" w:color="auto"/>
        </w:pBdr>
        <w:jc w:val="center"/>
        <w:rPr>
          <w:b/>
        </w:rPr>
      </w:pPr>
      <w:r w:rsidRPr="00047B07">
        <w:rPr>
          <w:b/>
        </w:rPr>
        <w:t>V odůvodnění oznámení/rozhodnutí se uvádí následující vzorec:</w:t>
      </w:r>
    </w:p>
    <w:p w:rsidR="00047B07" w:rsidRPr="00047B07" w:rsidRDefault="00047B07" w:rsidP="00047B07">
      <w:pPr>
        <w:pBdr>
          <w:top w:val="single" w:sz="4" w:space="1" w:color="auto"/>
          <w:left w:val="single" w:sz="4" w:space="4" w:color="auto"/>
          <w:bottom w:val="single" w:sz="4" w:space="1" w:color="auto"/>
          <w:right w:val="single" w:sz="4" w:space="4" w:color="auto"/>
        </w:pBdr>
        <w:jc w:val="center"/>
        <w:rPr>
          <w:rFonts w:cs="Arial"/>
          <w:szCs w:val="24"/>
        </w:rPr>
      </w:pPr>
      <w:r w:rsidRPr="00047B07">
        <w:rPr>
          <w:rFonts w:ascii="TimesNewRomanPSMT" w:hAnsi="TimesNewRomanPSMT" w:cs="TimesNewRomanPSMT"/>
          <w:sz w:val="19"/>
          <w:szCs w:val="19"/>
        </w:rPr>
        <w:t>(</w:t>
      </w:r>
      <w:r w:rsidRPr="00047B07">
        <w:rPr>
          <w:rFonts w:cs="Arial"/>
          <w:szCs w:val="24"/>
        </w:rPr>
        <w:t xml:space="preserve">měrný ukazatel spotřeby tepelné energie na vytápění dle lokality </w:t>
      </w:r>
      <w:r w:rsidR="00631817" w:rsidRPr="005C2EE7">
        <w:rPr>
          <w:rFonts w:eastAsia="Times New Roman" w:cs="Arial"/>
          <w:szCs w:val="24"/>
          <w:lang w:eastAsia="cs-CZ"/>
        </w:rPr>
        <w:t>*</w:t>
      </w:r>
      <w:r w:rsidRPr="00047B07">
        <w:rPr>
          <w:rFonts w:cs="Arial"/>
          <w:szCs w:val="24"/>
        </w:rPr>
        <w:t xml:space="preserve"> podlahová plocha bytu </w:t>
      </w:r>
      <w:r w:rsidR="00631817" w:rsidRPr="005C2EE7">
        <w:rPr>
          <w:rFonts w:eastAsia="Times New Roman" w:cs="Arial"/>
          <w:szCs w:val="24"/>
          <w:lang w:eastAsia="cs-CZ"/>
        </w:rPr>
        <w:t>*</w:t>
      </w:r>
      <w:r w:rsidRPr="00047B07">
        <w:rPr>
          <w:rFonts w:cs="Arial"/>
          <w:szCs w:val="24"/>
        </w:rPr>
        <w:t xml:space="preserve"> koeficient navýšení z důvodu tepelných ztrát) </w:t>
      </w:r>
      <w:r w:rsidR="00631817" w:rsidRPr="005C2EE7">
        <w:rPr>
          <w:rFonts w:eastAsia="Times New Roman" w:cs="Arial"/>
          <w:szCs w:val="24"/>
          <w:lang w:eastAsia="cs-CZ"/>
        </w:rPr>
        <w:t>*</w:t>
      </w:r>
      <w:r w:rsidRPr="00047B07">
        <w:rPr>
          <w:rFonts w:cs="Arial"/>
          <w:szCs w:val="24"/>
        </w:rPr>
        <w:t xml:space="preserve"> (průměrná cena dálkového tepla za rok/12) </w:t>
      </w:r>
      <w:r w:rsidR="00631817" w:rsidRPr="005C2EE7">
        <w:rPr>
          <w:rFonts w:eastAsia="Times New Roman" w:cs="Arial"/>
          <w:szCs w:val="24"/>
          <w:lang w:eastAsia="cs-CZ"/>
        </w:rPr>
        <w:t>*</w:t>
      </w:r>
      <w:r w:rsidRPr="00047B07">
        <w:rPr>
          <w:rFonts w:cs="Arial"/>
          <w:szCs w:val="24"/>
        </w:rPr>
        <w:t xml:space="preserve"> (procento použití vytápění dálkovým teplem/100)</w:t>
      </w:r>
    </w:p>
    <w:p w:rsidR="007637A8" w:rsidRDefault="007637A8" w:rsidP="001F0443"/>
    <w:p w:rsidR="007637A8" w:rsidRPr="007637A8" w:rsidRDefault="007637A8" w:rsidP="007637A8">
      <w:pPr>
        <w:pBdr>
          <w:top w:val="single" w:sz="4" w:space="1" w:color="auto"/>
          <w:left w:val="single" w:sz="4" w:space="4" w:color="auto"/>
          <w:bottom w:val="single" w:sz="4" w:space="1" w:color="auto"/>
          <w:right w:val="single" w:sz="4" w:space="4" w:color="auto"/>
        </w:pBdr>
        <w:shd w:val="clear" w:color="auto" w:fill="BDD6EE" w:themeFill="accent1" w:themeFillTint="66"/>
        <w:rPr>
          <w:b/>
          <w:i/>
        </w:rPr>
      </w:pPr>
      <w:r w:rsidRPr="007637A8">
        <w:rPr>
          <w:b/>
          <w:i/>
        </w:rPr>
        <w:t>Příklad:</w:t>
      </w:r>
    </w:p>
    <w:p w:rsidR="007637A8" w:rsidRDefault="007637A8" w:rsidP="007637A8">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7637A8">
        <w:rPr>
          <w:i/>
          <w:lang w:eastAsia="cs-CZ"/>
        </w:rPr>
        <w:t>Dvě společně posuzované osoby žijící v nájemní formě bydlení. Žadatelem o dávku jsou sděleny informace, že záloha na vytápění DT činí 3 098 Kč měsíčně, podlahová plocha bytu je 49m</w:t>
      </w:r>
      <w:r w:rsidRPr="007637A8">
        <w:rPr>
          <w:i/>
          <w:vertAlign w:val="superscript"/>
          <w:lang w:eastAsia="cs-CZ"/>
        </w:rPr>
        <w:t>2</w:t>
      </w:r>
      <w:r w:rsidRPr="007637A8">
        <w:rPr>
          <w:i/>
          <w:lang w:eastAsia="cs-CZ"/>
        </w:rPr>
        <w:t xml:space="preserve">, vytápěno je ze 100 % DT. </w:t>
      </w:r>
      <w:r w:rsidR="00BB787C">
        <w:rPr>
          <w:i/>
          <w:lang w:eastAsia="cs-CZ"/>
        </w:rPr>
        <w:t xml:space="preserve">Jsou známy informace (součástí </w:t>
      </w:r>
      <w:r w:rsidRPr="007637A8">
        <w:rPr>
          <w:i/>
          <w:lang w:eastAsia="cs-CZ"/>
        </w:rPr>
        <w:t>apli</w:t>
      </w:r>
      <w:r w:rsidR="00BB787C">
        <w:rPr>
          <w:i/>
          <w:lang w:eastAsia="cs-CZ"/>
        </w:rPr>
        <w:t>kačního</w:t>
      </w:r>
      <w:r w:rsidR="004226B3">
        <w:rPr>
          <w:i/>
          <w:lang w:eastAsia="cs-CZ"/>
        </w:rPr>
        <w:t xml:space="preserve"> programu</w:t>
      </w:r>
      <w:r w:rsidR="00BB787C">
        <w:rPr>
          <w:i/>
          <w:lang w:eastAsia="cs-CZ"/>
        </w:rPr>
        <w:t>)</w:t>
      </w:r>
      <w:r w:rsidRPr="007637A8">
        <w:rPr>
          <w:i/>
          <w:lang w:eastAsia="cs-CZ"/>
        </w:rPr>
        <w:t xml:space="preserve">, že průměrná cena za DT v dané konkrétní obci činí 560 Kč/GJ/rok, měrný ukazatel spotřeby tepelné energie na vytápění dle lokality </w:t>
      </w:r>
      <w:r w:rsidR="00BB787C">
        <w:rPr>
          <w:i/>
          <w:lang w:eastAsia="cs-CZ"/>
        </w:rPr>
        <w:br/>
      </w:r>
      <w:r w:rsidRPr="007637A8">
        <w:rPr>
          <w:i/>
          <w:lang w:eastAsia="cs-CZ"/>
        </w:rPr>
        <w:t>je 0,55, koeficient ztrát je konstanta 1,2.</w:t>
      </w:r>
    </w:p>
    <w:p w:rsidR="00E27FB0" w:rsidRPr="007637A8" w:rsidRDefault="00E27FB0" w:rsidP="007637A8">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p>
    <w:p w:rsidR="007637A8" w:rsidRPr="007637A8" w:rsidRDefault="007637A8" w:rsidP="007637A8">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eastAsia="Times New Roman" w:cs="Arial"/>
          <w:i/>
          <w:szCs w:val="24"/>
          <w:lang w:eastAsia="cs-CZ"/>
        </w:rPr>
      </w:pPr>
      <w:r w:rsidRPr="007637A8">
        <w:rPr>
          <w:rFonts w:eastAsia="Times New Roman" w:cs="Arial"/>
          <w:i/>
          <w:szCs w:val="24"/>
          <w:lang w:eastAsia="cs-CZ"/>
        </w:rPr>
        <w:t>Náklady na vytápění DT v místě obvyklé =</w:t>
      </w:r>
      <w:r w:rsidR="00E27FB0">
        <w:rPr>
          <w:rFonts w:eastAsia="Times New Roman" w:cs="Arial"/>
          <w:i/>
          <w:szCs w:val="24"/>
          <w:lang w:eastAsia="cs-CZ"/>
        </w:rPr>
        <w:t xml:space="preserve"> </w:t>
      </w:r>
      <w:r w:rsidRPr="007637A8">
        <w:rPr>
          <w:rFonts w:eastAsia="Times New Roman" w:cs="Arial"/>
          <w:i/>
          <w:szCs w:val="24"/>
          <w:lang w:eastAsia="cs-CZ"/>
        </w:rPr>
        <w:t xml:space="preserve">měrný ukazatel spotřeby tepelné energie na vytápění podle lokality * podlahová plocha bytu * koeficient ztrát * průměrná cena DT za rok / 12 * procento použití vytápění DT / 100 = 0.55 * 49 * 1.2 * (560/12) * (100/100) = </w:t>
      </w:r>
      <w:r w:rsidRPr="007637A8">
        <w:rPr>
          <w:rFonts w:eastAsia="Times New Roman" w:cs="Arial"/>
          <w:bCs/>
          <w:i/>
          <w:szCs w:val="24"/>
          <w:lang w:eastAsia="cs-CZ"/>
        </w:rPr>
        <w:t>1 509,20 Kč</w:t>
      </w:r>
      <w:r w:rsidRPr="007637A8">
        <w:rPr>
          <w:rFonts w:eastAsia="Times New Roman" w:cs="Arial"/>
          <w:i/>
          <w:szCs w:val="24"/>
          <w:lang w:eastAsia="cs-CZ"/>
        </w:rPr>
        <w:br/>
      </w:r>
    </w:p>
    <w:p w:rsidR="007637A8" w:rsidRPr="007637A8" w:rsidRDefault="007637A8" w:rsidP="007637A8">
      <w:pPr>
        <w:pBdr>
          <w:top w:val="single" w:sz="4" w:space="1" w:color="auto"/>
          <w:left w:val="single" w:sz="4" w:space="4" w:color="auto"/>
          <w:bottom w:val="single" w:sz="4" w:space="1" w:color="auto"/>
          <w:right w:val="single" w:sz="4" w:space="4" w:color="auto"/>
        </w:pBdr>
        <w:shd w:val="clear" w:color="auto" w:fill="BDD6EE" w:themeFill="accent1" w:themeFillTint="66"/>
        <w:rPr>
          <w:b/>
          <w:i/>
          <w:lang w:eastAsia="cs-CZ"/>
        </w:rPr>
      </w:pPr>
      <w:r w:rsidRPr="007637A8">
        <w:rPr>
          <w:b/>
          <w:i/>
          <w:lang w:eastAsia="cs-CZ"/>
        </w:rPr>
        <w:t xml:space="preserve">Stanovená záloha na vytápění DT činí 3 098 Kč měsíčně, náklady v místě obvyklé pro vytápění DT činí 1 509,20 Kč měsíčně. </w:t>
      </w:r>
    </w:p>
    <w:p w:rsidR="007637A8" w:rsidRDefault="007637A8" w:rsidP="001F0443"/>
    <w:p w:rsidR="00E94765" w:rsidRDefault="00E94765" w:rsidP="001F0443">
      <w:pPr>
        <w:rPr>
          <w:lang w:eastAsia="cs-CZ"/>
        </w:rPr>
      </w:pPr>
      <w:r w:rsidRPr="00F65550">
        <w:rPr>
          <w:lang w:eastAsia="cs-CZ"/>
        </w:rPr>
        <w:t xml:space="preserve">Za vytápění DT </w:t>
      </w:r>
      <w:r w:rsidRPr="00082A25">
        <w:rPr>
          <w:b/>
          <w:lang w:eastAsia="cs-CZ"/>
        </w:rPr>
        <w:t>nejsou</w:t>
      </w:r>
      <w:r w:rsidRPr="00F65550">
        <w:rPr>
          <w:lang w:eastAsia="cs-CZ"/>
        </w:rPr>
        <w:t xml:space="preserve"> považovány </w:t>
      </w:r>
      <w:r w:rsidR="005B1E69">
        <w:rPr>
          <w:lang w:eastAsia="cs-CZ"/>
        </w:rPr>
        <w:t>případy</w:t>
      </w:r>
      <w:r w:rsidRPr="00F65550">
        <w:rPr>
          <w:lang w:eastAsia="cs-CZ"/>
        </w:rPr>
        <w:t>, kdy v rámci bytového domu dochází k</w:t>
      </w:r>
      <w:r w:rsidR="005B1E69">
        <w:rPr>
          <w:lang w:eastAsia="cs-CZ"/>
        </w:rPr>
        <w:t> </w:t>
      </w:r>
      <w:r w:rsidRPr="00F65550">
        <w:rPr>
          <w:lang w:eastAsia="cs-CZ"/>
        </w:rPr>
        <w:t>vytápění</w:t>
      </w:r>
      <w:r w:rsidR="005B1E69">
        <w:rPr>
          <w:lang w:eastAsia="cs-CZ"/>
        </w:rPr>
        <w:t xml:space="preserve"> vlastními tepelnými zdroji (např.</w:t>
      </w:r>
      <w:r w:rsidRPr="00F65550">
        <w:rPr>
          <w:lang w:eastAsia="cs-CZ"/>
        </w:rPr>
        <w:t xml:space="preserve"> </w:t>
      </w:r>
      <w:r>
        <w:rPr>
          <w:lang w:eastAsia="cs-CZ"/>
        </w:rPr>
        <w:t>vlastními</w:t>
      </w:r>
      <w:r w:rsidR="005B1E69">
        <w:rPr>
          <w:lang w:eastAsia="cs-CZ"/>
        </w:rPr>
        <w:t xml:space="preserve"> plynovými kotli)</w:t>
      </w:r>
      <w:r w:rsidRPr="00F65550">
        <w:rPr>
          <w:lang w:eastAsia="cs-CZ"/>
        </w:rPr>
        <w:t>.</w:t>
      </w:r>
    </w:p>
    <w:p w:rsidR="004A5513" w:rsidRDefault="004A5513" w:rsidP="001F0443">
      <w:pPr>
        <w:rPr>
          <w:lang w:eastAsia="cs-CZ"/>
        </w:rPr>
      </w:pPr>
    </w:p>
    <w:p w:rsidR="001F0443" w:rsidRDefault="001F0443" w:rsidP="005D327C">
      <w:pPr>
        <w:pStyle w:val="Nadpis4"/>
      </w:pPr>
      <w:bookmarkStart w:id="8" w:name="_Toc531857529"/>
      <w:bookmarkStart w:id="9" w:name="_Toc25833340"/>
      <w:r w:rsidRPr="00706E36">
        <w:t>2</w:t>
      </w:r>
      <w:r>
        <w:t>.</w:t>
      </w:r>
      <w:r w:rsidRPr="00706E36">
        <w:t xml:space="preserve"> Náklady na vodné a stočné</w:t>
      </w:r>
      <w:bookmarkEnd w:id="8"/>
      <w:bookmarkEnd w:id="9"/>
    </w:p>
    <w:p w:rsidR="00D12BCA" w:rsidRDefault="00D12BCA" w:rsidP="00D12BCA">
      <w:pPr>
        <w:rPr>
          <w:rFonts w:cs="Arial"/>
          <w:szCs w:val="24"/>
        </w:rPr>
      </w:pPr>
      <w:r w:rsidRPr="0042653D">
        <w:rPr>
          <w:rFonts w:cs="Arial"/>
          <w:szCs w:val="24"/>
        </w:rPr>
        <w:t>Jedná se o položku služeb, v rámci které je domácnosti zálohově účtována dodávka studené a teplé vody a odvádění odpadních vod.</w:t>
      </w:r>
    </w:p>
    <w:p w:rsidR="00506AE3" w:rsidRDefault="00506AE3" w:rsidP="001F0443"/>
    <w:p w:rsidR="00506AE3" w:rsidRDefault="00506AE3" w:rsidP="00506AE3">
      <w:pPr>
        <w:pBdr>
          <w:top w:val="single" w:sz="4" w:space="1" w:color="auto"/>
          <w:left w:val="single" w:sz="4" w:space="4" w:color="auto"/>
          <w:bottom w:val="single" w:sz="4" w:space="1" w:color="auto"/>
          <w:right w:val="single" w:sz="4" w:space="4" w:color="auto"/>
        </w:pBdr>
        <w:jc w:val="center"/>
      </w:pPr>
      <w:r w:rsidRPr="009E5AAB">
        <w:rPr>
          <w:b/>
        </w:rPr>
        <w:lastRenderedPageBreak/>
        <w:t>Náklady na vodné a stočné v místě obvyklé</w:t>
      </w:r>
      <w:r>
        <w:t xml:space="preserve"> = </w:t>
      </w:r>
      <w:r w:rsidR="004A5548">
        <w:t>p</w:t>
      </w:r>
      <w:r>
        <w:t xml:space="preserve">růměrná roční spotřeba vody * </w:t>
      </w:r>
      <w:r w:rsidR="004A5548">
        <w:t>p</w:t>
      </w:r>
      <w:r>
        <w:t>očet společně posuzovaných osob</w:t>
      </w:r>
      <w:r w:rsidR="004A5548">
        <w:t>/12</w:t>
      </w:r>
      <w:r>
        <w:t xml:space="preserve"> * </w:t>
      </w:r>
      <w:r w:rsidR="004A5548">
        <w:t>(cena za vodné + cena za stočné v místě obvyklá</w:t>
      </w:r>
      <w:r w:rsidR="009D3155">
        <w:t>)</w:t>
      </w:r>
    </w:p>
    <w:p w:rsidR="007C212F" w:rsidRDefault="007C212F" w:rsidP="001F0443"/>
    <w:p w:rsidR="004226B3" w:rsidRDefault="004226B3" w:rsidP="004226B3">
      <w:r>
        <w:t>Náklady na vodné a stočné v místě obvyklé se počítají jako součin údajů:</w:t>
      </w:r>
    </w:p>
    <w:p w:rsidR="004226B3" w:rsidRDefault="004226B3" w:rsidP="00E7491B">
      <w:pPr>
        <w:pStyle w:val="Odstavecseseznamem"/>
        <w:numPr>
          <w:ilvl w:val="0"/>
          <w:numId w:val="5"/>
        </w:numPr>
      </w:pPr>
      <w:r>
        <w:t>průměrná roční spotřeba vody na 1 osobu (konstanta)</w:t>
      </w:r>
      <w:r>
        <w:rPr>
          <w:rStyle w:val="Znakapoznpodarou"/>
        </w:rPr>
        <w:footnoteReference w:id="12"/>
      </w:r>
      <w:r>
        <w:t xml:space="preserve"> – 35 m</w:t>
      </w:r>
      <w:r w:rsidRPr="00622E64">
        <w:rPr>
          <w:vertAlign w:val="superscript"/>
        </w:rPr>
        <w:t>3</w:t>
      </w:r>
      <w:r>
        <w:rPr>
          <w:vertAlign w:val="superscript"/>
        </w:rPr>
        <w:t xml:space="preserve"> </w:t>
      </w:r>
      <w:r>
        <w:t xml:space="preserve">(ve vzorci </w:t>
      </w:r>
      <w:r w:rsidR="00D13662">
        <w:br/>
      </w:r>
      <w:r>
        <w:t xml:space="preserve">je přepočtena na 1 kalendářní měsíc); </w:t>
      </w:r>
    </w:p>
    <w:p w:rsidR="004226B3" w:rsidRDefault="004226B3" w:rsidP="00E7491B">
      <w:pPr>
        <w:pStyle w:val="Odstavecseseznamem"/>
        <w:numPr>
          <w:ilvl w:val="0"/>
          <w:numId w:val="5"/>
        </w:numPr>
      </w:pPr>
      <w:r>
        <w:t>počet společně posuzovaných osob v daném měsíci;</w:t>
      </w:r>
    </w:p>
    <w:p w:rsidR="004226B3" w:rsidRDefault="004226B3" w:rsidP="00E7491B">
      <w:pPr>
        <w:pStyle w:val="Odstavecseseznamem"/>
        <w:numPr>
          <w:ilvl w:val="0"/>
          <w:numId w:val="5"/>
        </w:numPr>
      </w:pPr>
      <w:r>
        <w:t xml:space="preserve">ceníková cena za vodné a stočné v místě obvyklá, která je pro danou obec, </w:t>
      </w:r>
      <w:r w:rsidR="00EE4F0D">
        <w:br/>
      </w:r>
      <w:r>
        <w:t xml:space="preserve">ve které se nachází obývaný prostor, stanovena podle číselníku vodného </w:t>
      </w:r>
      <w:r w:rsidR="00A43684">
        <w:br/>
      </w:r>
      <w:r>
        <w:t>a stočného</w:t>
      </w:r>
      <w:r w:rsidR="00D13662">
        <w:rPr>
          <w:rStyle w:val="Znakapoznpodarou"/>
        </w:rPr>
        <w:footnoteReference w:id="13"/>
      </w:r>
      <w:r>
        <w:t xml:space="preserve">. Jestliže v dané obci je více dodavatelů vody, </w:t>
      </w:r>
      <w:r w:rsidR="009929B0">
        <w:t>jako cena</w:t>
      </w:r>
      <w:r>
        <w:t xml:space="preserve"> vodného a stočného </w:t>
      </w:r>
      <w:r w:rsidR="009929B0">
        <w:t>se použije nejvyšší částka</w:t>
      </w:r>
      <w:r w:rsidR="009929B0">
        <w:rPr>
          <w:rStyle w:val="Znakapoznpodarou"/>
        </w:rPr>
        <w:footnoteReference w:id="14"/>
      </w:r>
      <w:r>
        <w:t xml:space="preserve"> (průměr není možné vypočítat, protože nejsou známy informace o celkovém množství dodané vody jednotlivými dodavateli). Cena vodného nebo stočného se započte pouze tehdy, jestliže </w:t>
      </w:r>
      <w:r w:rsidR="0094061E">
        <w:br/>
      </w:r>
      <w:r>
        <w:t xml:space="preserve">je </w:t>
      </w:r>
      <w:r w:rsidR="00AC3233">
        <w:t xml:space="preserve">dáno, že </w:t>
      </w:r>
      <w:r>
        <w:t xml:space="preserve">vodné nebo stočné </w:t>
      </w:r>
      <w:r w:rsidR="00AC3233">
        <w:t xml:space="preserve">je </w:t>
      </w:r>
      <w:r>
        <w:t>hrazeno zálohově a je používán veřejný vodovod a kanalizace.</w:t>
      </w:r>
    </w:p>
    <w:p w:rsidR="004226B3" w:rsidRDefault="004226B3" w:rsidP="004226B3"/>
    <w:p w:rsidR="004226B3" w:rsidRPr="00F65550" w:rsidRDefault="004226B3" w:rsidP="004226B3">
      <w:pPr>
        <w:rPr>
          <w:rFonts w:cs="Arial"/>
          <w:szCs w:val="24"/>
        </w:rPr>
      </w:pPr>
      <w:r>
        <w:rPr>
          <w:rFonts w:cs="Arial"/>
          <w:szCs w:val="24"/>
        </w:rPr>
        <w:t xml:space="preserve">Ceny vodného a stočného </w:t>
      </w:r>
      <w:r w:rsidRPr="00F65550">
        <w:rPr>
          <w:rFonts w:cs="Arial"/>
          <w:szCs w:val="24"/>
        </w:rPr>
        <w:t>ověřuje orgán pomoci v hmotné nouzi</w:t>
      </w:r>
      <w:r>
        <w:rPr>
          <w:rFonts w:cs="Arial"/>
          <w:szCs w:val="24"/>
        </w:rPr>
        <w:t>. Zjištěné částky musí být</w:t>
      </w:r>
      <w:r w:rsidRPr="00F65550">
        <w:rPr>
          <w:rFonts w:cs="Arial"/>
          <w:szCs w:val="24"/>
        </w:rPr>
        <w:t xml:space="preserve"> pravidelně aktualizován</w:t>
      </w:r>
      <w:r>
        <w:rPr>
          <w:rFonts w:cs="Arial"/>
          <w:szCs w:val="24"/>
        </w:rPr>
        <w:t>y</w:t>
      </w:r>
      <w:r w:rsidRPr="00F65550">
        <w:rPr>
          <w:rFonts w:cs="Arial"/>
          <w:szCs w:val="24"/>
        </w:rPr>
        <w:t xml:space="preserve"> (minimálně 1x za rok). </w:t>
      </w:r>
      <w:r w:rsidR="00BA3A6B">
        <w:rPr>
          <w:rFonts w:cs="Arial"/>
          <w:szCs w:val="24"/>
        </w:rPr>
        <w:t xml:space="preserve">Pokud dojde k situaci, že se ceny změnily v předešlém období, než došlo k jejich aktualizaci, je zapotřebí tyto ceny zpětně přepočítat a v případě jejich navýšení doplatit a v případě jejich snížení </w:t>
      </w:r>
      <w:r w:rsidR="00BA3A6B">
        <w:rPr>
          <w:rFonts w:cs="Arial"/>
          <w:szCs w:val="24"/>
        </w:rPr>
        <w:br/>
        <w:t xml:space="preserve">se nejedná o přeplatek, protože výše dávky byla stanovena a vyplacena v dobré víře. </w:t>
      </w:r>
      <w:r w:rsidR="00E31773">
        <w:rPr>
          <w:lang w:eastAsia="cs-CZ"/>
        </w:rPr>
        <w:t xml:space="preserve"> </w:t>
      </w:r>
    </w:p>
    <w:p w:rsidR="005C2EE7" w:rsidRDefault="005C2EE7" w:rsidP="005C2EE7">
      <w:pPr>
        <w:rPr>
          <w:rFonts w:cs="Arial"/>
          <w:szCs w:val="24"/>
        </w:rPr>
      </w:pPr>
    </w:p>
    <w:p w:rsidR="005C2EE7" w:rsidRPr="005C2EE7" w:rsidRDefault="005C2EE7" w:rsidP="003F5C50">
      <w:pPr>
        <w:pBdr>
          <w:top w:val="single" w:sz="4" w:space="1" w:color="auto"/>
          <w:left w:val="single" w:sz="4" w:space="4" w:color="auto"/>
          <w:bottom w:val="single" w:sz="4" w:space="1" w:color="auto"/>
          <w:right w:val="single" w:sz="4" w:space="4" w:color="auto"/>
        </w:pBdr>
        <w:jc w:val="center"/>
        <w:rPr>
          <w:b/>
        </w:rPr>
      </w:pPr>
      <w:r w:rsidRPr="005C2EE7">
        <w:rPr>
          <w:b/>
        </w:rPr>
        <w:t>V odůvodnění oznámení/rozhodnutí se uvádí následující vzorec:</w:t>
      </w:r>
    </w:p>
    <w:p w:rsidR="003F5C50" w:rsidRDefault="005C2EE7" w:rsidP="003F5C50">
      <w:pPr>
        <w:pBdr>
          <w:top w:val="single" w:sz="4" w:space="1" w:color="auto"/>
          <w:left w:val="single" w:sz="4" w:space="4" w:color="auto"/>
          <w:bottom w:val="single" w:sz="4" w:space="1" w:color="auto"/>
          <w:right w:val="single" w:sz="4" w:space="4" w:color="auto"/>
        </w:pBdr>
        <w:jc w:val="center"/>
        <w:rPr>
          <w:rFonts w:eastAsia="Times New Roman" w:cs="Arial"/>
          <w:szCs w:val="24"/>
          <w:lang w:eastAsia="cs-CZ"/>
        </w:rPr>
      </w:pPr>
      <w:r w:rsidRPr="005C2EE7">
        <w:rPr>
          <w:rFonts w:eastAsia="Times New Roman" w:cs="Arial"/>
          <w:szCs w:val="24"/>
          <w:lang w:eastAsia="cs-CZ"/>
        </w:rPr>
        <w:t>počet všech osob * průměrná roční spotřeba / 12 * cena za vodné a stočné</w:t>
      </w:r>
    </w:p>
    <w:p w:rsidR="003F5C50" w:rsidRPr="003F5C50" w:rsidRDefault="003F5C50" w:rsidP="003F5C50">
      <w:pPr>
        <w:jc w:val="center"/>
        <w:rPr>
          <w:rFonts w:eastAsia="Times New Roman" w:cs="Arial"/>
          <w:szCs w:val="24"/>
          <w:lang w:eastAsia="cs-CZ"/>
        </w:rPr>
      </w:pPr>
    </w:p>
    <w:p w:rsidR="005138FA" w:rsidRP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b/>
          <w:i/>
          <w:szCs w:val="24"/>
        </w:rPr>
      </w:pPr>
      <w:r w:rsidRPr="005138FA">
        <w:rPr>
          <w:rFonts w:cs="Arial"/>
          <w:b/>
          <w:i/>
          <w:szCs w:val="24"/>
        </w:rPr>
        <w:t xml:space="preserve">Příklad: </w:t>
      </w:r>
    </w:p>
    <w:p w:rsidR="00CF271C"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5138FA">
        <w:rPr>
          <w:i/>
          <w:lang w:eastAsia="cs-CZ"/>
        </w:rPr>
        <w:t xml:space="preserve">Čtyři společně posuzované osoby žijící v nájemní formě bydlení. Žadatelem o dávku jsou sděleny informace, že záloha za vodné a stočné činí 1 000 Kč měsíčně. </w:t>
      </w:r>
    </w:p>
    <w:p w:rsidR="005138FA" w:rsidRPr="005138FA" w:rsidRDefault="00CF271C" w:rsidP="005138FA">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Pr>
          <w:i/>
          <w:lang w:eastAsia="cs-CZ"/>
        </w:rPr>
        <w:t>Je známa informace (součástí aplikačního programu)</w:t>
      </w:r>
      <w:r w:rsidR="005138FA" w:rsidRPr="005138FA">
        <w:rPr>
          <w:i/>
          <w:lang w:eastAsia="cs-CZ"/>
        </w:rPr>
        <w:t>, že cena vodného a stočného v místě obvyklá je 86,52 Kč za m</w:t>
      </w:r>
      <w:r w:rsidR="005138FA" w:rsidRPr="005138FA">
        <w:rPr>
          <w:i/>
          <w:vertAlign w:val="superscript"/>
          <w:lang w:eastAsia="cs-CZ"/>
        </w:rPr>
        <w:t>3</w:t>
      </w:r>
      <w:r w:rsidR="005138FA" w:rsidRPr="005138FA">
        <w:rPr>
          <w:i/>
          <w:lang w:eastAsia="cs-CZ"/>
        </w:rPr>
        <w:t>.</w:t>
      </w:r>
    </w:p>
    <w:p w:rsidR="00CF271C" w:rsidRDefault="00CF271C" w:rsidP="005138FA">
      <w:pPr>
        <w:pBdr>
          <w:top w:val="single" w:sz="4" w:space="1" w:color="auto"/>
          <w:left w:val="single" w:sz="4" w:space="4" w:color="auto"/>
          <w:bottom w:val="single" w:sz="4" w:space="1" w:color="auto"/>
          <w:right w:val="single" w:sz="4" w:space="4" w:color="auto"/>
        </w:pBdr>
        <w:shd w:val="clear" w:color="auto" w:fill="BDD6EE" w:themeFill="accent1" w:themeFillTint="66"/>
        <w:spacing w:line="240" w:lineRule="auto"/>
        <w:jc w:val="left"/>
        <w:rPr>
          <w:rFonts w:eastAsia="Times New Roman" w:cs="Arial"/>
          <w:i/>
          <w:szCs w:val="24"/>
          <w:lang w:eastAsia="cs-CZ"/>
        </w:rPr>
      </w:pPr>
    </w:p>
    <w:p w:rsidR="005138FA" w:rsidRP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spacing w:line="240" w:lineRule="auto"/>
        <w:jc w:val="left"/>
        <w:rPr>
          <w:rFonts w:eastAsia="Times New Roman" w:cs="Arial"/>
          <w:bCs/>
          <w:i/>
          <w:szCs w:val="24"/>
          <w:lang w:eastAsia="cs-CZ"/>
        </w:rPr>
      </w:pPr>
      <w:r w:rsidRPr="005138FA">
        <w:rPr>
          <w:rFonts w:eastAsia="Times New Roman" w:cs="Arial"/>
          <w:i/>
          <w:szCs w:val="24"/>
          <w:lang w:eastAsia="cs-CZ"/>
        </w:rPr>
        <w:t>Náklady na vodné a stočné ve výši v místě obvyklé = počet všech osob * průměrná roční spotřeba / 12 * cena za vodné a stočné = 4 * (35/12) * 86,52 Kč =</w:t>
      </w:r>
      <w:r w:rsidRPr="005138FA">
        <w:rPr>
          <w:rFonts w:eastAsia="Times New Roman" w:cs="Arial"/>
          <w:b/>
          <w:i/>
          <w:szCs w:val="24"/>
          <w:lang w:eastAsia="cs-CZ"/>
        </w:rPr>
        <w:t xml:space="preserve"> </w:t>
      </w:r>
      <w:r w:rsidRPr="005138FA">
        <w:rPr>
          <w:rFonts w:eastAsia="Times New Roman" w:cs="Arial"/>
          <w:bCs/>
          <w:i/>
          <w:szCs w:val="24"/>
          <w:lang w:eastAsia="cs-CZ"/>
        </w:rPr>
        <w:t>1 009,40 Kč</w:t>
      </w:r>
    </w:p>
    <w:p w:rsidR="005138FA" w:rsidRP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spacing w:line="240" w:lineRule="auto"/>
        <w:jc w:val="left"/>
        <w:rPr>
          <w:rFonts w:eastAsia="Times New Roman" w:cs="Arial"/>
          <w:bCs/>
          <w:i/>
          <w:szCs w:val="24"/>
          <w:lang w:eastAsia="cs-CZ"/>
        </w:rPr>
      </w:pPr>
    </w:p>
    <w:p w:rsidR="005138FA" w:rsidRP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eastAsia="Times New Roman" w:cs="Arial"/>
          <w:b/>
          <w:i/>
          <w:szCs w:val="24"/>
          <w:lang w:eastAsia="cs-CZ"/>
        </w:rPr>
      </w:pPr>
      <w:r w:rsidRPr="005138FA">
        <w:rPr>
          <w:rFonts w:eastAsia="Times New Roman" w:cs="Arial"/>
          <w:b/>
          <w:bCs/>
          <w:i/>
          <w:szCs w:val="24"/>
          <w:lang w:eastAsia="cs-CZ"/>
        </w:rPr>
        <w:t>Stanovená záloha na vodné a stočné činí 1 000 Kč měsíčně, náklady v místě obvyklé jsou stanoveny ve výši 1 009,40 Kč měsíčně.</w:t>
      </w:r>
      <w:r w:rsidRPr="005138FA">
        <w:rPr>
          <w:rFonts w:eastAsia="Times New Roman" w:cs="Arial"/>
          <w:b/>
          <w:i/>
          <w:szCs w:val="24"/>
          <w:lang w:eastAsia="cs-CZ"/>
        </w:rPr>
        <w:t xml:space="preserve"> </w:t>
      </w:r>
    </w:p>
    <w:p w:rsidR="005138FA" w:rsidRDefault="005138FA" w:rsidP="005138FA"/>
    <w:p w:rsidR="004226B3" w:rsidRPr="00F65550" w:rsidRDefault="004226B3" w:rsidP="004226B3">
      <w:pPr>
        <w:rPr>
          <w:lang w:eastAsia="cs-CZ"/>
        </w:rPr>
      </w:pPr>
      <w:r>
        <w:rPr>
          <w:lang w:eastAsia="cs-CZ"/>
        </w:rPr>
        <w:lastRenderedPageBreak/>
        <w:t>V praxi nastávají situace, kdy osoba, u níž dochází k ohřevu vody na vodu teplou užitím energie dálkového tepla</w:t>
      </w:r>
      <w:r w:rsidR="00484220">
        <w:rPr>
          <w:lang w:eastAsia="cs-CZ"/>
        </w:rPr>
        <w:t>,</w:t>
      </w:r>
      <w:r>
        <w:rPr>
          <w:lang w:eastAsia="cs-CZ"/>
        </w:rPr>
        <w:t xml:space="preserve"> je povinna </w:t>
      </w:r>
      <w:r w:rsidR="00484220">
        <w:rPr>
          <w:lang w:eastAsia="cs-CZ"/>
        </w:rPr>
        <w:t>podle rozpisu služeb</w:t>
      </w:r>
      <w:r>
        <w:rPr>
          <w:lang w:eastAsia="cs-CZ"/>
        </w:rPr>
        <w:t xml:space="preserve"> hradit zálohy na teplou vodu (bez rozdělení částek na vodu potřebnou k ohřevu a na energii k ohřevu teplé vody). V těchto situacích se postupuje tak, že záloha na teplou vodu </w:t>
      </w:r>
      <w:r w:rsidR="00484220">
        <w:rPr>
          <w:lang w:eastAsia="cs-CZ"/>
        </w:rPr>
        <w:t>se v poměru 35:65 rozdělí</w:t>
      </w:r>
      <w:r>
        <w:rPr>
          <w:lang w:eastAsia="cs-CZ"/>
        </w:rPr>
        <w:t xml:space="preserve"> do zálohy za vodné a stočné a do zálohy za energii na ohřev vody na vodu teplou. Přístup rozdělení 35:65 byl zvolen z důvodu, že cena teplé vody je cca z 35% složena z ceny za vodu k ohřevu a cca z 65% z ceny na energii potřebnou pro ohřev vody</w:t>
      </w:r>
      <w:r w:rsidR="00484220">
        <w:rPr>
          <w:rStyle w:val="Znakapoznpodarou"/>
          <w:lang w:eastAsia="cs-CZ"/>
        </w:rPr>
        <w:footnoteReference w:id="15"/>
      </w:r>
      <w:r>
        <w:rPr>
          <w:lang w:eastAsia="cs-CZ"/>
        </w:rPr>
        <w:t xml:space="preserve">. </w:t>
      </w:r>
    </w:p>
    <w:p w:rsidR="005C2EE7" w:rsidRDefault="005C2EE7" w:rsidP="005138FA"/>
    <w:p w:rsidR="005138FA" w:rsidRP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rPr>
          <w:b/>
          <w:i/>
          <w:lang w:eastAsia="cs-CZ"/>
        </w:rPr>
      </w:pPr>
      <w:r w:rsidRPr="005138FA">
        <w:rPr>
          <w:b/>
          <w:i/>
          <w:lang w:eastAsia="cs-CZ"/>
        </w:rPr>
        <w:t>Příklad:</w:t>
      </w:r>
    </w:p>
    <w:p w:rsidR="00C156E4" w:rsidRDefault="00C156E4" w:rsidP="00C156E4">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5138FA">
        <w:rPr>
          <w:i/>
          <w:lang w:eastAsia="cs-CZ"/>
        </w:rPr>
        <w:t xml:space="preserve">Tři společně posuzované osoby žijící v nájemní formě bydlení. Žadatelem o dávku jsou sděleny informace, že záloha na vodné a stočné činí 500 Kč měsíčně, záloha na teplou vodu činí 800 Kč měsíčně. </w:t>
      </w:r>
      <w:r w:rsidR="00B414F2">
        <w:rPr>
          <w:i/>
          <w:lang w:eastAsia="cs-CZ"/>
        </w:rPr>
        <w:t>Je známa informace (součástí aplikačního programu)</w:t>
      </w:r>
      <w:r w:rsidRPr="005138FA">
        <w:rPr>
          <w:i/>
          <w:lang w:eastAsia="cs-CZ"/>
        </w:rPr>
        <w:t xml:space="preserve">, </w:t>
      </w:r>
      <w:r w:rsidR="00B414F2">
        <w:rPr>
          <w:i/>
          <w:lang w:eastAsia="cs-CZ"/>
        </w:rPr>
        <w:br/>
      </w:r>
      <w:r w:rsidRPr="005138FA">
        <w:rPr>
          <w:i/>
          <w:lang w:eastAsia="cs-CZ"/>
        </w:rPr>
        <w:t>že cena vodného a stočného v místě obvyklá je 86,52 Kč za m</w:t>
      </w:r>
      <w:r w:rsidRPr="005138FA">
        <w:rPr>
          <w:i/>
          <w:vertAlign w:val="superscript"/>
          <w:lang w:eastAsia="cs-CZ"/>
        </w:rPr>
        <w:t>3</w:t>
      </w:r>
      <w:r w:rsidRPr="005138FA">
        <w:rPr>
          <w:i/>
          <w:lang w:eastAsia="cs-CZ"/>
        </w:rPr>
        <w:t xml:space="preserve">. </w:t>
      </w:r>
    </w:p>
    <w:p w:rsidR="005138FA" w:rsidRP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p>
    <w:p w:rsid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5138FA">
        <w:rPr>
          <w:i/>
          <w:lang w:eastAsia="cs-CZ"/>
        </w:rPr>
        <w:t xml:space="preserve">Záloha na vodné a stočné je ze strany orgánu pomoci v hmotné nouzi zadána ve výši 500 Kč měsíčně, dále je zadána záloha na teplou vodu ve výši 800 Kč měsíčně. </w:t>
      </w:r>
      <w:r w:rsidR="00907EE2">
        <w:rPr>
          <w:i/>
          <w:lang w:eastAsia="cs-CZ"/>
        </w:rPr>
        <w:br/>
        <w:t>Z</w:t>
      </w:r>
      <w:r w:rsidRPr="005138FA">
        <w:rPr>
          <w:i/>
          <w:lang w:eastAsia="cs-CZ"/>
        </w:rPr>
        <w:t xml:space="preserve">a užití algoritmu 35:65 </w:t>
      </w:r>
      <w:r w:rsidR="00907EE2">
        <w:rPr>
          <w:i/>
          <w:lang w:eastAsia="cs-CZ"/>
        </w:rPr>
        <w:t xml:space="preserve">se </w:t>
      </w:r>
      <w:r w:rsidRPr="005138FA">
        <w:rPr>
          <w:i/>
          <w:lang w:eastAsia="cs-CZ"/>
        </w:rPr>
        <w:t>přičte k záloze na vodn</w:t>
      </w:r>
      <w:r w:rsidR="00907EE2">
        <w:rPr>
          <w:i/>
          <w:lang w:eastAsia="cs-CZ"/>
        </w:rPr>
        <w:t>é a stočné ve výši 500 Kč částka</w:t>
      </w:r>
      <w:r w:rsidRPr="005138FA">
        <w:rPr>
          <w:i/>
          <w:lang w:eastAsia="cs-CZ"/>
        </w:rPr>
        <w:t xml:space="preserve"> odpovídající 35% z částky 800 Kč. Z částky 800 Kč činí 35% 280 Kč. </w:t>
      </w:r>
      <w:r w:rsidR="007F4EBC">
        <w:rPr>
          <w:i/>
          <w:lang w:eastAsia="cs-CZ"/>
        </w:rPr>
        <w:t>Součet zohledňovaných záloh</w:t>
      </w:r>
      <w:r w:rsidRPr="005138FA">
        <w:rPr>
          <w:i/>
          <w:lang w:eastAsia="cs-CZ"/>
        </w:rPr>
        <w:t xml:space="preserve"> na vodné a stočné (záloha, která se porovnává s výší v místě obvyklou) je 500 Kč + 280 Kč = 780 Kč.</w:t>
      </w:r>
    </w:p>
    <w:p w:rsidR="005138FA" w:rsidRP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b/>
          <w:i/>
          <w:szCs w:val="24"/>
        </w:rPr>
      </w:pPr>
    </w:p>
    <w:p w:rsidR="005138FA" w:rsidRP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cs="Arial"/>
          <w:i/>
          <w:lang w:eastAsia="cs-CZ"/>
        </w:rPr>
      </w:pPr>
      <w:r w:rsidRPr="005138FA">
        <w:rPr>
          <w:rFonts w:eastAsia="Times New Roman" w:cs="Arial"/>
          <w:i/>
          <w:szCs w:val="24"/>
          <w:lang w:eastAsia="cs-CZ"/>
        </w:rPr>
        <w:t>Náklady na vodné a stočné ve výši v místě obvyklé =</w:t>
      </w:r>
      <w:r>
        <w:rPr>
          <w:rFonts w:eastAsia="Times New Roman" w:cs="Arial"/>
          <w:i/>
          <w:szCs w:val="24"/>
          <w:lang w:eastAsia="cs-CZ"/>
        </w:rPr>
        <w:t xml:space="preserve"> </w:t>
      </w:r>
      <w:r w:rsidRPr="005138FA">
        <w:rPr>
          <w:rFonts w:eastAsia="Times New Roman" w:cs="Arial"/>
          <w:i/>
          <w:szCs w:val="24"/>
          <w:lang w:eastAsia="cs-CZ"/>
        </w:rPr>
        <w:t>počet všech osob * průměrná roční spotřeba / 12 * cena za vodné a stočné =</w:t>
      </w:r>
      <w:r>
        <w:rPr>
          <w:rFonts w:eastAsia="Times New Roman" w:cs="Arial"/>
          <w:i/>
          <w:szCs w:val="24"/>
          <w:lang w:eastAsia="cs-CZ"/>
        </w:rPr>
        <w:t xml:space="preserve"> </w:t>
      </w:r>
      <w:r w:rsidRPr="005138FA">
        <w:rPr>
          <w:rFonts w:eastAsia="Times New Roman" w:cs="Arial"/>
          <w:i/>
          <w:szCs w:val="24"/>
          <w:lang w:eastAsia="cs-CZ"/>
        </w:rPr>
        <w:t xml:space="preserve">3 * (35/12) * 86,52 Kč = </w:t>
      </w:r>
      <w:r w:rsidRPr="005138FA">
        <w:rPr>
          <w:rFonts w:eastAsia="Times New Roman" w:cs="Arial"/>
          <w:bCs/>
          <w:i/>
          <w:szCs w:val="24"/>
          <w:lang w:eastAsia="cs-CZ"/>
        </w:rPr>
        <w:t>757,05 Kč</w:t>
      </w:r>
      <w:r w:rsidRPr="005138FA">
        <w:rPr>
          <w:rFonts w:eastAsia="Times New Roman" w:cs="Arial"/>
          <w:i/>
          <w:szCs w:val="24"/>
          <w:lang w:eastAsia="cs-CZ"/>
        </w:rPr>
        <w:br/>
      </w:r>
    </w:p>
    <w:p w:rsidR="005138FA" w:rsidRP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eastAsia="Times New Roman" w:cs="Arial"/>
          <w:b/>
          <w:i/>
          <w:szCs w:val="24"/>
          <w:lang w:eastAsia="cs-CZ"/>
        </w:rPr>
      </w:pPr>
      <w:r w:rsidRPr="005138FA">
        <w:rPr>
          <w:rFonts w:cs="Arial"/>
          <w:b/>
          <w:i/>
          <w:szCs w:val="24"/>
        </w:rPr>
        <w:t>Stanovená záloha na vodné a stočné činí 780 Kč,</w:t>
      </w:r>
      <w:r w:rsidRPr="005138FA">
        <w:rPr>
          <w:rFonts w:cs="Arial"/>
          <w:i/>
          <w:szCs w:val="24"/>
        </w:rPr>
        <w:t xml:space="preserve"> </w:t>
      </w:r>
      <w:r w:rsidRPr="005138FA">
        <w:rPr>
          <w:rFonts w:eastAsia="Times New Roman" w:cs="Arial"/>
          <w:b/>
          <w:bCs/>
          <w:i/>
          <w:szCs w:val="24"/>
          <w:lang w:eastAsia="cs-CZ"/>
        </w:rPr>
        <w:t>náklady v místě obvyklé jsou stanoveny ve výši 757,05 Kč měsíčně.</w:t>
      </w:r>
      <w:r w:rsidRPr="005138FA">
        <w:rPr>
          <w:rFonts w:eastAsia="Times New Roman" w:cs="Arial"/>
          <w:b/>
          <w:i/>
          <w:szCs w:val="24"/>
          <w:lang w:eastAsia="cs-CZ"/>
        </w:rPr>
        <w:t xml:space="preserve"> </w:t>
      </w:r>
    </w:p>
    <w:p w:rsidR="001F0443" w:rsidRDefault="001F0443" w:rsidP="001F0443">
      <w:pPr>
        <w:rPr>
          <w:lang w:eastAsia="cs-CZ"/>
        </w:rPr>
      </w:pPr>
    </w:p>
    <w:p w:rsidR="005C2EE7" w:rsidRDefault="005C2EE7" w:rsidP="005C2EE7">
      <w:pPr>
        <w:rPr>
          <w:rFonts w:cs="Arial"/>
          <w:szCs w:val="24"/>
        </w:rPr>
      </w:pPr>
      <w:r>
        <w:rPr>
          <w:rFonts w:cs="Arial"/>
          <w:szCs w:val="24"/>
        </w:rPr>
        <w:t xml:space="preserve">V případech, kdy osoba hradí vodné a stočné po odečtu skutečné spotřeby </w:t>
      </w:r>
      <w:r w:rsidR="00C4013C">
        <w:rPr>
          <w:rFonts w:cs="Arial"/>
          <w:szCs w:val="24"/>
        </w:rPr>
        <w:br/>
      </w:r>
      <w:r>
        <w:rPr>
          <w:rFonts w:cs="Arial"/>
          <w:szCs w:val="24"/>
        </w:rPr>
        <w:t xml:space="preserve">za konkrétní období (např. v měsíci dubnu 2019 hradí za skutečnou spotřebu </w:t>
      </w:r>
      <w:r w:rsidR="00C4013C">
        <w:rPr>
          <w:rFonts w:cs="Arial"/>
          <w:szCs w:val="24"/>
        </w:rPr>
        <w:br/>
      </w:r>
      <w:r>
        <w:rPr>
          <w:rFonts w:cs="Arial"/>
          <w:szCs w:val="24"/>
        </w:rPr>
        <w:t>za měsíce leden až březen 2019), dochází k přepočtu skutečné úhrady na jeden kalendářní měsíc</w:t>
      </w:r>
      <w:r w:rsidR="00E84AD8">
        <w:rPr>
          <w:rFonts w:cs="Arial"/>
          <w:szCs w:val="24"/>
        </w:rPr>
        <w:t>, a to vždy v aktuálním kalendářním měsíci, ve kterém je spotřeba zúčtována. P</w:t>
      </w:r>
      <w:r>
        <w:rPr>
          <w:rFonts w:cs="Arial"/>
          <w:szCs w:val="24"/>
        </w:rPr>
        <w:t xml:space="preserve">ostupuje se stejným způsobem, jako u zálohové platby vodného </w:t>
      </w:r>
      <w:r w:rsidR="00C4013C">
        <w:rPr>
          <w:rFonts w:cs="Arial"/>
          <w:szCs w:val="24"/>
        </w:rPr>
        <w:br/>
      </w:r>
      <w:r>
        <w:rPr>
          <w:rFonts w:cs="Arial"/>
          <w:szCs w:val="24"/>
        </w:rPr>
        <w:t xml:space="preserve">a stočného. </w:t>
      </w:r>
    </w:p>
    <w:p w:rsidR="00C156E4" w:rsidRDefault="00C156E4" w:rsidP="005C2EE7">
      <w:pPr>
        <w:rPr>
          <w:rFonts w:cs="Arial"/>
          <w:szCs w:val="24"/>
        </w:rPr>
      </w:pPr>
    </w:p>
    <w:p w:rsidR="00966382" w:rsidRDefault="00C156E4" w:rsidP="005C2EE7">
      <w:pPr>
        <w:rPr>
          <w:rFonts w:cs="Arial"/>
          <w:szCs w:val="24"/>
        </w:rPr>
      </w:pPr>
      <w:r>
        <w:rPr>
          <w:rFonts w:cs="Arial"/>
          <w:szCs w:val="24"/>
        </w:rPr>
        <w:t xml:space="preserve">Jedná se o případy, kdy nejsou stanoveny zálohy pro budoucí období. Každý měsíc se eviduje jako záloha fiktivní částka ve výši spotřeby za minulé období připadající </w:t>
      </w:r>
      <w:r w:rsidR="004F5F68">
        <w:rPr>
          <w:rFonts w:cs="Arial"/>
          <w:szCs w:val="24"/>
        </w:rPr>
        <w:br/>
      </w:r>
      <w:r>
        <w:rPr>
          <w:rFonts w:cs="Arial"/>
          <w:szCs w:val="24"/>
        </w:rPr>
        <w:t xml:space="preserve">na 1 měsíc. Faktura za skutečnou spotřebu se považuje za vyúčtování těchto fiktivních záloh, a proto se uvede ve vyúčtování – viz kapitola Vyúčtování energií a služeb </w:t>
      </w:r>
      <w:r w:rsidR="004F5F68">
        <w:rPr>
          <w:rFonts w:cs="Arial"/>
          <w:szCs w:val="24"/>
        </w:rPr>
        <w:br/>
      </w:r>
      <w:r>
        <w:rPr>
          <w:rFonts w:cs="Arial"/>
          <w:szCs w:val="24"/>
        </w:rPr>
        <w:t>a vypočte se přeplatek/doplatek z vyúčtování.</w:t>
      </w:r>
    </w:p>
    <w:p w:rsidR="005138FA" w:rsidRPr="005138FA" w:rsidRDefault="005138FA" w:rsidP="005138FA">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b/>
          <w:i/>
          <w:szCs w:val="24"/>
        </w:rPr>
      </w:pPr>
      <w:r w:rsidRPr="005138FA">
        <w:rPr>
          <w:rFonts w:cs="Arial"/>
          <w:b/>
          <w:i/>
          <w:szCs w:val="24"/>
        </w:rPr>
        <w:lastRenderedPageBreak/>
        <w:t>Příklad:</w:t>
      </w:r>
    </w:p>
    <w:p w:rsidR="00C156E4" w:rsidRDefault="00C156E4" w:rsidP="00C156E4">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i/>
          <w:szCs w:val="24"/>
        </w:rPr>
      </w:pPr>
      <w:r w:rsidRPr="005138FA">
        <w:rPr>
          <w:rFonts w:cs="Arial"/>
          <w:i/>
          <w:szCs w:val="24"/>
        </w:rPr>
        <w:t xml:space="preserve">V měsíci únoru 2019 je podána žádost o dávku. Naposledy byla provedena úhrada </w:t>
      </w:r>
      <w:r w:rsidR="00C4013C">
        <w:rPr>
          <w:rFonts w:cs="Arial"/>
          <w:i/>
          <w:szCs w:val="24"/>
        </w:rPr>
        <w:br/>
      </w:r>
      <w:r w:rsidRPr="005138FA">
        <w:rPr>
          <w:rFonts w:cs="Arial"/>
          <w:i/>
          <w:szCs w:val="24"/>
        </w:rPr>
        <w:t xml:space="preserve">za vodné a stočné za spotřebu za období od měsíce října 2018 do měsíce prosince 2018, a to úhrada ve výši 3 000 Kč v měsíci lednu 2019. Za zálohu za vodné a stočné se bude považovat 1 000 Kč měsíčně. </w:t>
      </w:r>
    </w:p>
    <w:p w:rsidR="00C156E4" w:rsidRPr="005138FA" w:rsidRDefault="00C156E4" w:rsidP="00C156E4">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i/>
          <w:szCs w:val="24"/>
        </w:rPr>
      </w:pPr>
    </w:p>
    <w:p w:rsidR="00C156E4" w:rsidRDefault="00C156E4" w:rsidP="00C156E4">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i/>
          <w:szCs w:val="24"/>
        </w:rPr>
      </w:pPr>
      <w:r w:rsidRPr="005138FA">
        <w:rPr>
          <w:rFonts w:cs="Arial"/>
          <w:i/>
          <w:szCs w:val="24"/>
        </w:rPr>
        <w:t xml:space="preserve">Příjemce dávky doloží v měsíci dubnu 2019 úhradu částky 3 300 Kč za vodné a stočné za měsíce leden až březen 2019. Od měsíce dubna 2019 bude stanovena záloha </w:t>
      </w:r>
      <w:r w:rsidR="00C4013C">
        <w:rPr>
          <w:rFonts w:cs="Arial"/>
          <w:i/>
          <w:szCs w:val="24"/>
        </w:rPr>
        <w:br/>
      </w:r>
      <w:r w:rsidRPr="005138FA">
        <w:rPr>
          <w:rFonts w:cs="Arial"/>
          <w:i/>
          <w:szCs w:val="24"/>
        </w:rPr>
        <w:t>na vodné a stočné v měsíční výši 1 100 Kč.</w:t>
      </w:r>
    </w:p>
    <w:p w:rsidR="00C156E4" w:rsidRDefault="00C156E4" w:rsidP="00C156E4">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i/>
          <w:szCs w:val="24"/>
        </w:rPr>
      </w:pPr>
    </w:p>
    <w:p w:rsidR="00C156E4" w:rsidRPr="00C156E4" w:rsidRDefault="00C156E4" w:rsidP="00C156E4">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i/>
          <w:szCs w:val="24"/>
        </w:rPr>
      </w:pPr>
      <w:r w:rsidRPr="00C156E4">
        <w:rPr>
          <w:rFonts w:cs="Arial"/>
          <w:i/>
          <w:szCs w:val="24"/>
        </w:rPr>
        <w:t xml:space="preserve">Částka za skutečnou spotřebu se zaeviduje jako vyúčtování a vypočte </w:t>
      </w:r>
      <w:r w:rsidR="00C4013C">
        <w:rPr>
          <w:rFonts w:cs="Arial"/>
          <w:i/>
          <w:szCs w:val="24"/>
        </w:rPr>
        <w:br/>
      </w:r>
      <w:r w:rsidRPr="00C156E4">
        <w:rPr>
          <w:rFonts w:cs="Arial"/>
          <w:i/>
          <w:szCs w:val="24"/>
        </w:rPr>
        <w:t xml:space="preserve">se přeplatek/doplatek z vyúčtování. Pokud byly zálohy </w:t>
      </w:r>
      <w:r w:rsidR="005A57EA">
        <w:rPr>
          <w:rFonts w:cs="Arial"/>
          <w:i/>
          <w:szCs w:val="24"/>
        </w:rPr>
        <w:t>zohledněny</w:t>
      </w:r>
      <w:r w:rsidRPr="00C156E4">
        <w:rPr>
          <w:rFonts w:cs="Arial"/>
          <w:i/>
          <w:szCs w:val="24"/>
        </w:rPr>
        <w:t xml:space="preserve"> přesně </w:t>
      </w:r>
      <w:r w:rsidR="00C4013C">
        <w:rPr>
          <w:rFonts w:cs="Arial"/>
          <w:i/>
          <w:szCs w:val="24"/>
        </w:rPr>
        <w:br/>
      </w:r>
      <w:r w:rsidRPr="00C156E4">
        <w:rPr>
          <w:rFonts w:cs="Arial"/>
          <w:i/>
          <w:szCs w:val="24"/>
        </w:rPr>
        <w:t>ve výši pozdějšího vyúčtování, pak přeplatek ani doplatek z vyúčtování nevznikne.</w:t>
      </w:r>
    </w:p>
    <w:p w:rsidR="005138FA" w:rsidRDefault="005138FA" w:rsidP="001F0443">
      <w:pPr>
        <w:rPr>
          <w:lang w:eastAsia="cs-CZ"/>
        </w:rPr>
      </w:pPr>
    </w:p>
    <w:p w:rsidR="00FC2311" w:rsidRPr="00F45634" w:rsidRDefault="0004431A" w:rsidP="00FC2311">
      <w:pPr>
        <w:rPr>
          <w:rFonts w:cs="Arial"/>
          <w:szCs w:val="24"/>
        </w:rPr>
      </w:pPr>
      <w:bookmarkStart w:id="10" w:name="_Toc531857530"/>
      <w:r w:rsidRPr="00950A41">
        <w:rPr>
          <w:rFonts w:cs="Arial"/>
          <w:szCs w:val="24"/>
        </w:rPr>
        <w:t xml:space="preserve">V případech vlastního zdroje pitné vody (studna apod.) </w:t>
      </w:r>
      <w:r>
        <w:rPr>
          <w:rFonts w:cs="Arial"/>
          <w:szCs w:val="24"/>
        </w:rPr>
        <w:t xml:space="preserve">a používání veřejné kanalizace mohou nastat dvě situace: jestliže je přípojka na veřejnou kanalizaci vybavena měřením množství odpadní vody a stočné se platí zálohově, pak se měsíční zálohy </w:t>
      </w:r>
      <w:r w:rsidR="004D2F33">
        <w:rPr>
          <w:rFonts w:cs="Arial"/>
          <w:szCs w:val="24"/>
        </w:rPr>
        <w:br/>
      </w:r>
      <w:r>
        <w:rPr>
          <w:rFonts w:cs="Arial"/>
          <w:szCs w:val="24"/>
        </w:rPr>
        <w:t xml:space="preserve">za stočné evidují v kolonce „záloha na vodné/st.“. V ostatních případech se stočné hradí paušální platbou, kterou je nutno započítat do nákladů na ostatní služby. </w:t>
      </w:r>
    </w:p>
    <w:p w:rsidR="0004431A" w:rsidRPr="00FC2311" w:rsidRDefault="0004431A" w:rsidP="00FC2311">
      <w:pPr>
        <w:rPr>
          <w:lang w:eastAsia="cs-CZ"/>
        </w:rPr>
      </w:pPr>
    </w:p>
    <w:p w:rsidR="001F0443" w:rsidRDefault="001F0443" w:rsidP="005D327C">
      <w:pPr>
        <w:pStyle w:val="Nadpis4"/>
        <w:rPr>
          <w:lang w:eastAsia="cs-CZ"/>
        </w:rPr>
      </w:pPr>
      <w:bookmarkStart w:id="11" w:name="_Toc25833341"/>
      <w:r>
        <w:rPr>
          <w:lang w:eastAsia="cs-CZ"/>
        </w:rPr>
        <w:t>3</w:t>
      </w:r>
      <w:r w:rsidR="00893312">
        <w:rPr>
          <w:lang w:eastAsia="cs-CZ"/>
        </w:rPr>
        <w:t>.</w:t>
      </w:r>
      <w:r w:rsidR="00DB793E">
        <w:rPr>
          <w:lang w:eastAsia="cs-CZ"/>
        </w:rPr>
        <w:t xml:space="preserve"> Náklady na </w:t>
      </w:r>
      <w:r w:rsidR="00E95DC7">
        <w:rPr>
          <w:lang w:eastAsia="cs-CZ"/>
        </w:rPr>
        <w:t>dálkové teplo užité k ohřevu</w:t>
      </w:r>
      <w:r>
        <w:rPr>
          <w:lang w:eastAsia="cs-CZ"/>
        </w:rPr>
        <w:t xml:space="preserve"> teplé užitkové vody (TUV)</w:t>
      </w:r>
      <w:bookmarkEnd w:id="10"/>
      <w:bookmarkEnd w:id="11"/>
    </w:p>
    <w:p w:rsidR="00E95DC7" w:rsidRDefault="00E95DC7" w:rsidP="00E95DC7">
      <w:pPr>
        <w:rPr>
          <w:rFonts w:cs="Arial"/>
          <w:szCs w:val="24"/>
        </w:rPr>
      </w:pPr>
      <w:r w:rsidRPr="0042653D">
        <w:rPr>
          <w:rFonts w:cs="Arial"/>
          <w:szCs w:val="24"/>
        </w:rPr>
        <w:t>Jedná se o položku služeb, v rámci které</w:t>
      </w:r>
      <w:r>
        <w:rPr>
          <w:rFonts w:cs="Arial"/>
          <w:szCs w:val="24"/>
        </w:rPr>
        <w:t xml:space="preserve"> jsou domácnosti zálohově účtovány</w:t>
      </w:r>
      <w:r w:rsidRPr="0042653D">
        <w:rPr>
          <w:rFonts w:cs="Arial"/>
          <w:szCs w:val="24"/>
        </w:rPr>
        <w:t xml:space="preserve"> </w:t>
      </w:r>
      <w:r>
        <w:rPr>
          <w:rFonts w:cs="Arial"/>
          <w:szCs w:val="24"/>
        </w:rPr>
        <w:t>náklady na energii potřebou pro ohřev TUV dálkovým teplem.</w:t>
      </w:r>
    </w:p>
    <w:p w:rsidR="00E95DC7" w:rsidRPr="00E95DC7" w:rsidRDefault="00E95DC7" w:rsidP="00E95DC7">
      <w:pPr>
        <w:rPr>
          <w:lang w:eastAsia="cs-CZ"/>
        </w:rPr>
      </w:pPr>
    </w:p>
    <w:p w:rsidR="001F0443" w:rsidRDefault="006D5A1E" w:rsidP="001F0443">
      <w:pPr>
        <w:rPr>
          <w:lang w:eastAsia="cs-CZ"/>
        </w:rPr>
      </w:pPr>
      <w:r>
        <w:rPr>
          <w:lang w:eastAsia="cs-CZ"/>
        </w:rPr>
        <w:t>Nezbytná spotřeba energie na ohřev TUV dálkovým teplem se počítá stejným způsobem jako u nákladů na ohřev TUV energiemi (elektřina, plyn, ostatní energie)</w:t>
      </w:r>
      <w:r w:rsidR="001F0443">
        <w:rPr>
          <w:lang w:eastAsia="cs-CZ"/>
        </w:rPr>
        <w:t xml:space="preserve">. </w:t>
      </w:r>
    </w:p>
    <w:p w:rsidR="000F7F4F" w:rsidRDefault="000F7F4F" w:rsidP="001F0443">
      <w:pPr>
        <w:rPr>
          <w:lang w:eastAsia="cs-CZ"/>
        </w:rPr>
      </w:pPr>
    </w:p>
    <w:p w:rsidR="006D5A1E" w:rsidRDefault="006D5A1E" w:rsidP="006D5A1E">
      <w:pPr>
        <w:pBdr>
          <w:top w:val="single" w:sz="4" w:space="1" w:color="auto"/>
          <w:left w:val="single" w:sz="4" w:space="4" w:color="auto"/>
          <w:bottom w:val="single" w:sz="4" w:space="1" w:color="auto"/>
          <w:right w:val="single" w:sz="4" w:space="4" w:color="auto"/>
        </w:pBdr>
        <w:jc w:val="center"/>
        <w:rPr>
          <w:lang w:eastAsia="cs-CZ"/>
        </w:rPr>
      </w:pPr>
      <w:r w:rsidRPr="000F7F4F">
        <w:rPr>
          <w:b/>
          <w:lang w:eastAsia="cs-CZ"/>
        </w:rPr>
        <w:t>Náklady na ohřev TUV</w:t>
      </w:r>
      <w:r>
        <w:rPr>
          <w:lang w:eastAsia="cs-CZ"/>
        </w:rPr>
        <w:t xml:space="preserve"> </w:t>
      </w:r>
      <w:r w:rsidRPr="00901BEB">
        <w:rPr>
          <w:b/>
          <w:lang w:eastAsia="cs-CZ"/>
        </w:rPr>
        <w:t>dálkovým teplem</w:t>
      </w:r>
      <w:r>
        <w:rPr>
          <w:lang w:eastAsia="cs-CZ"/>
        </w:rPr>
        <w:t xml:space="preserve"> = cena DT v místě obvyklá * nezbytná spotřeba energie k ohřevu vody * procento použití dálkového tepla k ohřevu vody / 100</w:t>
      </w:r>
    </w:p>
    <w:p w:rsidR="00035508" w:rsidRDefault="00035508" w:rsidP="006D5A1E">
      <w:pPr>
        <w:rPr>
          <w:lang w:eastAsia="cs-CZ"/>
        </w:rPr>
      </w:pPr>
    </w:p>
    <w:p w:rsidR="006D5A1E" w:rsidRDefault="006D5A1E" w:rsidP="006D5A1E">
      <w:pPr>
        <w:rPr>
          <w:lang w:eastAsia="cs-CZ"/>
        </w:rPr>
      </w:pPr>
      <w:r>
        <w:rPr>
          <w:lang w:eastAsia="cs-CZ"/>
        </w:rPr>
        <w:t>Jako cena DT v místě obvyklá je použita stejná cena jako při výpočtu nákladů na DT k vytápění v místě obvykl</w:t>
      </w:r>
      <w:r w:rsidR="009C48B1">
        <w:rPr>
          <w:lang w:eastAsia="cs-CZ"/>
        </w:rPr>
        <w:t>ých</w:t>
      </w:r>
      <w:r>
        <w:rPr>
          <w:lang w:eastAsia="cs-CZ"/>
        </w:rPr>
        <w:t xml:space="preserve">. </w:t>
      </w:r>
    </w:p>
    <w:p w:rsidR="006D5A1E" w:rsidRDefault="006D5A1E" w:rsidP="006D5A1E">
      <w:pPr>
        <w:rPr>
          <w:lang w:eastAsia="cs-CZ"/>
        </w:rPr>
      </w:pPr>
    </w:p>
    <w:p w:rsidR="006D5A1E" w:rsidRDefault="006D5A1E" w:rsidP="006D5A1E">
      <w:pPr>
        <w:rPr>
          <w:lang w:eastAsia="cs-CZ"/>
        </w:rPr>
      </w:pPr>
      <w:r>
        <w:rPr>
          <w:lang w:eastAsia="cs-CZ"/>
        </w:rPr>
        <w:t>Nezbytná spotřeba energie na ohřev TUV se počítá jako součin údajů:</w:t>
      </w:r>
    </w:p>
    <w:p w:rsidR="006D5A1E" w:rsidRPr="000F7F4F" w:rsidRDefault="006D5A1E" w:rsidP="00E7491B">
      <w:pPr>
        <w:pStyle w:val="Odstavecseseznamem"/>
        <w:numPr>
          <w:ilvl w:val="0"/>
          <w:numId w:val="7"/>
        </w:numPr>
      </w:pPr>
      <w:r>
        <w:t xml:space="preserve">průměrná roční spotřeba teplé vody na 1 </w:t>
      </w:r>
      <w:r w:rsidR="00692FA5">
        <w:t>osobu (konstanta) =</w:t>
      </w:r>
      <w:r>
        <w:t xml:space="preserve"> 17,5 m</w:t>
      </w:r>
      <w:r w:rsidRPr="000F7F4F">
        <w:rPr>
          <w:vertAlign w:val="superscript"/>
        </w:rPr>
        <w:t>3</w:t>
      </w:r>
    </w:p>
    <w:p w:rsidR="006D5A1E" w:rsidRPr="000F7F4F" w:rsidRDefault="006D5A1E" w:rsidP="00E7491B">
      <w:pPr>
        <w:pStyle w:val="Odstavecseseznamem"/>
        <w:numPr>
          <w:ilvl w:val="0"/>
          <w:numId w:val="7"/>
        </w:numPr>
      </w:pPr>
      <w:r w:rsidRPr="000F7F4F">
        <w:t>počet společně posuzovaných oso</w:t>
      </w:r>
      <w:r>
        <w:t>b</w:t>
      </w:r>
    </w:p>
    <w:p w:rsidR="0021322F" w:rsidRDefault="006D5A1E" w:rsidP="00692FA5">
      <w:pPr>
        <w:pStyle w:val="Odstavecseseznamem"/>
        <w:numPr>
          <w:ilvl w:val="0"/>
          <w:numId w:val="7"/>
        </w:numPr>
      </w:pPr>
      <w:r>
        <w:t>průměrná spotřeba energie na ohřátí 1 m</w:t>
      </w:r>
      <w:r w:rsidRPr="00692FA5">
        <w:rPr>
          <w:vertAlign w:val="superscript"/>
        </w:rPr>
        <w:t>3</w:t>
      </w:r>
      <w:r>
        <w:t xml:space="preserve"> vody (konstanta)</w:t>
      </w:r>
      <w:r>
        <w:rPr>
          <w:rStyle w:val="Znakapoznpodarou"/>
        </w:rPr>
        <w:footnoteReference w:id="16"/>
      </w:r>
      <w:r>
        <w:t xml:space="preserve"> </w:t>
      </w:r>
      <w:r w:rsidR="00125DB1">
        <w:t>=</w:t>
      </w:r>
      <w:r>
        <w:t xml:space="preserve"> 0,295 GJ</w:t>
      </w:r>
    </w:p>
    <w:p w:rsidR="006D5A1E" w:rsidRDefault="006D5A1E" w:rsidP="006D5A1E"/>
    <w:p w:rsidR="006D5A1E" w:rsidRDefault="006D5A1E" w:rsidP="006D5A1E">
      <w:pPr>
        <w:pBdr>
          <w:top w:val="single" w:sz="4" w:space="1" w:color="auto"/>
          <w:left w:val="single" w:sz="4" w:space="4" w:color="auto"/>
          <w:bottom w:val="single" w:sz="4" w:space="1" w:color="auto"/>
          <w:right w:val="single" w:sz="4" w:space="4" w:color="auto"/>
        </w:pBdr>
        <w:jc w:val="center"/>
      </w:pPr>
      <w:r>
        <w:rPr>
          <w:b/>
        </w:rPr>
        <w:lastRenderedPageBreak/>
        <w:t>N</w:t>
      </w:r>
      <w:r w:rsidRPr="0021322F">
        <w:rPr>
          <w:b/>
        </w:rPr>
        <w:t>ezbytná spotřeba energie na ohřev vody</w:t>
      </w:r>
      <w:r>
        <w:t xml:space="preserve"> = počet všech osob užívajících byt * průměrná roční spotřeba teplé vody na osobu / 12 * koeficient spotřeby tepla</w:t>
      </w:r>
    </w:p>
    <w:p w:rsidR="000F7F4F" w:rsidRDefault="000F7F4F" w:rsidP="000F7F4F"/>
    <w:p w:rsidR="006D5A1E" w:rsidRPr="003E5A7A" w:rsidRDefault="006D5A1E" w:rsidP="006D5A1E">
      <w:pPr>
        <w:rPr>
          <w:rFonts w:cs="Arial"/>
        </w:rPr>
      </w:pPr>
      <w:r w:rsidRPr="003E5A7A">
        <w:rPr>
          <w:rFonts w:cs="Arial"/>
          <w:lang w:eastAsia="cs-CZ"/>
        </w:rPr>
        <w:t>Průměrná roční spotřeba teplé vody na osobu byla stanovena ve výši 17,5m</w:t>
      </w:r>
      <w:r w:rsidRPr="003E5A7A">
        <w:rPr>
          <w:rFonts w:cs="Arial"/>
          <w:vertAlign w:val="superscript"/>
          <w:lang w:eastAsia="cs-CZ"/>
        </w:rPr>
        <w:t>3</w:t>
      </w:r>
      <w:r w:rsidRPr="000837F7">
        <w:rPr>
          <w:rFonts w:cs="Arial"/>
          <w:lang w:eastAsia="cs-CZ"/>
        </w:rPr>
        <w:t>, neboť</w:t>
      </w:r>
      <w:r w:rsidRPr="00A5157C">
        <w:rPr>
          <w:rFonts w:cs="Arial"/>
          <w:lang w:eastAsia="cs-CZ"/>
        </w:rPr>
        <w:t xml:space="preserve"> </w:t>
      </w:r>
      <w:r w:rsidRPr="009E379C">
        <w:rPr>
          <w:rFonts w:cs="Arial"/>
        </w:rPr>
        <w:t>spotř</w:t>
      </w:r>
      <w:r w:rsidRPr="003E5A7A">
        <w:rPr>
          <w:rFonts w:cs="Arial"/>
        </w:rPr>
        <w:t>eba studené vody a teplé vody je p</w:t>
      </w:r>
      <w:r w:rsidRPr="00F65550">
        <w:rPr>
          <w:rFonts w:cs="Arial"/>
        </w:rPr>
        <w:t>ř</w:t>
      </w:r>
      <w:r w:rsidRPr="003E5A7A">
        <w:rPr>
          <w:rFonts w:cs="Arial"/>
        </w:rPr>
        <w:t>ibližn</w:t>
      </w:r>
      <w:r w:rsidRPr="00F65550">
        <w:rPr>
          <w:rFonts w:cs="Arial"/>
        </w:rPr>
        <w:t>ě</w:t>
      </w:r>
      <w:r w:rsidRPr="003E5A7A">
        <w:rPr>
          <w:rFonts w:cs="Arial"/>
        </w:rPr>
        <w:t xml:space="preserve"> stejná. Z pr</w:t>
      </w:r>
      <w:r w:rsidRPr="00F65550">
        <w:rPr>
          <w:rFonts w:cs="Arial"/>
        </w:rPr>
        <w:t>ů</w:t>
      </w:r>
      <w:r w:rsidRPr="003E5A7A">
        <w:rPr>
          <w:rFonts w:cs="Arial"/>
        </w:rPr>
        <w:t>m</w:t>
      </w:r>
      <w:r w:rsidRPr="00F65550">
        <w:rPr>
          <w:rFonts w:cs="Arial"/>
        </w:rPr>
        <w:t>ě</w:t>
      </w:r>
      <w:r w:rsidRPr="003E5A7A">
        <w:rPr>
          <w:rFonts w:cs="Arial"/>
        </w:rPr>
        <w:t>rné ro</w:t>
      </w:r>
      <w:r w:rsidRPr="00F65550">
        <w:rPr>
          <w:rFonts w:cs="Arial"/>
        </w:rPr>
        <w:t>č</w:t>
      </w:r>
      <w:r w:rsidRPr="003E5A7A">
        <w:rPr>
          <w:rFonts w:cs="Arial"/>
        </w:rPr>
        <w:t>ní spot</w:t>
      </w:r>
      <w:r w:rsidRPr="00F65550">
        <w:rPr>
          <w:rFonts w:cs="Arial"/>
        </w:rPr>
        <w:t>ř</w:t>
      </w:r>
      <w:r w:rsidRPr="003E5A7A">
        <w:rPr>
          <w:rFonts w:cs="Arial"/>
        </w:rPr>
        <w:t>eby vody 35 m</w:t>
      </w:r>
      <w:r w:rsidRPr="003E5A7A">
        <w:rPr>
          <w:rFonts w:cs="Arial"/>
          <w:vertAlign w:val="superscript"/>
        </w:rPr>
        <w:t>3</w:t>
      </w:r>
      <w:r w:rsidRPr="003E5A7A">
        <w:rPr>
          <w:rFonts w:cs="Arial"/>
        </w:rPr>
        <w:t xml:space="preserve"> na osobu tak p</w:t>
      </w:r>
      <w:r w:rsidRPr="00F65550">
        <w:rPr>
          <w:rFonts w:cs="Arial"/>
        </w:rPr>
        <w:t>ř</w:t>
      </w:r>
      <w:r w:rsidRPr="003E5A7A">
        <w:rPr>
          <w:rFonts w:cs="Arial"/>
        </w:rPr>
        <w:t>ipadá 17,5 m</w:t>
      </w:r>
      <w:r w:rsidRPr="003E5A7A">
        <w:rPr>
          <w:rFonts w:cs="Arial"/>
          <w:vertAlign w:val="superscript"/>
        </w:rPr>
        <w:t>3</w:t>
      </w:r>
      <w:r w:rsidRPr="003E5A7A">
        <w:rPr>
          <w:rFonts w:cs="Arial"/>
        </w:rPr>
        <w:t xml:space="preserve"> spot</w:t>
      </w:r>
      <w:r w:rsidRPr="00F65550">
        <w:rPr>
          <w:rFonts w:cs="Arial"/>
        </w:rPr>
        <w:t>ř</w:t>
      </w:r>
      <w:r w:rsidRPr="003E5A7A">
        <w:rPr>
          <w:rFonts w:cs="Arial"/>
        </w:rPr>
        <w:t>eby na studenou vodu a 17,5 m</w:t>
      </w:r>
      <w:r w:rsidRPr="003E5A7A">
        <w:rPr>
          <w:rFonts w:cs="Arial"/>
          <w:vertAlign w:val="superscript"/>
        </w:rPr>
        <w:t>3</w:t>
      </w:r>
      <w:r w:rsidRPr="003E5A7A">
        <w:rPr>
          <w:rFonts w:cs="Arial"/>
        </w:rPr>
        <w:t xml:space="preserve"> na spot</w:t>
      </w:r>
      <w:r w:rsidRPr="00F65550">
        <w:rPr>
          <w:rFonts w:cs="Arial"/>
        </w:rPr>
        <w:t>ř</w:t>
      </w:r>
      <w:r w:rsidRPr="003E5A7A">
        <w:rPr>
          <w:rFonts w:cs="Arial"/>
        </w:rPr>
        <w:t>ebu teplé vody.</w:t>
      </w:r>
    </w:p>
    <w:p w:rsidR="006D5A1E" w:rsidRPr="000837F7" w:rsidRDefault="006D5A1E" w:rsidP="006D5A1E">
      <w:pPr>
        <w:rPr>
          <w:rFonts w:cs="Arial"/>
        </w:rPr>
      </w:pPr>
    </w:p>
    <w:p w:rsidR="006D5A1E" w:rsidRPr="003E5A7A" w:rsidRDefault="006D5A1E" w:rsidP="006D5A1E">
      <w:pPr>
        <w:rPr>
          <w:rFonts w:cs="Arial"/>
          <w:lang w:eastAsia="cs-CZ"/>
        </w:rPr>
      </w:pPr>
      <w:r w:rsidRPr="00A5157C">
        <w:rPr>
          <w:rFonts w:cs="Arial"/>
        </w:rPr>
        <w:t>Koeficient spotřeby tepla je stan</w:t>
      </w:r>
      <w:r w:rsidRPr="009E379C">
        <w:rPr>
          <w:rFonts w:cs="Arial"/>
        </w:rPr>
        <w:t>ov</w:t>
      </w:r>
      <w:r>
        <w:rPr>
          <w:rFonts w:cs="Arial"/>
        </w:rPr>
        <w:t>en konstantou 0,295. Jedná se o</w:t>
      </w:r>
      <w:r w:rsidRPr="009E379C">
        <w:rPr>
          <w:rFonts w:cs="Arial"/>
        </w:rPr>
        <w:t xml:space="preserve"> koeficient výpoč</w:t>
      </w:r>
      <w:r w:rsidRPr="003E5A7A">
        <w:rPr>
          <w:rFonts w:cs="Arial"/>
        </w:rPr>
        <w:t>tu pot</w:t>
      </w:r>
      <w:r w:rsidRPr="00F65550">
        <w:rPr>
          <w:rFonts w:cs="Arial"/>
        </w:rPr>
        <w:t>ř</w:t>
      </w:r>
      <w:r w:rsidRPr="003E5A7A">
        <w:rPr>
          <w:rFonts w:cs="Arial"/>
        </w:rPr>
        <w:t>eby tepla v GJ na ohřátí 1 m</w:t>
      </w:r>
      <w:r w:rsidRPr="003E5A7A">
        <w:rPr>
          <w:rFonts w:cs="Arial"/>
          <w:vertAlign w:val="superscript"/>
        </w:rPr>
        <w:t xml:space="preserve">3 </w:t>
      </w:r>
      <w:r w:rsidRPr="003E5A7A">
        <w:rPr>
          <w:rFonts w:cs="Arial"/>
        </w:rPr>
        <w:t>vody p</w:t>
      </w:r>
      <w:r w:rsidRPr="00F65550">
        <w:rPr>
          <w:rFonts w:cs="Arial"/>
        </w:rPr>
        <w:t>ř</w:t>
      </w:r>
      <w:r w:rsidRPr="003E5A7A">
        <w:rPr>
          <w:rFonts w:cs="Arial"/>
        </w:rPr>
        <w:t>i uvažované ú</w:t>
      </w:r>
      <w:r w:rsidRPr="00F65550">
        <w:rPr>
          <w:rFonts w:cs="Arial"/>
        </w:rPr>
        <w:t>č</w:t>
      </w:r>
      <w:r>
        <w:rPr>
          <w:rFonts w:cs="Arial"/>
        </w:rPr>
        <w:t xml:space="preserve">innosti soustavy 63 %, tzn., </w:t>
      </w:r>
      <w:r w:rsidRPr="003E5A7A">
        <w:rPr>
          <w:rFonts w:cs="Arial"/>
        </w:rPr>
        <w:t>vyjad</w:t>
      </w:r>
      <w:r w:rsidRPr="00F65550">
        <w:rPr>
          <w:rFonts w:cs="Arial"/>
        </w:rPr>
        <w:t>ř</w:t>
      </w:r>
      <w:r w:rsidRPr="003E5A7A">
        <w:rPr>
          <w:rFonts w:cs="Arial"/>
        </w:rPr>
        <w:t>uje zapo</w:t>
      </w:r>
      <w:r w:rsidRPr="00F65550">
        <w:rPr>
          <w:rFonts w:cs="Arial"/>
        </w:rPr>
        <w:t>č</w:t>
      </w:r>
      <w:r w:rsidRPr="003E5A7A">
        <w:rPr>
          <w:rFonts w:cs="Arial"/>
        </w:rPr>
        <w:t>ítání ztrát tepla, za které neodpovídá kone</w:t>
      </w:r>
      <w:r w:rsidRPr="00F65550">
        <w:rPr>
          <w:rFonts w:cs="Arial"/>
        </w:rPr>
        <w:t>č</w:t>
      </w:r>
      <w:r w:rsidRPr="003E5A7A">
        <w:rPr>
          <w:rFonts w:cs="Arial"/>
        </w:rPr>
        <w:t>ný uživatel.</w:t>
      </w:r>
    </w:p>
    <w:p w:rsidR="006D5A1E" w:rsidRDefault="006D5A1E" w:rsidP="006D5A1E">
      <w:pPr>
        <w:rPr>
          <w:lang w:eastAsia="cs-CZ"/>
        </w:rPr>
      </w:pPr>
    </w:p>
    <w:p w:rsidR="006D5A1E" w:rsidRDefault="006D5A1E" w:rsidP="006D5A1E">
      <w:r>
        <w:rPr>
          <w:lang w:eastAsia="cs-CZ"/>
        </w:rPr>
        <w:t xml:space="preserve">Nezbytná spotřeba energie na ohřev teplé vody dálkovým teplem se </w:t>
      </w:r>
      <w:r>
        <w:t xml:space="preserve">započte v poměrné výši, v jaké je dálkové teplo na ohřev teplé vody používáno (procento použití </w:t>
      </w:r>
      <w:r w:rsidR="004D2F33">
        <w:t xml:space="preserve">dálkového tepla k ohřevu vody) - </w:t>
      </w:r>
      <w:r>
        <w:t>zjišťuje se z formuláře „Informace o uží</w:t>
      </w:r>
      <w:r w:rsidR="004D2F33">
        <w:t>vaném bytu (obývaném prostoru)“</w:t>
      </w:r>
      <w:r>
        <w:t>.</w:t>
      </w:r>
    </w:p>
    <w:p w:rsidR="00F853E6" w:rsidRDefault="00F853E6" w:rsidP="000F7F4F"/>
    <w:p w:rsidR="00F853E6" w:rsidRPr="00F853E6" w:rsidRDefault="00F853E6" w:rsidP="00F853E6">
      <w:pPr>
        <w:pBdr>
          <w:top w:val="single" w:sz="4" w:space="1" w:color="auto"/>
          <w:left w:val="single" w:sz="4" w:space="4" w:color="auto"/>
          <w:bottom w:val="single" w:sz="4" w:space="1" w:color="auto"/>
          <w:right w:val="single" w:sz="4" w:space="4" w:color="auto"/>
        </w:pBdr>
        <w:jc w:val="center"/>
        <w:rPr>
          <w:b/>
        </w:rPr>
      </w:pPr>
      <w:r w:rsidRPr="00F853E6">
        <w:rPr>
          <w:b/>
        </w:rPr>
        <w:t>V odůvodnění oznámení/rozhodnutí se uvádí následující vzorec:</w:t>
      </w:r>
    </w:p>
    <w:p w:rsidR="00F853E6" w:rsidRPr="00F853E6" w:rsidRDefault="00F853E6" w:rsidP="00F853E6">
      <w:pPr>
        <w:pBdr>
          <w:top w:val="single" w:sz="4" w:space="1" w:color="auto"/>
          <w:left w:val="single" w:sz="4" w:space="4" w:color="auto"/>
          <w:bottom w:val="single" w:sz="4" w:space="1" w:color="auto"/>
          <w:right w:val="single" w:sz="4" w:space="4" w:color="auto"/>
        </w:pBdr>
        <w:jc w:val="center"/>
        <w:rPr>
          <w:rFonts w:cs="Arial"/>
        </w:rPr>
      </w:pPr>
      <w:r w:rsidRPr="00F853E6">
        <w:rPr>
          <w:rFonts w:eastAsia="Times New Roman" w:cs="Arial"/>
          <w:szCs w:val="24"/>
          <w:lang w:eastAsia="cs-CZ"/>
        </w:rPr>
        <w:t>průměrná roční spotřeba teplé vody * počet všech osob * koeficient výpočtu spotřeby tepla * průměrná cena DT za rok / 12 * procento použití DT na ohřev TUV / 100</w:t>
      </w:r>
    </w:p>
    <w:p w:rsidR="00433C54" w:rsidRDefault="00433C54" w:rsidP="000F7F4F"/>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b/>
          <w:i/>
          <w:lang w:eastAsia="cs-CZ"/>
        </w:rPr>
      </w:pPr>
      <w:r w:rsidRPr="00433C54">
        <w:rPr>
          <w:b/>
          <w:i/>
          <w:lang w:eastAsia="cs-CZ"/>
        </w:rPr>
        <w:t>Příklad:</w:t>
      </w:r>
    </w:p>
    <w:p w:rsid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433C54">
        <w:rPr>
          <w:i/>
          <w:lang w:eastAsia="cs-CZ"/>
        </w:rPr>
        <w:t xml:space="preserve">Čtyři společně posuzované osoby žijící v nájemní formě bydlení. Žadatelem o dávku jsou sděleny informace, že záloha za energii na ohřev teplé vody činí 900 Kč měsíčně, teplá voda je ohřívána výhradně za užití energie dálkového tepla. </w:t>
      </w:r>
      <w:r w:rsidR="00166F22">
        <w:rPr>
          <w:i/>
          <w:lang w:eastAsia="cs-CZ"/>
        </w:rPr>
        <w:t xml:space="preserve">Je známa informace (součástí aplikačního programu), </w:t>
      </w:r>
      <w:r w:rsidRPr="00433C54">
        <w:rPr>
          <w:i/>
          <w:lang w:eastAsia="cs-CZ"/>
        </w:rPr>
        <w:t>že cena tepelné energie na ohřev vody v místě obvyklá je 560 Kč/GJ/rok, průměrná roční spotřeba teplé vody je 17,5m</w:t>
      </w:r>
      <w:r w:rsidRPr="00433C54">
        <w:rPr>
          <w:i/>
          <w:vertAlign w:val="superscript"/>
          <w:lang w:eastAsia="cs-CZ"/>
        </w:rPr>
        <w:t>3</w:t>
      </w:r>
      <w:r w:rsidRPr="00433C54">
        <w:rPr>
          <w:i/>
          <w:lang w:eastAsia="cs-CZ"/>
        </w:rPr>
        <w:t xml:space="preserve"> na osobu, koeficient výpočtu spotřeby tepla je 0,295. </w:t>
      </w:r>
    </w:p>
    <w:p w:rsidR="006D5A1E" w:rsidRPr="00433C54" w:rsidRDefault="006D5A1E" w:rsidP="00433C54">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b/>
          <w:i/>
          <w:szCs w:val="24"/>
        </w:rPr>
      </w:pP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eastAsia="Times New Roman" w:cs="Arial"/>
          <w:i/>
          <w:szCs w:val="24"/>
          <w:lang w:eastAsia="cs-CZ"/>
        </w:rPr>
      </w:pPr>
      <w:r w:rsidRPr="00433C54">
        <w:rPr>
          <w:rFonts w:eastAsia="Times New Roman" w:cs="Arial"/>
          <w:i/>
          <w:szCs w:val="24"/>
          <w:lang w:eastAsia="cs-CZ"/>
        </w:rPr>
        <w:t>Náklady na ohřev TUV dálkovým teplem v místě obvyklé =</w:t>
      </w:r>
      <w:r>
        <w:rPr>
          <w:rFonts w:eastAsia="Times New Roman" w:cs="Arial"/>
          <w:i/>
          <w:szCs w:val="24"/>
          <w:lang w:eastAsia="cs-CZ"/>
        </w:rPr>
        <w:t xml:space="preserve"> </w:t>
      </w:r>
      <w:r w:rsidRPr="00433C54">
        <w:rPr>
          <w:rFonts w:eastAsia="Times New Roman" w:cs="Arial"/>
          <w:i/>
          <w:szCs w:val="24"/>
          <w:lang w:eastAsia="cs-CZ"/>
        </w:rPr>
        <w:t>průměrná roční spotřeba teplé vody * počet všech osob * koeficient výpočtu spotřeby tepla * průměrná cena DT za rok / 12 * procento použití DT na ohřev TUV / 100 =</w:t>
      </w:r>
      <w:r>
        <w:rPr>
          <w:rFonts w:eastAsia="Times New Roman" w:cs="Arial"/>
          <w:i/>
          <w:szCs w:val="24"/>
          <w:lang w:eastAsia="cs-CZ"/>
        </w:rPr>
        <w:t xml:space="preserve"> </w:t>
      </w:r>
      <w:r w:rsidRPr="00433C54">
        <w:rPr>
          <w:rFonts w:eastAsia="Times New Roman" w:cs="Arial"/>
          <w:i/>
          <w:szCs w:val="24"/>
          <w:lang w:eastAsia="cs-CZ"/>
        </w:rPr>
        <w:t xml:space="preserve"> 17.5 * 4 * 0.295 * (560/12) * (100/100) = </w:t>
      </w:r>
      <w:r w:rsidRPr="00433C54">
        <w:rPr>
          <w:rFonts w:eastAsia="Times New Roman" w:cs="Arial"/>
          <w:bCs/>
          <w:i/>
          <w:szCs w:val="24"/>
          <w:lang w:eastAsia="cs-CZ"/>
        </w:rPr>
        <w:t>963,67 Kč</w:t>
      </w:r>
      <w:r w:rsidRPr="00433C54">
        <w:rPr>
          <w:rFonts w:eastAsia="Times New Roman" w:cs="Arial"/>
          <w:i/>
          <w:szCs w:val="24"/>
          <w:lang w:eastAsia="cs-CZ"/>
        </w:rPr>
        <w:t xml:space="preserve"> </w:t>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33C54">
        <w:rPr>
          <w:rFonts w:cs="Arial"/>
          <w:b/>
          <w:i/>
          <w:szCs w:val="24"/>
        </w:rPr>
        <w:t>Stanovená záloha za dálkové teplo užité k ohřevu teplé vody činí 900 Kč měsíčně,</w:t>
      </w:r>
      <w:r w:rsidRPr="00433C54">
        <w:rPr>
          <w:rFonts w:cs="Arial"/>
          <w:i/>
          <w:szCs w:val="24"/>
        </w:rPr>
        <w:t xml:space="preserve"> </w:t>
      </w:r>
      <w:r w:rsidRPr="00433C54">
        <w:rPr>
          <w:rFonts w:eastAsia="Times New Roman" w:cs="Arial"/>
          <w:b/>
          <w:bCs/>
          <w:i/>
          <w:szCs w:val="24"/>
          <w:lang w:eastAsia="cs-CZ"/>
        </w:rPr>
        <w:t>náklady v místě obvyklé jsou stanoveny ve výši 963,67 Kč měsíčně</w:t>
      </w:r>
      <w:r>
        <w:rPr>
          <w:rFonts w:eastAsia="Times New Roman" w:cs="Arial"/>
          <w:b/>
          <w:bCs/>
          <w:i/>
          <w:szCs w:val="24"/>
          <w:lang w:eastAsia="cs-CZ"/>
        </w:rPr>
        <w:t>.</w:t>
      </w:r>
    </w:p>
    <w:p w:rsidR="001F0443" w:rsidRDefault="001F0443" w:rsidP="001F0443">
      <w:pPr>
        <w:rPr>
          <w:lang w:eastAsia="cs-CZ"/>
        </w:rPr>
      </w:pPr>
    </w:p>
    <w:p w:rsidR="006D5A1E" w:rsidRPr="00F65550" w:rsidRDefault="006D5A1E" w:rsidP="006D5A1E">
      <w:pPr>
        <w:rPr>
          <w:lang w:eastAsia="cs-CZ"/>
        </w:rPr>
      </w:pPr>
      <w:r>
        <w:rPr>
          <w:lang w:eastAsia="cs-CZ"/>
        </w:rPr>
        <w:t xml:space="preserve">V praxi nastávají situace, kdy osoba, u níž dochází k ohřevu vody na vodu teplou dálkovým teplem, je povinna, dle rozpisu služeb, hradit zálohy na teplou vodu (bez rozdělení částek na vodu potřebnou k ohřevu a na energii k ohřevu teplé vody). V těchto situacích se postupuje tak, že záloha na teplou vodu je v poměru 35:65 rozdělena do zálohy na vodné a stočné a do zálohy za energii na ohřev vody na vodu teplou. Přístup rozdělení 35:65 byl zvolen z důvodu, že cena teplé vody je cca z 35% </w:t>
      </w:r>
      <w:r>
        <w:rPr>
          <w:lang w:eastAsia="cs-CZ"/>
        </w:rPr>
        <w:lastRenderedPageBreak/>
        <w:t>složena z ceny za vodu k ohřevu a cca z 65% z ceny energie potřebné pro ohřev teplé vody</w:t>
      </w:r>
      <w:r w:rsidR="00CB4599">
        <w:rPr>
          <w:rStyle w:val="Znakapoznpodarou"/>
          <w:lang w:eastAsia="cs-CZ"/>
        </w:rPr>
        <w:footnoteReference w:id="17"/>
      </w:r>
      <w:r>
        <w:rPr>
          <w:lang w:eastAsia="cs-CZ"/>
        </w:rPr>
        <w:t xml:space="preserve">. </w:t>
      </w:r>
    </w:p>
    <w:p w:rsidR="00F853E6" w:rsidRDefault="00F853E6" w:rsidP="001F0443">
      <w:pPr>
        <w:rPr>
          <w:lang w:eastAsia="cs-CZ"/>
        </w:rPr>
      </w:pP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b/>
          <w:i/>
          <w:lang w:eastAsia="cs-CZ"/>
        </w:rPr>
      </w:pPr>
      <w:r w:rsidRPr="00433C54">
        <w:rPr>
          <w:b/>
          <w:i/>
          <w:lang w:eastAsia="cs-CZ"/>
        </w:rPr>
        <w:t>Příklad:</w:t>
      </w:r>
    </w:p>
    <w:p w:rsid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433C54">
        <w:rPr>
          <w:i/>
          <w:lang w:eastAsia="cs-CZ"/>
        </w:rPr>
        <w:t xml:space="preserve">Tři společně posuzované osoby žijící v nájemní formě bydlení. Žadatelem o dávku jsou sděleny informace, že záloha na teplou vodu činí 800 Kč měsíčně, teplá voda je ohřívána výhradně za užití energie dálkového tepla. </w:t>
      </w:r>
      <w:r w:rsidR="00644B8D">
        <w:rPr>
          <w:i/>
          <w:lang w:eastAsia="cs-CZ"/>
        </w:rPr>
        <w:t>Je známa informace (součástí aplikačního programu)</w:t>
      </w:r>
      <w:r w:rsidRPr="00433C54">
        <w:rPr>
          <w:i/>
          <w:lang w:eastAsia="cs-CZ"/>
        </w:rPr>
        <w:t>, že cena tepelné energie na ohřev vody v místě obvyklá je 560 Kč/GJ/rok, průměrná roční spotřeba teplé vody je 17,5m</w:t>
      </w:r>
      <w:r w:rsidRPr="00433C54">
        <w:rPr>
          <w:i/>
          <w:vertAlign w:val="superscript"/>
          <w:lang w:eastAsia="cs-CZ"/>
        </w:rPr>
        <w:t>3</w:t>
      </w:r>
      <w:r w:rsidRPr="00433C54">
        <w:rPr>
          <w:i/>
          <w:lang w:eastAsia="cs-CZ"/>
        </w:rPr>
        <w:t xml:space="preserve"> na osobu, koeficient výpočtu spotřeby tepla je 0,295. </w:t>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p>
    <w:p w:rsid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433C54">
        <w:rPr>
          <w:i/>
          <w:lang w:eastAsia="cs-CZ"/>
        </w:rPr>
        <w:t xml:space="preserve">Záloha za teplou vodu je ze strany orgánu pomoci v hmotné nouzi zadána ve výši 800 Kč měsíčně. </w:t>
      </w:r>
      <w:r w:rsidR="00644B8D">
        <w:rPr>
          <w:i/>
          <w:lang w:eastAsia="cs-CZ"/>
        </w:rPr>
        <w:t>Z</w:t>
      </w:r>
      <w:r w:rsidRPr="00433C54">
        <w:rPr>
          <w:i/>
          <w:lang w:eastAsia="cs-CZ"/>
        </w:rPr>
        <w:t xml:space="preserve">a užití algoritmu 35:65 </w:t>
      </w:r>
      <w:r w:rsidR="00644B8D">
        <w:rPr>
          <w:i/>
          <w:lang w:eastAsia="cs-CZ"/>
        </w:rPr>
        <w:t xml:space="preserve">se </w:t>
      </w:r>
      <w:r w:rsidRPr="00433C54">
        <w:rPr>
          <w:i/>
          <w:lang w:eastAsia="cs-CZ"/>
        </w:rPr>
        <w:t>záloh</w:t>
      </w:r>
      <w:r w:rsidR="00644B8D">
        <w:rPr>
          <w:i/>
          <w:lang w:eastAsia="cs-CZ"/>
        </w:rPr>
        <w:t>a</w:t>
      </w:r>
      <w:r w:rsidRPr="00433C54">
        <w:rPr>
          <w:i/>
          <w:lang w:eastAsia="cs-CZ"/>
        </w:rPr>
        <w:t xml:space="preserve"> za energii pro ohřev teplé vody započítává z 65%, tedy výši 520 Kč. </w:t>
      </w:r>
      <w:r w:rsidR="006D5A1E">
        <w:rPr>
          <w:i/>
          <w:lang w:eastAsia="cs-CZ"/>
        </w:rPr>
        <w:t>Součet zohledňovaných záloh</w:t>
      </w:r>
      <w:r w:rsidRPr="00433C54">
        <w:rPr>
          <w:i/>
          <w:lang w:eastAsia="cs-CZ"/>
        </w:rPr>
        <w:t xml:space="preserve"> za tepelnou energii pro ohřev vody je 800 Kč - 280 Kč = 520 Kč.</w:t>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rFonts w:cs="Arial"/>
          <w:b/>
          <w:i/>
          <w:szCs w:val="24"/>
        </w:rPr>
      </w:pP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cs="Arial"/>
          <w:i/>
          <w:lang w:eastAsia="cs-CZ"/>
        </w:rPr>
      </w:pPr>
      <w:r w:rsidRPr="00433C54">
        <w:rPr>
          <w:rFonts w:eastAsia="Times New Roman" w:cs="Arial"/>
          <w:i/>
          <w:szCs w:val="24"/>
          <w:lang w:eastAsia="cs-CZ"/>
        </w:rPr>
        <w:t>Náklady na ohřev TUV dálkovým teplem v místě obvyklé =</w:t>
      </w:r>
      <w:r>
        <w:rPr>
          <w:rFonts w:eastAsia="Times New Roman" w:cs="Arial"/>
          <w:i/>
          <w:szCs w:val="24"/>
          <w:lang w:eastAsia="cs-CZ"/>
        </w:rPr>
        <w:t xml:space="preserve"> </w:t>
      </w:r>
      <w:r w:rsidRPr="00433C54">
        <w:rPr>
          <w:rFonts w:eastAsia="Times New Roman" w:cs="Arial"/>
          <w:i/>
          <w:szCs w:val="24"/>
          <w:lang w:eastAsia="cs-CZ"/>
        </w:rPr>
        <w:t>průměrná roční spotřeba teplé vody * počet všech osob * koeficient výpočtu spotřeby tepla * průměrná cena DT za rok / 12 * procento použití DT na ohřev TUV / 100 =</w:t>
      </w:r>
      <w:r>
        <w:rPr>
          <w:rFonts w:eastAsia="Times New Roman" w:cs="Arial"/>
          <w:i/>
          <w:szCs w:val="24"/>
          <w:lang w:eastAsia="cs-CZ"/>
        </w:rPr>
        <w:t xml:space="preserve"> </w:t>
      </w:r>
      <w:r w:rsidRPr="00433C54">
        <w:rPr>
          <w:rFonts w:eastAsia="Times New Roman" w:cs="Arial"/>
          <w:i/>
          <w:szCs w:val="24"/>
          <w:lang w:eastAsia="cs-CZ"/>
        </w:rPr>
        <w:t xml:space="preserve">  17.5 * 3 * 0.295 * (560/12) * (100/100) = </w:t>
      </w:r>
      <w:r w:rsidRPr="00433C54">
        <w:rPr>
          <w:rFonts w:eastAsia="Times New Roman" w:cs="Arial"/>
          <w:bCs/>
          <w:i/>
          <w:szCs w:val="24"/>
          <w:lang w:eastAsia="cs-CZ"/>
        </w:rPr>
        <w:t>722,75 Kč</w:t>
      </w:r>
      <w:r w:rsidR="00C81862">
        <w:rPr>
          <w:rFonts w:eastAsia="Times New Roman" w:cs="Arial"/>
          <w:bCs/>
          <w:i/>
          <w:szCs w:val="24"/>
          <w:lang w:eastAsia="cs-CZ"/>
        </w:rPr>
        <w:t>.</w:t>
      </w:r>
      <w:r w:rsidRPr="00433C54">
        <w:rPr>
          <w:rFonts w:eastAsia="Times New Roman" w:cs="Arial"/>
          <w:i/>
          <w:szCs w:val="24"/>
          <w:lang w:eastAsia="cs-CZ"/>
        </w:rPr>
        <w:br/>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rFonts w:eastAsia="Times New Roman" w:cs="Arial"/>
          <w:b/>
          <w:bCs/>
          <w:i/>
          <w:szCs w:val="24"/>
          <w:lang w:eastAsia="cs-CZ"/>
        </w:rPr>
      </w:pPr>
      <w:r w:rsidRPr="00433C54">
        <w:rPr>
          <w:rFonts w:cs="Arial"/>
          <w:b/>
          <w:i/>
          <w:szCs w:val="24"/>
        </w:rPr>
        <w:t>Stanovená záloha za dálkové teplo užité k ohřevu teplé vody činí 520 Kč měsíčně,</w:t>
      </w:r>
      <w:r w:rsidRPr="00433C54">
        <w:rPr>
          <w:rFonts w:cs="Arial"/>
          <w:i/>
          <w:szCs w:val="24"/>
        </w:rPr>
        <w:t xml:space="preserve"> </w:t>
      </w:r>
      <w:r w:rsidRPr="00433C54">
        <w:rPr>
          <w:rFonts w:eastAsia="Times New Roman" w:cs="Arial"/>
          <w:b/>
          <w:bCs/>
          <w:i/>
          <w:szCs w:val="24"/>
          <w:lang w:eastAsia="cs-CZ"/>
        </w:rPr>
        <w:t>náklady v místě obv</w:t>
      </w:r>
      <w:r w:rsidR="00C81862">
        <w:rPr>
          <w:rFonts w:eastAsia="Times New Roman" w:cs="Arial"/>
          <w:b/>
          <w:bCs/>
          <w:i/>
          <w:szCs w:val="24"/>
          <w:lang w:eastAsia="cs-CZ"/>
        </w:rPr>
        <w:t>yklé jsou stanoveny ve výši 722,</w:t>
      </w:r>
      <w:r w:rsidRPr="00433C54">
        <w:rPr>
          <w:rFonts w:eastAsia="Times New Roman" w:cs="Arial"/>
          <w:b/>
          <w:bCs/>
          <w:i/>
          <w:szCs w:val="24"/>
          <w:lang w:eastAsia="cs-CZ"/>
        </w:rPr>
        <w:t>75 Kč měsíčně.</w:t>
      </w:r>
    </w:p>
    <w:p w:rsidR="00433C54" w:rsidRDefault="00433C54" w:rsidP="00433C54">
      <w:pPr>
        <w:rPr>
          <w:lang w:eastAsia="cs-CZ"/>
        </w:rPr>
      </w:pPr>
    </w:p>
    <w:p w:rsidR="001F0443" w:rsidRDefault="001F0443" w:rsidP="005D327C">
      <w:pPr>
        <w:pStyle w:val="Nadpis4"/>
        <w:rPr>
          <w:lang w:eastAsia="cs-CZ"/>
        </w:rPr>
      </w:pPr>
      <w:bookmarkStart w:id="12" w:name="_Toc531857531"/>
      <w:bookmarkStart w:id="13" w:name="_Toc25833342"/>
      <w:r>
        <w:rPr>
          <w:lang w:eastAsia="cs-CZ"/>
        </w:rPr>
        <w:t>4</w:t>
      </w:r>
      <w:r w:rsidR="00893312">
        <w:rPr>
          <w:lang w:eastAsia="cs-CZ"/>
        </w:rPr>
        <w:t>.</w:t>
      </w:r>
      <w:r>
        <w:rPr>
          <w:lang w:eastAsia="cs-CZ"/>
        </w:rPr>
        <w:t xml:space="preserve"> Započítané náklady na ostatní služby</w:t>
      </w:r>
      <w:bookmarkEnd w:id="12"/>
      <w:bookmarkEnd w:id="13"/>
    </w:p>
    <w:p w:rsidR="00D64F0F" w:rsidRDefault="00D64F0F" w:rsidP="00D64F0F">
      <w:pPr>
        <w:rPr>
          <w:rFonts w:cs="Arial"/>
          <w:color w:val="000000"/>
          <w:szCs w:val="24"/>
        </w:rPr>
      </w:pPr>
      <w:r>
        <w:rPr>
          <w:rFonts w:cs="Arial"/>
          <w:color w:val="000000"/>
          <w:szCs w:val="24"/>
        </w:rPr>
        <w:t>Dle ustanovení § 34 ZPHN jsou ú</w:t>
      </w:r>
      <w:r w:rsidR="00D84100">
        <w:rPr>
          <w:rFonts w:cs="Arial"/>
          <w:color w:val="000000"/>
          <w:szCs w:val="24"/>
        </w:rPr>
        <w:t>hradami za tzv. ostatní služby</w:t>
      </w:r>
      <w:r w:rsidR="00D84100">
        <w:rPr>
          <w:rStyle w:val="Znakapoznpodarou"/>
          <w:rFonts w:cs="Arial"/>
          <w:color w:val="000000"/>
          <w:szCs w:val="24"/>
        </w:rPr>
        <w:footnoteReference w:id="18"/>
      </w:r>
      <w:r w:rsidR="00D84100">
        <w:rPr>
          <w:rFonts w:cs="Arial"/>
          <w:color w:val="000000"/>
          <w:szCs w:val="24"/>
        </w:rPr>
        <w:t xml:space="preserve"> </w:t>
      </w:r>
      <w:r>
        <w:rPr>
          <w:rFonts w:cs="Arial"/>
          <w:color w:val="000000"/>
          <w:szCs w:val="24"/>
        </w:rPr>
        <w:t>považovány úhrady za:</w:t>
      </w:r>
    </w:p>
    <w:p w:rsidR="00D64F0F" w:rsidRPr="00D64F0F" w:rsidRDefault="00D64F0F" w:rsidP="00E7491B">
      <w:pPr>
        <w:pStyle w:val="Odstavecseseznamem"/>
        <w:numPr>
          <w:ilvl w:val="0"/>
          <w:numId w:val="12"/>
        </w:numPr>
        <w:rPr>
          <w:lang w:eastAsia="cs-CZ"/>
        </w:rPr>
      </w:pPr>
      <w:r w:rsidRPr="00D64F0F">
        <w:rPr>
          <w:rFonts w:cs="Arial"/>
          <w:color w:val="000000"/>
          <w:szCs w:val="24"/>
        </w:rPr>
        <w:t>úklid společných prostor v</w:t>
      </w:r>
      <w:r w:rsidR="003352BF">
        <w:rPr>
          <w:rFonts w:cs="Arial"/>
          <w:color w:val="000000"/>
          <w:szCs w:val="24"/>
        </w:rPr>
        <w:t> </w:t>
      </w:r>
      <w:r w:rsidRPr="00D64F0F">
        <w:rPr>
          <w:rFonts w:cs="Arial"/>
          <w:color w:val="000000"/>
          <w:szCs w:val="24"/>
        </w:rPr>
        <w:t>domě</w:t>
      </w:r>
      <w:r w:rsidR="003352BF">
        <w:rPr>
          <w:rFonts w:cs="Arial"/>
          <w:color w:val="000000"/>
          <w:szCs w:val="24"/>
        </w:rPr>
        <w:t>;</w:t>
      </w:r>
    </w:p>
    <w:p w:rsidR="00D64F0F" w:rsidRPr="00D64F0F" w:rsidRDefault="00D64F0F" w:rsidP="00E7491B">
      <w:pPr>
        <w:pStyle w:val="Odstavecseseznamem"/>
        <w:numPr>
          <w:ilvl w:val="0"/>
          <w:numId w:val="12"/>
        </w:numPr>
        <w:rPr>
          <w:lang w:eastAsia="cs-CZ"/>
        </w:rPr>
      </w:pPr>
      <w:r w:rsidRPr="00D64F0F">
        <w:rPr>
          <w:rFonts w:cs="Arial"/>
          <w:color w:val="000000"/>
          <w:szCs w:val="24"/>
        </w:rPr>
        <w:t>užívání výtahu</w:t>
      </w:r>
      <w:r w:rsidR="003352BF">
        <w:rPr>
          <w:rFonts w:cs="Arial"/>
          <w:color w:val="000000"/>
          <w:szCs w:val="24"/>
        </w:rPr>
        <w:t>;</w:t>
      </w:r>
    </w:p>
    <w:p w:rsidR="00D64F0F" w:rsidRPr="00D64F0F" w:rsidRDefault="00D64F0F" w:rsidP="00E7491B">
      <w:pPr>
        <w:pStyle w:val="Odstavecseseznamem"/>
        <w:numPr>
          <w:ilvl w:val="0"/>
          <w:numId w:val="12"/>
        </w:numPr>
        <w:rPr>
          <w:lang w:eastAsia="cs-CZ"/>
        </w:rPr>
      </w:pPr>
      <w:r w:rsidRPr="00D64F0F">
        <w:rPr>
          <w:rFonts w:cs="Arial"/>
          <w:color w:val="000000"/>
          <w:szCs w:val="24"/>
        </w:rPr>
        <w:t>osvětlení společných prostor v</w:t>
      </w:r>
      <w:r w:rsidR="003352BF">
        <w:rPr>
          <w:rFonts w:cs="Arial"/>
          <w:color w:val="000000"/>
          <w:szCs w:val="24"/>
        </w:rPr>
        <w:t> </w:t>
      </w:r>
      <w:r w:rsidRPr="00D64F0F">
        <w:rPr>
          <w:rFonts w:cs="Arial"/>
          <w:color w:val="000000"/>
          <w:szCs w:val="24"/>
        </w:rPr>
        <w:t>domě</w:t>
      </w:r>
      <w:r w:rsidR="003352BF">
        <w:rPr>
          <w:rFonts w:cs="Arial"/>
          <w:color w:val="000000"/>
          <w:szCs w:val="24"/>
        </w:rPr>
        <w:t>;</w:t>
      </w:r>
    </w:p>
    <w:p w:rsidR="00D64F0F" w:rsidRPr="00D64F0F" w:rsidRDefault="00D64F0F" w:rsidP="00E7491B">
      <w:pPr>
        <w:pStyle w:val="Odstavecseseznamem"/>
        <w:numPr>
          <w:ilvl w:val="0"/>
          <w:numId w:val="12"/>
        </w:numPr>
        <w:rPr>
          <w:lang w:eastAsia="cs-CZ"/>
        </w:rPr>
      </w:pPr>
      <w:r w:rsidRPr="00D64F0F">
        <w:rPr>
          <w:rFonts w:cs="Arial"/>
          <w:color w:val="000000"/>
          <w:szCs w:val="24"/>
        </w:rPr>
        <w:t>odvoz tuhého komunálního odpadu</w:t>
      </w:r>
      <w:r w:rsidR="003352BF">
        <w:rPr>
          <w:rFonts w:cs="Arial"/>
          <w:color w:val="000000"/>
          <w:szCs w:val="24"/>
        </w:rPr>
        <w:t>;</w:t>
      </w:r>
    </w:p>
    <w:p w:rsidR="00D64F0F" w:rsidRPr="00D64F0F" w:rsidRDefault="00D64F0F" w:rsidP="00E7491B">
      <w:pPr>
        <w:pStyle w:val="Odstavecseseznamem"/>
        <w:numPr>
          <w:ilvl w:val="0"/>
          <w:numId w:val="12"/>
        </w:numPr>
        <w:rPr>
          <w:lang w:eastAsia="cs-CZ"/>
        </w:rPr>
      </w:pPr>
      <w:r w:rsidRPr="00D64F0F">
        <w:rPr>
          <w:rFonts w:cs="Arial"/>
          <w:color w:val="000000"/>
          <w:szCs w:val="24"/>
        </w:rPr>
        <w:t>vybavení bytu společnou televizní a rozhlasovou anténou</w:t>
      </w:r>
      <w:r w:rsidR="003352BF">
        <w:rPr>
          <w:rFonts w:cs="Arial"/>
          <w:color w:val="000000"/>
          <w:szCs w:val="24"/>
        </w:rPr>
        <w:t>;</w:t>
      </w:r>
    </w:p>
    <w:p w:rsidR="00D64F0F" w:rsidRPr="00F65550" w:rsidRDefault="00D64F0F" w:rsidP="00E7491B">
      <w:pPr>
        <w:pStyle w:val="Odstavecseseznamem"/>
        <w:numPr>
          <w:ilvl w:val="0"/>
          <w:numId w:val="12"/>
        </w:numPr>
        <w:rPr>
          <w:lang w:eastAsia="cs-CZ"/>
        </w:rPr>
      </w:pPr>
      <w:r>
        <w:rPr>
          <w:rFonts w:cs="Arial"/>
          <w:color w:val="000000"/>
          <w:szCs w:val="24"/>
        </w:rPr>
        <w:t>p</w:t>
      </w:r>
      <w:r w:rsidRPr="00D64F0F">
        <w:rPr>
          <w:rFonts w:cs="Arial"/>
          <w:color w:val="000000"/>
          <w:szCs w:val="24"/>
        </w:rPr>
        <w:t xml:space="preserve">opřípadě další prokazatelné a nezbytné služby související s bydlením.   </w:t>
      </w:r>
    </w:p>
    <w:p w:rsidR="00D64F0F" w:rsidRDefault="00D64F0F" w:rsidP="00D64F0F">
      <w:pPr>
        <w:rPr>
          <w:lang w:eastAsia="cs-CZ"/>
        </w:rPr>
      </w:pPr>
    </w:p>
    <w:p w:rsidR="006D5A1E" w:rsidRDefault="006D5A1E" w:rsidP="006D5A1E">
      <w:pPr>
        <w:rPr>
          <w:lang w:eastAsia="cs-CZ"/>
        </w:rPr>
      </w:pPr>
      <w:r>
        <w:rPr>
          <w:lang w:eastAsia="cs-CZ"/>
        </w:rPr>
        <w:t xml:space="preserve">Mezi ostatními službami jsou služby zúčtovatelné i nezúčtovatelné. U zúčtovatelných ostatních služeb dochází od poskytovatele služeb k provedení vyúčtování za zúčtovací období. Toto vyúčtování se však nezadává do aplikačního programu a nedochází k přepočtu výše dávky tak, jako u služeb vodné a stočné (pokud není hrazeno paušálně), dálkové vytápění a tepelné energie na ohřev teplé vody. </w:t>
      </w:r>
    </w:p>
    <w:p w:rsidR="006D5A1E" w:rsidRPr="004E5AF1" w:rsidRDefault="006D5A1E" w:rsidP="006D5A1E">
      <w:pPr>
        <w:rPr>
          <w:lang w:eastAsia="cs-CZ"/>
        </w:rPr>
      </w:pPr>
      <w:r w:rsidRPr="004E5AF1">
        <w:rPr>
          <w:lang w:eastAsia="cs-CZ"/>
        </w:rPr>
        <w:lastRenderedPageBreak/>
        <w:t xml:space="preserve">Náklady na ostatní služby jsou v ONB zohledňovány ve stanovené výši, max. ve výši v místě obvyklé.  </w:t>
      </w:r>
      <w:r w:rsidRPr="004E5AF1">
        <w:rPr>
          <w:rFonts w:cs="Arial"/>
          <w:szCs w:val="24"/>
        </w:rPr>
        <w:t>Výši v místě obvyklou, pokud je toho zapotřebí, stanovuje ÚP ČR. Pokud výše záloh za ostatní služby nevybočuje z běžné výše záloh za dané služby, není třeba určovat výši v místě obvyklou a v ONB se zohlední předepsaná výše záloh.</w:t>
      </w:r>
    </w:p>
    <w:p w:rsidR="006D5A1E" w:rsidRDefault="006D5A1E" w:rsidP="006D5A1E">
      <w:pPr>
        <w:rPr>
          <w:rFonts w:cs="Arial"/>
          <w:spacing w:val="-1"/>
          <w:szCs w:val="24"/>
        </w:rPr>
      </w:pPr>
      <w:r w:rsidRPr="004E5AF1">
        <w:rPr>
          <w:rFonts w:cs="Arial"/>
          <w:spacing w:val="-1"/>
          <w:szCs w:val="24"/>
        </w:rPr>
        <w:t>Při stanovení výše v místě obvyklé orgán pomoci v hmotné nouzi přihlédne podle potřeby a charakteru služby k velikosti a typu obývané jednotky, počtu osob, které jednotku obývají, typově obdobným formám bydlení a případně k dalším podstatným okolnostem. K tomu je možné využít spisovou dokumentaci ostatních příjemců dávek pomoci v hmotné nouzi nebo příspěvku na bydlení. Některé služby jsou stanoveny např. vyhláškou dané obce (odvoz komunálního odpadu)</w:t>
      </w:r>
      <w:r w:rsidRPr="004E5AF1">
        <w:rPr>
          <w:rStyle w:val="Znakapoznpodarou"/>
          <w:rFonts w:cs="Arial"/>
          <w:spacing w:val="-1"/>
          <w:szCs w:val="24"/>
        </w:rPr>
        <w:footnoteReference w:id="19"/>
      </w:r>
      <w:r w:rsidRPr="004E5AF1">
        <w:rPr>
          <w:rFonts w:cs="Arial"/>
          <w:spacing w:val="-1"/>
          <w:szCs w:val="24"/>
        </w:rPr>
        <w:t>.</w:t>
      </w:r>
    </w:p>
    <w:p w:rsidR="00433C54" w:rsidRDefault="00433C54" w:rsidP="001F0443">
      <w:pPr>
        <w:rPr>
          <w:lang w:eastAsia="cs-CZ"/>
        </w:rPr>
      </w:pP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b/>
          <w:i/>
          <w:lang w:eastAsia="cs-CZ"/>
        </w:rPr>
      </w:pPr>
      <w:r w:rsidRPr="00433C54">
        <w:rPr>
          <w:b/>
          <w:i/>
          <w:lang w:eastAsia="cs-CZ"/>
        </w:rPr>
        <w:t>Příklad:</w:t>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433C54">
        <w:rPr>
          <w:i/>
          <w:lang w:eastAsia="cs-CZ"/>
        </w:rPr>
        <w:t xml:space="preserve">Samostatně posuzovaná osoba žijící v nájemní formě bydlení má sjednané úhrady </w:t>
      </w:r>
      <w:r w:rsidR="008F3774">
        <w:rPr>
          <w:i/>
          <w:lang w:eastAsia="cs-CZ"/>
        </w:rPr>
        <w:br/>
      </w:r>
      <w:r w:rsidRPr="00433C54">
        <w:rPr>
          <w:i/>
          <w:lang w:eastAsia="cs-CZ"/>
        </w:rPr>
        <w:t>za osvětlení společných prostor ve výši 80 Kč měsíčně, za užívání výtahu 50 Kč měsíčně a poplatek za kabelovou televizi ve výši 85 Kč měsíčně.</w:t>
      </w:r>
    </w:p>
    <w:p w:rsid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433C54">
        <w:rPr>
          <w:i/>
          <w:lang w:eastAsia="cs-CZ"/>
        </w:rPr>
        <w:t>Do nákladů na ostatní služby je do aplikačního programu zadaná částka 215 Kč (80 Kč + 50 Kč + 85 Kč) a do započítaných nákladů na ostatní služby částka 130 Kč (80 Kč + 50 Kč).</w:t>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lang w:eastAsia="cs-CZ"/>
        </w:rPr>
      </w:pPr>
      <w:r w:rsidRPr="00433C54">
        <w:rPr>
          <w:i/>
          <w:lang w:eastAsia="cs-CZ"/>
        </w:rPr>
        <w:t>ONB za ostatní služby jsou stanoveny ve výši 130 Kč.</w:t>
      </w:r>
    </w:p>
    <w:p w:rsidR="00D77E3A" w:rsidRDefault="00D77E3A" w:rsidP="001F0443">
      <w:pPr>
        <w:rPr>
          <w:lang w:eastAsia="cs-CZ"/>
        </w:rPr>
      </w:pPr>
    </w:p>
    <w:p w:rsidR="00956EB2" w:rsidRDefault="00FA7EDD" w:rsidP="001F0443">
      <w:pPr>
        <w:rPr>
          <w:lang w:eastAsia="cs-CZ"/>
        </w:rPr>
      </w:pPr>
      <w:r>
        <w:rPr>
          <w:lang w:eastAsia="cs-CZ"/>
        </w:rPr>
        <w:t>V praxi nastávají situace, kdy osoba doloží, že pro vytápění bytu</w:t>
      </w:r>
      <w:r w:rsidR="003352BF">
        <w:rPr>
          <w:lang w:eastAsia="cs-CZ"/>
        </w:rPr>
        <w:t xml:space="preserve"> (případně též ohřev teplé vody)</w:t>
      </w:r>
      <w:r>
        <w:rPr>
          <w:lang w:eastAsia="cs-CZ"/>
        </w:rPr>
        <w:t xml:space="preserve">, v němž bydlí, využívá jiný zdroj vytápění, než je dálkové teplo, elektřina </w:t>
      </w:r>
      <w:r w:rsidR="006D3544">
        <w:rPr>
          <w:lang w:eastAsia="cs-CZ"/>
        </w:rPr>
        <w:br/>
      </w:r>
      <w:r>
        <w:rPr>
          <w:lang w:eastAsia="cs-CZ"/>
        </w:rPr>
        <w:t>či zemní plyn</w:t>
      </w:r>
      <w:r w:rsidR="003352BF">
        <w:rPr>
          <w:lang w:eastAsia="cs-CZ"/>
        </w:rPr>
        <w:t xml:space="preserve"> (myšleno v tom smyslu, že osoba odebírá elektrickou energii a plyn </w:t>
      </w:r>
      <w:r w:rsidR="00A2163A">
        <w:rPr>
          <w:lang w:eastAsia="cs-CZ"/>
        </w:rPr>
        <w:br/>
      </w:r>
      <w:r w:rsidR="003352BF">
        <w:rPr>
          <w:lang w:eastAsia="cs-CZ"/>
        </w:rPr>
        <w:t>a užívá je v domácnosti, avšak v zálohách není zahrnuto vytápění, případně ohřev teplé vody těmito energiemi)</w:t>
      </w:r>
      <w:r>
        <w:rPr>
          <w:lang w:eastAsia="cs-CZ"/>
        </w:rPr>
        <w:t>.</w:t>
      </w:r>
      <w:r w:rsidR="003352BF">
        <w:rPr>
          <w:lang w:eastAsia="cs-CZ"/>
        </w:rPr>
        <w:t xml:space="preserve"> </w:t>
      </w:r>
      <w:r>
        <w:rPr>
          <w:lang w:eastAsia="cs-CZ"/>
        </w:rPr>
        <w:t xml:space="preserve">Může se jednat o lokální plynovou kotelnu pro celý dům, </w:t>
      </w:r>
      <w:r w:rsidR="003352BF">
        <w:rPr>
          <w:lang w:eastAsia="cs-CZ"/>
        </w:rPr>
        <w:t xml:space="preserve">užívání </w:t>
      </w:r>
      <w:r>
        <w:rPr>
          <w:lang w:eastAsia="cs-CZ"/>
        </w:rPr>
        <w:t>tepelné</w:t>
      </w:r>
      <w:r w:rsidR="003352BF">
        <w:rPr>
          <w:lang w:eastAsia="cs-CZ"/>
        </w:rPr>
        <w:t xml:space="preserve">ho čerpadla, </w:t>
      </w:r>
      <w:r w:rsidR="00730FA7">
        <w:rPr>
          <w:lang w:eastAsia="cs-CZ"/>
        </w:rPr>
        <w:t>apod. Tyto osoby hradí dle rozpisu služeb zálohy na teplo (případně na ohřev teplé vody). V těchto případech je nezbytné</w:t>
      </w:r>
      <w:r w:rsidR="00A2163A">
        <w:rPr>
          <w:lang w:eastAsia="cs-CZ"/>
        </w:rPr>
        <w:t xml:space="preserve"> na tuto úhradu</w:t>
      </w:r>
      <w:r w:rsidR="00730FA7">
        <w:rPr>
          <w:lang w:eastAsia="cs-CZ"/>
        </w:rPr>
        <w:t xml:space="preserve"> tepla (teplé vody) </w:t>
      </w:r>
      <w:r w:rsidR="00A2163A">
        <w:rPr>
          <w:lang w:eastAsia="cs-CZ"/>
        </w:rPr>
        <w:t>nahlížet jako na náklady na ostatní služby</w:t>
      </w:r>
      <w:r w:rsidR="00A2163A">
        <w:rPr>
          <w:rStyle w:val="Znakapoznpodarou"/>
          <w:lang w:eastAsia="cs-CZ"/>
        </w:rPr>
        <w:footnoteReference w:id="20"/>
      </w:r>
      <w:r w:rsidR="00A2163A">
        <w:rPr>
          <w:lang w:eastAsia="cs-CZ"/>
        </w:rPr>
        <w:t xml:space="preserve">. </w:t>
      </w:r>
      <w:r w:rsidR="00730FA7">
        <w:rPr>
          <w:lang w:eastAsia="cs-CZ"/>
        </w:rPr>
        <w:t xml:space="preserve">Ve formuláři „Informace </w:t>
      </w:r>
      <w:r w:rsidR="005059DC">
        <w:rPr>
          <w:lang w:eastAsia="cs-CZ"/>
        </w:rPr>
        <w:br/>
      </w:r>
      <w:r w:rsidR="00730FA7">
        <w:rPr>
          <w:lang w:eastAsia="cs-CZ"/>
        </w:rPr>
        <w:t xml:space="preserve">o užívaném bytu (obývaném prostoru)“ bude tato informace dopsána, protože formulář tuto variantu vytápění nenabízí. ÚP ČR v těchto případech zálohy za úhradu tepla (energie na ohřev teplé vody) započítává ve stanovené skutečné výši, případně určí výši, která je v místě obvyklá. </w:t>
      </w:r>
    </w:p>
    <w:p w:rsidR="00F4740C" w:rsidRDefault="00F4740C" w:rsidP="001F0443">
      <w:pPr>
        <w:rPr>
          <w:lang w:eastAsia="cs-CZ"/>
        </w:rPr>
      </w:pP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eastAsia="Times New Roman" w:cs="Arial"/>
          <w:b/>
          <w:bCs/>
          <w:i/>
          <w:szCs w:val="24"/>
          <w:lang w:eastAsia="cs-CZ"/>
        </w:rPr>
      </w:pPr>
      <w:r w:rsidRPr="00433C54">
        <w:rPr>
          <w:rFonts w:eastAsia="Times New Roman" w:cs="Arial"/>
          <w:b/>
          <w:bCs/>
          <w:i/>
          <w:szCs w:val="24"/>
          <w:lang w:eastAsia="cs-CZ"/>
        </w:rPr>
        <w:t>Souhrnný příklad ke stanovení ONB týkajících se služeb spojených s užíváním bytu:</w:t>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rFonts w:eastAsia="Times New Roman" w:cs="Arial"/>
          <w:bCs/>
          <w:i/>
          <w:szCs w:val="24"/>
          <w:lang w:eastAsia="cs-CZ"/>
        </w:rPr>
      </w:pPr>
      <w:r w:rsidRPr="00433C54">
        <w:rPr>
          <w:rFonts w:eastAsia="Times New Roman" w:cs="Arial"/>
          <w:bCs/>
          <w:i/>
          <w:szCs w:val="24"/>
          <w:lang w:eastAsia="cs-CZ"/>
        </w:rPr>
        <w:t xml:space="preserve">Tři společně posuzované osoby žijící v nájemní formě bydlení. </w:t>
      </w:r>
      <w:r w:rsidR="009D7EB8">
        <w:rPr>
          <w:rFonts w:eastAsia="Times New Roman" w:cs="Arial"/>
          <w:bCs/>
          <w:i/>
          <w:szCs w:val="24"/>
          <w:lang w:eastAsia="cs-CZ"/>
        </w:rPr>
        <w:t>P</w:t>
      </w:r>
      <w:r w:rsidRPr="00433C54">
        <w:rPr>
          <w:rFonts w:eastAsia="Times New Roman" w:cs="Arial"/>
          <w:bCs/>
          <w:i/>
          <w:szCs w:val="24"/>
          <w:lang w:eastAsia="cs-CZ"/>
        </w:rPr>
        <w:t>odlahová plocha bytu činí 68m</w:t>
      </w:r>
      <w:r w:rsidRPr="00433C54">
        <w:rPr>
          <w:rFonts w:eastAsia="Times New Roman" w:cs="Arial"/>
          <w:bCs/>
          <w:i/>
          <w:szCs w:val="24"/>
          <w:vertAlign w:val="superscript"/>
          <w:lang w:eastAsia="cs-CZ"/>
        </w:rPr>
        <w:t>2</w:t>
      </w:r>
      <w:r w:rsidRPr="00433C54">
        <w:rPr>
          <w:rFonts w:eastAsia="Times New Roman" w:cs="Arial"/>
          <w:bCs/>
          <w:i/>
          <w:szCs w:val="24"/>
          <w:lang w:eastAsia="cs-CZ"/>
        </w:rPr>
        <w:t>. Záloha za teplou vodu není v rozpise služeb rozdělena</w:t>
      </w:r>
      <w:r w:rsidR="009D7EB8">
        <w:rPr>
          <w:rFonts w:eastAsia="Times New Roman" w:cs="Arial"/>
          <w:bCs/>
          <w:i/>
          <w:szCs w:val="24"/>
          <w:lang w:eastAsia="cs-CZ"/>
        </w:rPr>
        <w:t xml:space="preserve"> </w:t>
      </w:r>
      <w:r w:rsidRPr="00433C54">
        <w:rPr>
          <w:rFonts w:eastAsia="Times New Roman" w:cs="Arial"/>
          <w:bCs/>
          <w:i/>
          <w:szCs w:val="24"/>
          <w:lang w:eastAsia="cs-CZ"/>
        </w:rPr>
        <w:t xml:space="preserve">na zálohu za vodu </w:t>
      </w:r>
      <w:r w:rsidRPr="00433C54">
        <w:rPr>
          <w:rFonts w:eastAsia="Times New Roman" w:cs="Arial"/>
          <w:bCs/>
          <w:i/>
          <w:szCs w:val="24"/>
          <w:lang w:eastAsia="cs-CZ"/>
        </w:rPr>
        <w:lastRenderedPageBreak/>
        <w:t xml:space="preserve">k ohřevu a zálohu na tepelnou energii k ohřevu vody, jinými slovy je v rozpise služeb uvedeno, že záloha na teplou vodu činí 800 Kč. </w:t>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eastAsia="Times New Roman" w:cs="Arial"/>
          <w:bCs/>
          <w:i/>
          <w:szCs w:val="24"/>
          <w:lang w:eastAsia="cs-CZ"/>
        </w:rPr>
      </w:pP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eastAsia="Times New Roman" w:cs="Arial"/>
          <w:i/>
          <w:szCs w:val="24"/>
          <w:lang w:eastAsia="cs-CZ"/>
        </w:rPr>
      </w:pPr>
      <w:r w:rsidRPr="00433C54">
        <w:rPr>
          <w:rFonts w:eastAsia="Times New Roman" w:cs="Arial"/>
          <w:b/>
          <w:bCs/>
          <w:i/>
          <w:szCs w:val="24"/>
          <w:lang w:eastAsia="cs-CZ"/>
        </w:rPr>
        <w:t>Dálkové teplo (DT):</w:t>
      </w:r>
      <w:r w:rsidRPr="00433C54">
        <w:rPr>
          <w:rFonts w:eastAsia="Times New Roman" w:cs="Arial"/>
          <w:i/>
          <w:szCs w:val="24"/>
          <w:lang w:eastAsia="cs-CZ"/>
        </w:rPr>
        <w:br/>
        <w:t>Záloha na vytápění DT: 1 300,- Kč</w:t>
      </w:r>
      <w:r w:rsidRPr="00433C54">
        <w:rPr>
          <w:rFonts w:eastAsia="Times New Roman" w:cs="Arial"/>
          <w:i/>
          <w:szCs w:val="24"/>
          <w:lang w:eastAsia="cs-CZ"/>
        </w:rPr>
        <w:br/>
        <w:t>Průměrná cena DT: 560,- Kč/GJ/rok</w:t>
      </w:r>
      <w:r w:rsidRPr="00433C54">
        <w:rPr>
          <w:rFonts w:eastAsia="Times New Roman" w:cs="Arial"/>
          <w:i/>
          <w:szCs w:val="24"/>
          <w:lang w:eastAsia="cs-CZ"/>
        </w:rPr>
        <w:br/>
        <w:t>Procento použití dálkového tepla na vytápění bytu: 100 %</w:t>
      </w:r>
      <w:r w:rsidRPr="00433C54">
        <w:rPr>
          <w:rFonts w:eastAsia="Times New Roman" w:cs="Arial"/>
          <w:i/>
          <w:szCs w:val="24"/>
          <w:lang w:eastAsia="cs-CZ"/>
        </w:rPr>
        <w:br/>
        <w:t>Náklady na vytápění DT v místě obvyklé = měrný ukazatel spotřeby tepelné energie na vytápění podle lokality * podlahová plocha bytu * koeficient ztrát * průměrná cena DT za rok / 12 * procento použití vytápění DT / 100 =</w:t>
      </w:r>
      <w:r w:rsidRPr="00433C54">
        <w:rPr>
          <w:rFonts w:eastAsia="Times New Roman" w:cs="Arial"/>
          <w:i/>
          <w:szCs w:val="24"/>
          <w:lang w:eastAsia="cs-CZ"/>
        </w:rPr>
        <w:br/>
        <w:t xml:space="preserve">0.55 * 68 * 1.2 * (560/12) * (100/100) = </w:t>
      </w:r>
      <w:r w:rsidRPr="00433C54">
        <w:rPr>
          <w:rFonts w:eastAsia="Times New Roman" w:cs="Arial"/>
          <w:b/>
          <w:bCs/>
          <w:i/>
          <w:szCs w:val="24"/>
          <w:lang w:eastAsia="cs-CZ"/>
        </w:rPr>
        <w:t>2 094,40 Kč</w:t>
      </w:r>
      <w:r w:rsidRPr="00433C54">
        <w:rPr>
          <w:rFonts w:eastAsia="Times New Roman" w:cs="Arial"/>
          <w:i/>
          <w:szCs w:val="24"/>
          <w:lang w:eastAsia="cs-CZ"/>
        </w:rPr>
        <w:br/>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eastAsia="Times New Roman" w:cs="Arial"/>
          <w:b/>
          <w:i/>
          <w:szCs w:val="24"/>
          <w:lang w:eastAsia="cs-CZ"/>
        </w:rPr>
      </w:pPr>
      <w:r w:rsidRPr="00433C54">
        <w:rPr>
          <w:rFonts w:eastAsia="Times New Roman" w:cs="Arial"/>
          <w:b/>
          <w:i/>
          <w:szCs w:val="24"/>
          <w:lang w:eastAsia="cs-CZ"/>
        </w:rPr>
        <w:t>Tepelná energie pro ohřev teplé vody:</w:t>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eastAsia="Times New Roman" w:cs="Arial"/>
          <w:i/>
          <w:szCs w:val="24"/>
          <w:lang w:eastAsia="cs-CZ"/>
        </w:rPr>
      </w:pPr>
      <w:r w:rsidRPr="00433C54">
        <w:rPr>
          <w:rFonts w:eastAsia="Times New Roman" w:cs="Arial"/>
          <w:i/>
          <w:szCs w:val="24"/>
          <w:lang w:eastAsia="cs-CZ"/>
        </w:rPr>
        <w:t>Záloha na TUV: 800,- Kč</w:t>
      </w:r>
      <w:r w:rsidRPr="00433C54">
        <w:rPr>
          <w:rFonts w:eastAsia="Times New Roman" w:cs="Arial"/>
          <w:i/>
          <w:szCs w:val="24"/>
          <w:lang w:eastAsia="cs-CZ"/>
        </w:rPr>
        <w:br/>
        <w:t>Vypočtená záloha na ohřev TUV = 0,65 * záloha na TUV = 520,- Kč</w:t>
      </w:r>
      <w:r w:rsidRPr="00433C54">
        <w:rPr>
          <w:rFonts w:eastAsia="Times New Roman" w:cs="Arial"/>
          <w:i/>
          <w:szCs w:val="24"/>
          <w:lang w:eastAsia="cs-CZ"/>
        </w:rPr>
        <w:br/>
        <w:t>Průměrná cena DT: 560,- Kč/GJ/rok</w:t>
      </w:r>
      <w:r w:rsidRPr="00433C54">
        <w:rPr>
          <w:rFonts w:eastAsia="Times New Roman" w:cs="Arial"/>
          <w:i/>
          <w:szCs w:val="24"/>
          <w:lang w:eastAsia="cs-CZ"/>
        </w:rPr>
        <w:br/>
        <w:t>Procento použití dálkového tepla na ohřev TUV: 100 %</w:t>
      </w:r>
      <w:r w:rsidRPr="00433C54">
        <w:rPr>
          <w:rFonts w:eastAsia="Times New Roman" w:cs="Arial"/>
          <w:i/>
          <w:szCs w:val="24"/>
          <w:lang w:eastAsia="cs-CZ"/>
        </w:rPr>
        <w:br/>
        <w:t>Náklady na ohřev TUV dálkovým teplem v místě obvyklé =</w:t>
      </w:r>
      <w:r w:rsidRPr="00433C54">
        <w:rPr>
          <w:rFonts w:eastAsia="Times New Roman" w:cs="Arial"/>
          <w:i/>
          <w:szCs w:val="24"/>
          <w:lang w:eastAsia="cs-CZ"/>
        </w:rPr>
        <w:br/>
        <w:t>průměrná roční spotřeba teplé vody * počet všech osob * koeficient výpočtu spotřeby tepla * průměrná cena DT za rok / 12 * procento použití DT na ohřev TUV / 100 =</w:t>
      </w:r>
      <w:r w:rsidRPr="00433C54">
        <w:rPr>
          <w:rFonts w:eastAsia="Times New Roman" w:cs="Arial"/>
          <w:i/>
          <w:szCs w:val="24"/>
          <w:lang w:eastAsia="cs-CZ"/>
        </w:rPr>
        <w:br/>
        <w:t xml:space="preserve">17.5 * 3 * 0.295 * (560/12) * (100/100) = </w:t>
      </w:r>
      <w:r w:rsidRPr="00433C54">
        <w:rPr>
          <w:rFonts w:eastAsia="Times New Roman" w:cs="Arial"/>
          <w:b/>
          <w:bCs/>
          <w:i/>
          <w:szCs w:val="24"/>
          <w:lang w:eastAsia="cs-CZ"/>
        </w:rPr>
        <w:t>722,75 Kč</w:t>
      </w:r>
      <w:r w:rsidRPr="00433C54">
        <w:rPr>
          <w:rFonts w:eastAsia="Times New Roman" w:cs="Arial"/>
          <w:i/>
          <w:szCs w:val="24"/>
          <w:lang w:eastAsia="cs-CZ"/>
        </w:rPr>
        <w:br/>
      </w:r>
      <w:r w:rsidRPr="00433C54">
        <w:rPr>
          <w:rFonts w:eastAsia="Times New Roman" w:cs="Arial"/>
          <w:i/>
          <w:szCs w:val="24"/>
          <w:lang w:eastAsia="cs-CZ"/>
        </w:rPr>
        <w:br/>
      </w:r>
      <w:r w:rsidRPr="00433C54">
        <w:rPr>
          <w:rFonts w:eastAsia="Times New Roman" w:cs="Arial"/>
          <w:b/>
          <w:bCs/>
          <w:i/>
          <w:szCs w:val="24"/>
          <w:lang w:eastAsia="cs-CZ"/>
        </w:rPr>
        <w:t>Vodné a stočné:</w:t>
      </w:r>
      <w:r w:rsidRPr="00433C54">
        <w:rPr>
          <w:rFonts w:eastAsia="Times New Roman" w:cs="Arial"/>
          <w:i/>
          <w:szCs w:val="24"/>
          <w:lang w:eastAsia="cs-CZ"/>
        </w:rPr>
        <w:br/>
        <w:t>Záloha na vodné a stočné: 500,- Kč</w:t>
      </w:r>
      <w:r w:rsidRPr="00433C54">
        <w:rPr>
          <w:rFonts w:eastAsia="Times New Roman" w:cs="Arial"/>
          <w:i/>
          <w:szCs w:val="24"/>
          <w:lang w:eastAsia="cs-CZ"/>
        </w:rPr>
        <w:br/>
        <w:t>Záloha na TUV: 800,- Kč</w:t>
      </w:r>
      <w:r w:rsidRPr="00433C54">
        <w:rPr>
          <w:rFonts w:eastAsia="Times New Roman" w:cs="Arial"/>
          <w:i/>
          <w:szCs w:val="24"/>
          <w:lang w:eastAsia="cs-CZ"/>
        </w:rPr>
        <w:br/>
        <w:t>Vypočtená záloha na vodu pro TUV = 0,35 * záloha na TUV = 280,- Kč</w:t>
      </w:r>
      <w:r w:rsidRPr="00433C54">
        <w:rPr>
          <w:rFonts w:eastAsia="Times New Roman" w:cs="Arial"/>
          <w:i/>
          <w:szCs w:val="24"/>
          <w:lang w:eastAsia="cs-CZ"/>
        </w:rPr>
        <w:br/>
        <w:t>Cena vodné a stočné: 86,52 Kč za m</w:t>
      </w:r>
      <w:r w:rsidRPr="00433C54">
        <w:rPr>
          <w:rFonts w:eastAsia="Times New Roman" w:cs="Arial"/>
          <w:i/>
          <w:szCs w:val="24"/>
          <w:vertAlign w:val="superscript"/>
          <w:lang w:eastAsia="cs-CZ"/>
        </w:rPr>
        <w:t>3</w:t>
      </w:r>
      <w:r w:rsidRPr="00433C54">
        <w:rPr>
          <w:rFonts w:eastAsia="Times New Roman" w:cs="Arial"/>
          <w:i/>
          <w:szCs w:val="24"/>
          <w:lang w:eastAsia="cs-CZ"/>
        </w:rPr>
        <w:br/>
        <w:t>Náklady na vodné a stočné ve výši v místě obvyklé =</w:t>
      </w:r>
      <w:r w:rsidRPr="00433C54">
        <w:rPr>
          <w:rFonts w:eastAsia="Times New Roman" w:cs="Arial"/>
          <w:i/>
          <w:szCs w:val="24"/>
          <w:lang w:eastAsia="cs-CZ"/>
        </w:rPr>
        <w:br/>
        <w:t>počet všech osob * průměrná roční spotřeba / 12 * cena za vodné a stočné =</w:t>
      </w:r>
      <w:r w:rsidRPr="00433C54">
        <w:rPr>
          <w:rFonts w:eastAsia="Times New Roman" w:cs="Arial"/>
          <w:i/>
          <w:szCs w:val="24"/>
          <w:lang w:eastAsia="cs-CZ"/>
        </w:rPr>
        <w:br/>
        <w:t xml:space="preserve">3 * (35/12) * 86,52 Kč = </w:t>
      </w:r>
      <w:r w:rsidRPr="00433C54">
        <w:rPr>
          <w:rFonts w:eastAsia="Times New Roman" w:cs="Arial"/>
          <w:b/>
          <w:bCs/>
          <w:i/>
          <w:szCs w:val="24"/>
          <w:lang w:eastAsia="cs-CZ"/>
        </w:rPr>
        <w:t>757,05 Kč</w:t>
      </w:r>
      <w:r w:rsidRPr="00433C54">
        <w:rPr>
          <w:rFonts w:eastAsia="Times New Roman" w:cs="Arial"/>
          <w:i/>
          <w:szCs w:val="24"/>
          <w:lang w:eastAsia="cs-CZ"/>
        </w:rPr>
        <w:br/>
      </w:r>
      <w:r w:rsidRPr="00433C54">
        <w:rPr>
          <w:rFonts w:eastAsia="Times New Roman" w:cs="Arial"/>
          <w:i/>
          <w:szCs w:val="24"/>
          <w:lang w:eastAsia="cs-CZ"/>
        </w:rPr>
        <w:br/>
      </w:r>
      <w:r w:rsidRPr="00433C54">
        <w:rPr>
          <w:rFonts w:eastAsia="Times New Roman" w:cs="Arial"/>
          <w:b/>
          <w:bCs/>
          <w:i/>
          <w:szCs w:val="24"/>
          <w:lang w:eastAsia="cs-CZ"/>
        </w:rPr>
        <w:t>Odůvodněné náklady na služby:</w:t>
      </w:r>
      <w:r w:rsidRPr="00433C54">
        <w:rPr>
          <w:rFonts w:eastAsia="Times New Roman" w:cs="Arial"/>
          <w:i/>
          <w:szCs w:val="24"/>
          <w:lang w:eastAsia="cs-CZ"/>
        </w:rPr>
        <w:br/>
        <w:t xml:space="preserve">Součet záloh nebo skutečných nákladů na služby: </w:t>
      </w:r>
      <w:r w:rsidRPr="00433C54">
        <w:rPr>
          <w:rFonts w:eastAsia="Times New Roman" w:cs="Arial"/>
          <w:b/>
          <w:i/>
          <w:szCs w:val="24"/>
          <w:lang w:eastAsia="cs-CZ"/>
        </w:rPr>
        <w:t>2 600,- Kč</w:t>
      </w:r>
      <w:r w:rsidRPr="00433C54">
        <w:rPr>
          <w:rFonts w:eastAsia="Times New Roman" w:cs="Arial"/>
          <w:i/>
          <w:szCs w:val="24"/>
          <w:lang w:eastAsia="cs-CZ"/>
        </w:rPr>
        <w:t xml:space="preserve"> (1 300 Kč + 800 Kč + 500 Kč)</w:t>
      </w:r>
      <w:r w:rsidRPr="00433C54">
        <w:rPr>
          <w:rFonts w:eastAsia="Times New Roman" w:cs="Arial"/>
          <w:i/>
          <w:szCs w:val="24"/>
          <w:lang w:eastAsia="cs-CZ"/>
        </w:rPr>
        <w:br/>
        <w:t xml:space="preserve">Součet nákladů v místě obvyklých na služby: </w:t>
      </w:r>
      <w:r w:rsidRPr="00433C54">
        <w:rPr>
          <w:rFonts w:eastAsia="Times New Roman" w:cs="Arial"/>
          <w:b/>
          <w:i/>
          <w:szCs w:val="24"/>
          <w:lang w:eastAsia="cs-CZ"/>
        </w:rPr>
        <w:t>3 574,20 Kč</w:t>
      </w:r>
      <w:r w:rsidRPr="00433C54">
        <w:rPr>
          <w:rFonts w:eastAsia="Times New Roman" w:cs="Arial"/>
          <w:i/>
          <w:szCs w:val="24"/>
          <w:lang w:eastAsia="cs-CZ"/>
        </w:rPr>
        <w:t xml:space="preserve"> (</w:t>
      </w:r>
      <w:r w:rsidRPr="00433C54">
        <w:rPr>
          <w:rFonts w:eastAsia="Times New Roman" w:cs="Arial"/>
          <w:bCs/>
          <w:i/>
          <w:szCs w:val="24"/>
          <w:lang w:eastAsia="cs-CZ"/>
        </w:rPr>
        <w:t>2 094,40 Kč + 722,75 Kč +757,05 Kč)</w:t>
      </w:r>
      <w:r w:rsidRPr="00433C54">
        <w:rPr>
          <w:rFonts w:eastAsia="Times New Roman" w:cs="Arial"/>
          <w:i/>
          <w:szCs w:val="24"/>
          <w:lang w:eastAsia="cs-CZ"/>
        </w:rPr>
        <w:br/>
      </w:r>
    </w:p>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jc w:val="left"/>
        <w:rPr>
          <w:rFonts w:eastAsia="Times New Roman" w:cs="Arial"/>
          <w:i/>
          <w:szCs w:val="24"/>
          <w:lang w:eastAsia="cs-CZ"/>
        </w:rPr>
      </w:pPr>
      <w:r w:rsidRPr="00433C54">
        <w:rPr>
          <w:rFonts w:eastAsia="Times New Roman" w:cs="Arial"/>
          <w:b/>
          <w:i/>
          <w:szCs w:val="24"/>
          <w:lang w:eastAsia="cs-CZ"/>
        </w:rPr>
        <w:t xml:space="preserve">ONB na služby (součet záloh nebo skutečných nákladů, max. však do výše součtu nákladů v místě obvyklých): </w:t>
      </w:r>
      <w:r w:rsidRPr="00433C54">
        <w:rPr>
          <w:rFonts w:eastAsia="Times New Roman" w:cs="Arial"/>
          <w:b/>
          <w:bCs/>
          <w:i/>
          <w:szCs w:val="24"/>
          <w:lang w:eastAsia="cs-CZ"/>
        </w:rPr>
        <w:t>2 600,- Kč</w:t>
      </w:r>
      <w:r w:rsidRPr="00433C54">
        <w:rPr>
          <w:rFonts w:eastAsia="Times New Roman" w:cs="Arial"/>
          <w:b/>
          <w:i/>
          <w:szCs w:val="24"/>
          <w:lang w:eastAsia="cs-CZ"/>
        </w:rPr>
        <w:br/>
      </w:r>
      <w:r w:rsidRPr="00433C54">
        <w:rPr>
          <w:rFonts w:eastAsia="Times New Roman" w:cs="Arial"/>
          <w:i/>
          <w:szCs w:val="24"/>
          <w:lang w:eastAsia="cs-CZ"/>
        </w:rPr>
        <w:br/>
      </w:r>
      <w:r w:rsidRPr="00433C54">
        <w:rPr>
          <w:rFonts w:eastAsia="Times New Roman" w:cs="Arial"/>
          <w:b/>
          <w:bCs/>
          <w:i/>
          <w:szCs w:val="24"/>
          <w:lang w:eastAsia="cs-CZ"/>
        </w:rPr>
        <w:t xml:space="preserve">Ostatní služby: </w:t>
      </w:r>
      <w:r w:rsidRPr="00433C54">
        <w:rPr>
          <w:rFonts w:eastAsia="Times New Roman" w:cs="Arial"/>
          <w:i/>
          <w:szCs w:val="24"/>
          <w:lang w:eastAsia="cs-CZ"/>
        </w:rPr>
        <w:br/>
        <w:t xml:space="preserve">- Náklady na ostatní služby: 1 000,- Kč </w:t>
      </w:r>
      <w:r w:rsidRPr="00433C54">
        <w:rPr>
          <w:rFonts w:eastAsia="Times New Roman" w:cs="Arial"/>
          <w:i/>
          <w:szCs w:val="24"/>
          <w:lang w:eastAsia="cs-CZ"/>
        </w:rPr>
        <w:br/>
        <w:t xml:space="preserve">- Započítané náklady na ostatní služby: </w:t>
      </w:r>
      <w:r w:rsidRPr="00433C54">
        <w:rPr>
          <w:rFonts w:eastAsia="Times New Roman" w:cs="Arial"/>
          <w:b/>
          <w:bCs/>
          <w:i/>
          <w:szCs w:val="24"/>
          <w:lang w:eastAsia="cs-CZ"/>
        </w:rPr>
        <w:t>1 000,- Kč</w:t>
      </w:r>
      <w:r w:rsidRPr="00433C54">
        <w:rPr>
          <w:rFonts w:eastAsia="Times New Roman" w:cs="Arial"/>
          <w:i/>
          <w:szCs w:val="24"/>
          <w:lang w:eastAsia="cs-CZ"/>
        </w:rPr>
        <w:br/>
      </w:r>
      <w:r w:rsidRPr="00433C54">
        <w:rPr>
          <w:rFonts w:eastAsia="Times New Roman" w:cs="Arial"/>
          <w:i/>
          <w:szCs w:val="24"/>
          <w:lang w:eastAsia="cs-CZ"/>
        </w:rPr>
        <w:br/>
      </w:r>
      <w:r w:rsidRPr="00433C54">
        <w:rPr>
          <w:rFonts w:eastAsia="Times New Roman" w:cs="Arial"/>
          <w:b/>
          <w:i/>
          <w:szCs w:val="24"/>
          <w:lang w:eastAsia="cs-CZ"/>
        </w:rPr>
        <w:lastRenderedPageBreak/>
        <w:t>ONB za služby spojené s užíváním bytu celkem činí 3 600 Kč</w:t>
      </w:r>
      <w:r w:rsidRPr="00433C54">
        <w:rPr>
          <w:rFonts w:eastAsia="Times New Roman" w:cs="Arial"/>
          <w:i/>
          <w:szCs w:val="24"/>
          <w:lang w:eastAsia="cs-CZ"/>
        </w:rPr>
        <w:t xml:space="preserve"> (2 600 Kč + 1 000 Kč).</w:t>
      </w:r>
    </w:p>
    <w:p w:rsidR="00433C54" w:rsidRDefault="00433C54" w:rsidP="001F0443">
      <w:pPr>
        <w:rPr>
          <w:lang w:eastAsia="cs-CZ"/>
        </w:rPr>
      </w:pPr>
    </w:p>
    <w:p w:rsidR="00E563D0" w:rsidRPr="00B644EB" w:rsidRDefault="00E563D0" w:rsidP="001F0443">
      <w:pPr>
        <w:rPr>
          <w:lang w:eastAsia="cs-CZ"/>
        </w:rPr>
      </w:pPr>
    </w:p>
    <w:p w:rsidR="00927530" w:rsidRDefault="00E563D0" w:rsidP="00E563D0">
      <w:pPr>
        <w:pStyle w:val="Nadpis2"/>
      </w:pPr>
      <w:bookmarkStart w:id="14" w:name="_Toc25833343"/>
      <w:r>
        <w:t>B</w:t>
      </w:r>
      <w:r w:rsidR="00EF4269">
        <w:t xml:space="preserve">) </w:t>
      </w:r>
      <w:r w:rsidR="00927530">
        <w:t>Úhrada prokazatelné nezbytné spotřeby energií</w:t>
      </w:r>
      <w:bookmarkEnd w:id="14"/>
    </w:p>
    <w:p w:rsidR="00956EB2" w:rsidRPr="00956EB2" w:rsidRDefault="00956EB2" w:rsidP="00E563D0"/>
    <w:p w:rsidR="00D64F0F" w:rsidRDefault="00905761" w:rsidP="00905761">
      <w:r>
        <w:t>Úhradou prokazateln</w:t>
      </w:r>
      <w:r w:rsidR="00E73AC6">
        <w:t>é</w:t>
      </w:r>
      <w:r>
        <w:t xml:space="preserve"> nezbytné spotřeby energií se rozumí úhrada dodávky </w:t>
      </w:r>
      <w:r w:rsidR="006D3544">
        <w:br/>
      </w:r>
      <w:r>
        <w:t xml:space="preserve">a spotřeby elektrické energie, plynu, případně výdaje na další druhy paliv, </w:t>
      </w:r>
      <w:r w:rsidRPr="00E24AC7">
        <w:rPr>
          <w:b/>
        </w:rPr>
        <w:t>a to ve výši, která je v místě obvyklá</w:t>
      </w:r>
      <w:r>
        <w:t xml:space="preserve">. Výše úhrady za prokazatelnou nezbytnou spotřebu energií se stanoví jako průměrná cena za dodávku energií pro bytovou jednotku určité velikosti podle sdělení příslušných dodavatelů, nejvýše však ve výši skutečných úhrad. </w:t>
      </w:r>
      <w:r w:rsidR="00D64F0F">
        <w:t>V odůvodněných případech lze navýšit částky za maximální prokazatelnou nezbytnou spotřebu energií až o 10%. Za odůvodněný případ je považován dlouhodobý nepříznivý zdravotní stav osoby. Navýšení prokazatelné nezbytné spotřeby energií lze provést na základě lékařem potvrzeného formuláře „Pot</w:t>
      </w:r>
      <w:r w:rsidR="00580C59">
        <w:t>vrzení o zdravotním stavu vydané</w:t>
      </w:r>
      <w:r w:rsidR="00D64F0F">
        <w:t xml:space="preserve"> ošetřujícím lékařem“.</w:t>
      </w:r>
    </w:p>
    <w:p w:rsidR="00D64F0F" w:rsidRDefault="00D64F0F" w:rsidP="00905761"/>
    <w:p w:rsidR="00D64F0F" w:rsidRPr="00F65550" w:rsidRDefault="00D64F0F" w:rsidP="00D64F0F">
      <w:pPr>
        <w:rPr>
          <w:b/>
        </w:rPr>
      </w:pPr>
      <w:r w:rsidRPr="00F65550">
        <w:rPr>
          <w:b/>
        </w:rPr>
        <w:t>Energie jsou užívány:</w:t>
      </w:r>
    </w:p>
    <w:p w:rsidR="00D64F0F" w:rsidRDefault="00D64F0F" w:rsidP="00E7491B">
      <w:pPr>
        <w:pStyle w:val="Odstavecseseznamem"/>
        <w:numPr>
          <w:ilvl w:val="0"/>
          <w:numId w:val="13"/>
        </w:numPr>
      </w:pPr>
      <w:r>
        <w:t>k vaření</w:t>
      </w:r>
      <w:r w:rsidR="00E24AC7">
        <w:rPr>
          <w:rStyle w:val="Znakapoznpodarou"/>
        </w:rPr>
        <w:footnoteReference w:id="21"/>
      </w:r>
      <w:r w:rsidR="00164C0D">
        <w:t>;</w:t>
      </w:r>
    </w:p>
    <w:p w:rsidR="00D64F0F" w:rsidRDefault="00896C04" w:rsidP="00E7491B">
      <w:pPr>
        <w:pStyle w:val="Odstavecseseznamem"/>
        <w:numPr>
          <w:ilvl w:val="0"/>
          <w:numId w:val="13"/>
        </w:numPr>
      </w:pPr>
      <w:r>
        <w:t xml:space="preserve">ke </w:t>
      </w:r>
      <w:r w:rsidR="00164C0D">
        <w:t>svícení a provoz</w:t>
      </w:r>
      <w:r>
        <w:t>u</w:t>
      </w:r>
      <w:r w:rsidR="00D64F0F">
        <w:t xml:space="preserve"> spotřebičů</w:t>
      </w:r>
      <w:r w:rsidR="00164C0D">
        <w:t>;</w:t>
      </w:r>
    </w:p>
    <w:p w:rsidR="00D64F0F" w:rsidRDefault="00896C04" w:rsidP="00E7491B">
      <w:pPr>
        <w:pStyle w:val="Odstavecseseznamem"/>
        <w:numPr>
          <w:ilvl w:val="0"/>
          <w:numId w:val="13"/>
        </w:numPr>
      </w:pPr>
      <w:r>
        <w:t xml:space="preserve">k </w:t>
      </w:r>
      <w:r w:rsidR="00D64F0F">
        <w:t>vytápění</w:t>
      </w:r>
      <w:r w:rsidR="00164C0D">
        <w:t>;</w:t>
      </w:r>
    </w:p>
    <w:p w:rsidR="00D64F0F" w:rsidRDefault="00896C04" w:rsidP="00E7491B">
      <w:pPr>
        <w:pStyle w:val="Odstavecseseznamem"/>
        <w:numPr>
          <w:ilvl w:val="0"/>
          <w:numId w:val="13"/>
        </w:numPr>
      </w:pPr>
      <w:r>
        <w:t xml:space="preserve">k </w:t>
      </w:r>
      <w:r w:rsidR="00D64F0F">
        <w:t>ohřevu TUV</w:t>
      </w:r>
      <w:r w:rsidR="00164C0D">
        <w:t>.</w:t>
      </w:r>
    </w:p>
    <w:p w:rsidR="00905761" w:rsidRDefault="00905761" w:rsidP="00905761"/>
    <w:p w:rsidR="00D64F0F" w:rsidRDefault="00D64F0F" w:rsidP="00D64F0F">
      <w:r>
        <w:t xml:space="preserve">Při postupu dle ZPHN jsou zálohy za užívání energií zohledňovány v ONB jak v situacích, kdy příjemce dávky (žadatel o dávku, osoba společně posuzovaná) uzavře s dodavateli energií smlouvu o odběru energie, tak v situacích, kdy dle smlouvy </w:t>
      </w:r>
      <w:r w:rsidR="006D3544">
        <w:br/>
      </w:r>
      <w:r>
        <w:t xml:space="preserve">je odběratelem energie jiná osoba než příjemce dávky (žadatel o dávku, osoba společně posuzovaná), typicky majitel nemovitosti u nájemní formy bydlení. V obou situacích se jedná o náklad bezprostředně související s bydlením dané osoby (osob společně posuzovaných) v hmotné nouzi. </w:t>
      </w:r>
    </w:p>
    <w:p w:rsidR="00D64F0F" w:rsidRDefault="00D64F0F" w:rsidP="00D64F0F"/>
    <w:p w:rsidR="00D64F0F" w:rsidRDefault="00F2643E" w:rsidP="00D64F0F">
      <w:r>
        <w:t>Obdobným</w:t>
      </w:r>
      <w:r w:rsidR="00D64F0F">
        <w:t xml:space="preserve"> způsobem se postupuje v situacích, kdy je zdrojem užívané energie jiná energie než elektrická energie a plyn. Samozřejmě se musí jednat o prostor, který </w:t>
      </w:r>
      <w:r w:rsidR="00FE3D97">
        <w:t xml:space="preserve">příjemce dávky (žadatel o dávku) </w:t>
      </w:r>
      <w:r w:rsidR="00D64F0F">
        <w:t xml:space="preserve">užívá k bydlení a je povinen náklady za energii hradit. </w:t>
      </w:r>
    </w:p>
    <w:p w:rsidR="00D64F0F" w:rsidRDefault="00D64F0F" w:rsidP="00D64F0F"/>
    <w:p w:rsidR="00D64F0F" w:rsidRDefault="00BB49E4" w:rsidP="00D64F0F">
      <w:r>
        <w:t>Pod</w:t>
      </w:r>
      <w:r w:rsidR="00D64F0F">
        <w:t>le ustanovení § 72 ZPHN (náležitosti žádosti) je osoba povinna doložit</w:t>
      </w:r>
      <w:r>
        <w:t xml:space="preserve"> doklad </w:t>
      </w:r>
      <w:r w:rsidR="006D3544">
        <w:br/>
      </w:r>
      <w:r>
        <w:t>o výši úhrady za dodávku elektrické energi</w:t>
      </w:r>
      <w:r w:rsidR="004F1BB3">
        <w:t>e</w:t>
      </w:r>
      <w:r>
        <w:t xml:space="preserve"> a plynu, případně dalších druhů paliv,</w:t>
      </w:r>
      <w:r w:rsidR="00C4623E">
        <w:t xml:space="preserve"> </w:t>
      </w:r>
      <w:r w:rsidR="006D3544">
        <w:br/>
      </w:r>
      <w:r>
        <w:t xml:space="preserve">a </w:t>
      </w:r>
      <w:r w:rsidR="00D64F0F">
        <w:t xml:space="preserve">rozpis </w:t>
      </w:r>
      <w:r>
        <w:t>těchto energií</w:t>
      </w:r>
      <w:r w:rsidR="00D64F0F">
        <w:t xml:space="preserve">. ZPHN nekonkretizuje, </w:t>
      </w:r>
      <w:r w:rsidR="004F1BB3">
        <w:t>kým konkrétně má být tento</w:t>
      </w:r>
      <w:r w:rsidR="00C4623E">
        <w:t xml:space="preserve"> </w:t>
      </w:r>
      <w:r w:rsidR="00D64F0F">
        <w:t>rozpis vystavený</w:t>
      </w:r>
      <w:r w:rsidR="004F1BB3">
        <w:t>, resp. zda se musí vždy jednat o</w:t>
      </w:r>
      <w:r w:rsidR="00D64F0F">
        <w:t xml:space="preserve"> dodavatele energie. V praxi je tedy akceptovatelným rozpisem jak rozpis záloh stanovený dodavatelem energie, tak rozpis záloh stanovený jinou osobou, typicky majitelem bytu u nájemní formy bydlení. </w:t>
      </w:r>
    </w:p>
    <w:p w:rsidR="00D64F0F" w:rsidRDefault="00D64F0F" w:rsidP="00D64F0F">
      <w:r>
        <w:lastRenderedPageBreak/>
        <w:t xml:space="preserve">Pokud příjemce dávky (žadatel o dávku) doloží rozpis záloh za energie, který nevyhotovil přímo dodavatel energie, </w:t>
      </w:r>
      <w:r w:rsidR="00C4623E">
        <w:t>je vhodné</w:t>
      </w:r>
      <w:r>
        <w:t>, aby</w:t>
      </w:r>
      <w:r w:rsidR="004F1BB3">
        <w:t xml:space="preserve"> si</w:t>
      </w:r>
      <w:r>
        <w:t xml:space="preserve"> orgán pomoci v hmotné nouzi </w:t>
      </w:r>
      <w:r w:rsidR="004F1BB3">
        <w:t xml:space="preserve">primárně </w:t>
      </w:r>
      <w:r>
        <w:t>od příjemce dávky (žadatele o dávku)</w:t>
      </w:r>
      <w:r w:rsidR="004F1BB3">
        <w:t xml:space="preserve"> vyžádal</w:t>
      </w:r>
      <w:r w:rsidR="004F1BB3" w:rsidRPr="004F1BB3">
        <w:t xml:space="preserve"> </w:t>
      </w:r>
      <w:r w:rsidR="004F1BB3">
        <w:t>rozpis záloh za energie vystavený dodavatelem energie</w:t>
      </w:r>
      <w:r w:rsidR="00C47076">
        <w:t>. V případě, že příjemce dávky (žadatel o dávku) rozpis záloh za energie od dodavatele nedoloží, využije orgán pomoci v hmotné nouzi § 50 ZPHN a v rámci své kompetence vyzve přímo majitele bytu</w:t>
      </w:r>
      <w:r>
        <w:t>.</w:t>
      </w:r>
      <w:r w:rsidR="00044C32">
        <w:t xml:space="preserve"> </w:t>
      </w:r>
      <w:r>
        <w:t xml:space="preserve">Při stanovení ONB </w:t>
      </w:r>
      <w:r w:rsidR="00090FB8">
        <w:br/>
      </w:r>
      <w:r>
        <w:t xml:space="preserve">má přednost výše záloh stanovená dodavatelem energií, před výší záloh stanovených jinou osobou. </w:t>
      </w:r>
    </w:p>
    <w:p w:rsidR="00433C54" w:rsidRDefault="00433C54" w:rsidP="00905761"/>
    <w:p w:rsidR="00BD3023" w:rsidRPr="00C82EFB" w:rsidRDefault="00BD3023" w:rsidP="00BD3023">
      <w:r w:rsidRPr="00C82EFB">
        <w:t xml:space="preserve">V praxi dochází k situacím, kdy je periodicita hrazení záloh za energii stanovena v delší než měsíční lhůtě, jinými slovy nejsou zálohy za energii hrazeny měsíční zálohou. V těchto situacích je stanovená záloha </w:t>
      </w:r>
      <w:r>
        <w:t xml:space="preserve">ze strany ÚP ČR </w:t>
      </w:r>
      <w:r w:rsidRPr="00C82EFB">
        <w:t xml:space="preserve">přepočtena </w:t>
      </w:r>
      <w:r w:rsidR="006D3544">
        <w:br/>
      </w:r>
      <w:r w:rsidRPr="00C82EFB">
        <w:t>na měsíční výši a tato je považována za stanovenou zálohu na daný měsíc</w:t>
      </w:r>
      <w:r w:rsidR="00965416">
        <w:t xml:space="preserve">. </w:t>
      </w:r>
      <w:r w:rsidRPr="00C82EFB">
        <w:t xml:space="preserve"> </w:t>
      </w:r>
    </w:p>
    <w:p w:rsidR="008C45E6" w:rsidRDefault="008C45E6" w:rsidP="00905761"/>
    <w:p w:rsidR="00433C54" w:rsidRDefault="00D64F0F" w:rsidP="00905761">
      <w:r w:rsidRPr="00044C32">
        <w:t xml:space="preserve">Pokud na základě vyúčtování energie za zúčtovací období dojde k přeplatku, který </w:t>
      </w:r>
      <w:r w:rsidR="006D3544">
        <w:br/>
      </w:r>
      <w:r w:rsidRPr="00044C32">
        <w:t xml:space="preserve">si dodavatel energie (jiná osoba) ponechá na úhrady budoucích záloh, zohledňuje </w:t>
      </w:r>
      <w:r w:rsidR="00965416">
        <w:br/>
      </w:r>
      <w:r w:rsidRPr="00044C32">
        <w:t xml:space="preserve">se při stanovení ONB výše zálohy připadající na jeden kalendářní měsíc. </w:t>
      </w:r>
      <w:r w:rsidR="00645C81" w:rsidRPr="00044C32">
        <w:t>Skutečnost</w:t>
      </w:r>
      <w:r w:rsidRPr="00044C32">
        <w:t xml:space="preserve">, </w:t>
      </w:r>
      <w:r w:rsidR="00645C81">
        <w:br/>
      </w:r>
      <w:r w:rsidRPr="00044C32">
        <w:t xml:space="preserve">že dodavatel energie (jiná osoba) si ponechal přeplatek za zúčtované období </w:t>
      </w:r>
      <w:r w:rsidR="00645C81">
        <w:br/>
      </w:r>
      <w:r w:rsidRPr="00044C32">
        <w:t>a z těchto sám umořuje měsíční výši zálohy, nemá na stanovení ONB vliv.</w:t>
      </w:r>
    </w:p>
    <w:p w:rsidR="009B7ED4" w:rsidRPr="00044C32" w:rsidRDefault="009B7ED4" w:rsidP="00905761"/>
    <w:p w:rsidR="00433C54" w:rsidRP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b/>
          <w:i/>
        </w:rPr>
      </w:pPr>
      <w:r w:rsidRPr="00433C54">
        <w:rPr>
          <w:b/>
          <w:i/>
        </w:rPr>
        <w:t>Příklad:</w:t>
      </w:r>
    </w:p>
    <w:p w:rsidR="00433C54" w:rsidRDefault="00433C54"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33C54">
        <w:rPr>
          <w:i/>
        </w:rPr>
        <w:t xml:space="preserve">Na základě vyúčtování elektrické energie za zúčtovací období je ověřeno, že vznikl přeplatek ve výši 2 000 Kč, který si dodavatel energie ponechal s tím, že osoba není povinna 2 měsíce (červenec a srpen 2019) hradit zálohu na spotřebu elektrické energie. Záloha na spotřebu elektrické energie je stanovena v měsíční výši 1 000 Kč. Při stanovení ONB je jak v měsíci červenci, tak i v měsíci srpnu 2019, </w:t>
      </w:r>
      <w:r w:rsidR="007477E4">
        <w:rPr>
          <w:i/>
        </w:rPr>
        <w:t>zohledněna</w:t>
      </w:r>
      <w:r w:rsidRPr="00433C54">
        <w:rPr>
          <w:i/>
        </w:rPr>
        <w:t xml:space="preserve"> záloha na spotřebu elektrické energie ve výši 1 000 Kč.</w:t>
      </w:r>
    </w:p>
    <w:p w:rsidR="00A42860" w:rsidRDefault="00A42860"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rPr>
      </w:pPr>
    </w:p>
    <w:p w:rsidR="00A42860" w:rsidRPr="00433C54" w:rsidRDefault="00F01EDE" w:rsidP="00433C54">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Pr>
          <w:i/>
        </w:rPr>
        <w:t>S přeplatkem se pracuje jako by</w:t>
      </w:r>
      <w:r w:rsidR="00A42860">
        <w:rPr>
          <w:i/>
        </w:rPr>
        <w:t xml:space="preserve"> byl vyplacen.</w:t>
      </w:r>
    </w:p>
    <w:p w:rsidR="000F6009" w:rsidRDefault="000F6009" w:rsidP="00905761"/>
    <w:p w:rsidR="008C45E6" w:rsidRDefault="00BD3023" w:rsidP="00905761">
      <w:r w:rsidRPr="00C82EFB">
        <w:t xml:space="preserve">Z praxe je známo, že někteří dodavatele elektrické energie stanovují 11 záloh </w:t>
      </w:r>
      <w:r w:rsidR="00A51145">
        <w:br/>
      </w:r>
      <w:r w:rsidRPr="00C82EFB">
        <w:t xml:space="preserve">na spotřebu elektrické energie, které však slouží k úhradě spotřeby elektrické energie za 12 kalendářních měsíců. </w:t>
      </w:r>
      <w:r w:rsidR="00A51145">
        <w:t xml:space="preserve">V takových situacích jsou možné 2 </w:t>
      </w:r>
      <w:r w:rsidR="006F65E5">
        <w:t>postupy</w:t>
      </w:r>
      <w:r w:rsidR="009817E2">
        <w:t xml:space="preserve"> (varianty)</w:t>
      </w:r>
      <w:r w:rsidR="006F65E5">
        <w:t xml:space="preserve">: </w:t>
      </w:r>
      <w:r w:rsidR="00A51145">
        <w:t xml:space="preserve"> </w:t>
      </w:r>
    </w:p>
    <w:p w:rsidR="008C45E6" w:rsidRDefault="008C45E6" w:rsidP="00905761"/>
    <w:p w:rsidR="00F853E6" w:rsidRDefault="00A76D4D" w:rsidP="00905761">
      <w:r w:rsidRPr="00B91886">
        <w:t xml:space="preserve">Osoba doloží předepsané zálohy na energie </w:t>
      </w:r>
      <w:r w:rsidR="00A924B4" w:rsidRPr="00B91886">
        <w:t xml:space="preserve">v dané výši na určité </w:t>
      </w:r>
      <w:r w:rsidR="009A7C8F" w:rsidRPr="00B91886">
        <w:t>období</w:t>
      </w:r>
      <w:r w:rsidR="00643ABF" w:rsidRPr="00B91886">
        <w:t xml:space="preserve">, které </w:t>
      </w:r>
      <w:r w:rsidR="00643ABF" w:rsidRPr="00B91886">
        <w:br/>
        <w:t xml:space="preserve">je např. od 14. 12. 2019 do 14. 12. 2020, ale zálohy má stanoveny jen za 11 měsíců (tzn. za prosinec 2019 až říjen 2020) a za poslední 12. měsíc zúčtovacího období (tzn. za listopad 2020) zálohu stanovenou nemá, protože v tomto měsíci probíhá vyúčtování za energie a záloha za energie se nehradí. </w:t>
      </w:r>
      <w:r w:rsidR="00F00B7D" w:rsidRPr="00B91886">
        <w:t xml:space="preserve">Orgán pomoci v hmotné nouzi zhodnotí zálohy, jak jsou předepsány (tzn. za měsíce prosinec 2019 až říjen 2020) a za poslední 12. měsíc zúčtovacího období (tzn. za listopad 2020) nezohlední nic. </w:t>
      </w:r>
    </w:p>
    <w:p w:rsidR="00035508" w:rsidRPr="00B91886" w:rsidRDefault="00035508" w:rsidP="00905761"/>
    <w:p w:rsidR="00F00B7D" w:rsidRDefault="00F00B7D" w:rsidP="00905761">
      <w:pPr>
        <w:rPr>
          <w:color w:val="FF0000"/>
        </w:rPr>
      </w:pP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b/>
          <w:i/>
        </w:rPr>
      </w:pPr>
      <w:r w:rsidRPr="00414598">
        <w:rPr>
          <w:b/>
          <w:i/>
        </w:rPr>
        <w:lastRenderedPageBreak/>
        <w:t xml:space="preserve">Příklad: </w:t>
      </w:r>
    </w:p>
    <w:p w:rsidR="00F2643E" w:rsidRDefault="00F2643E" w:rsidP="00F2643E">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14598">
        <w:rPr>
          <w:i/>
        </w:rPr>
        <w:t xml:space="preserve">Dle rozpisu záloh na spotřebu elektrické energie osoba v období od </w:t>
      </w:r>
      <w:r w:rsidR="006D3544" w:rsidRPr="00414598">
        <w:rPr>
          <w:i/>
        </w:rPr>
        <w:t>08. 01. 2019</w:t>
      </w:r>
      <w:r w:rsidR="006D3544">
        <w:rPr>
          <w:i/>
        </w:rPr>
        <w:br/>
      </w:r>
      <w:r w:rsidRPr="00414598">
        <w:rPr>
          <w:i/>
        </w:rPr>
        <w:t xml:space="preserve"> do </w:t>
      </w:r>
      <w:r w:rsidR="006D3544" w:rsidRPr="00414598">
        <w:rPr>
          <w:i/>
        </w:rPr>
        <w:t>08. 01. 2020</w:t>
      </w:r>
      <w:r w:rsidRPr="00414598">
        <w:rPr>
          <w:i/>
        </w:rPr>
        <w:t xml:space="preserve"> je povinna uhradit 11 záloh ve výši 1 200 Kč. Orgán pomoci v hmotné nouzi při stanovení ONB do aplikačního programu od měsíce ledna 2019 do měsíce listopadu 2019 zadává jakožto měsíční výši zálohy částku 1 200 Kč, v měsíci prosinci 2019 </w:t>
      </w:r>
      <w:r>
        <w:rPr>
          <w:i/>
        </w:rPr>
        <w:t>ne</w:t>
      </w:r>
      <w:r w:rsidRPr="00414598">
        <w:rPr>
          <w:i/>
        </w:rPr>
        <w:t xml:space="preserve">zadá </w:t>
      </w:r>
      <w:r>
        <w:rPr>
          <w:i/>
        </w:rPr>
        <w:t>žádnou částku</w:t>
      </w:r>
      <w:r w:rsidRPr="00414598">
        <w:rPr>
          <w:i/>
        </w:rPr>
        <w:t xml:space="preserve"> zálohy. </w:t>
      </w: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p>
    <w:p w:rsid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14598">
        <w:rPr>
          <w:i/>
        </w:rPr>
        <w:t>Výše v místě obvyklá byla vyhodnocena v částce 1 400 Kč měsíčně</w:t>
      </w:r>
      <w:r w:rsidR="00077246">
        <w:rPr>
          <w:i/>
        </w:rPr>
        <w:t xml:space="preserve">, proto se částka 1 200 Kč bude započítávat v rámci ONB. </w:t>
      </w: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p>
    <w:p w:rsid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14598">
        <w:rPr>
          <w:i/>
        </w:rPr>
        <w:t xml:space="preserve">V měsíci prosinci 2019 je vydáno rozhodnutí o snížení dávky o částku 1 200 Kč (v příkladu se vychází z předpokladu, že nedošlo k žádné jiné změně ve skutečnostech rozhodných pro nárok na dávku, její výši či výplatu) z důvodu nulové výše ONB v části záloh za elektrickou energii. </w:t>
      </w: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14598">
        <w:rPr>
          <w:i/>
        </w:rPr>
        <w:t xml:space="preserve">V měsíci lednu 2020 je vydáno oznámení o zvýšení dávky o 1 200 Kč (na základě vyúčtování byly ponechány dodavatelem energie stejné zálohy jako v předchozím období), neboť z důvodu zadání zálohy za elektrickou energii došlo k navýšení výše ONB. </w:t>
      </w:r>
    </w:p>
    <w:p w:rsidR="00031881" w:rsidRDefault="00031881" w:rsidP="00905761">
      <w:pPr>
        <w:rPr>
          <w:color w:val="FF0000"/>
        </w:rPr>
      </w:pPr>
    </w:p>
    <w:p w:rsidR="00F2643E" w:rsidRPr="00B91886" w:rsidRDefault="00F2643E" w:rsidP="00F2643E">
      <w:r w:rsidRPr="00B91886">
        <w:t xml:space="preserve">Oporou pro daný postup je srozumitelnost vysvětlení věci příjemci dávky (žadateli </w:t>
      </w:r>
      <w:r w:rsidR="006D3544" w:rsidRPr="00B91886">
        <w:br/>
      </w:r>
      <w:r w:rsidRPr="00B91886">
        <w:t>o dávku). Příjemce dávky (žadatel o dávku, osoba společně posuzovaná) je povinen uhradit zálohu 11x a v jednom měsíci zálohu nehradit, s čímž koresponduje (myšleno s povinností hradit zálohy v konkrétním měsíci) vyhodnocování výše ONB v části elektrické energie. Ve 12. měsíci proto dojde ke změně výše dávky (a možná i nároku na ni).</w:t>
      </w:r>
    </w:p>
    <w:p w:rsidR="00F2643E" w:rsidRPr="00B91886" w:rsidRDefault="00F2643E" w:rsidP="00F2643E"/>
    <w:p w:rsidR="00956EB2" w:rsidRPr="00B91886" w:rsidRDefault="00F2643E" w:rsidP="00F2643E">
      <w:r w:rsidRPr="00B91886">
        <w:t xml:space="preserve">Po doložení vyúčtování za zúčtovací období se </w:t>
      </w:r>
      <w:r w:rsidR="0095396C" w:rsidRPr="00B91886">
        <w:t xml:space="preserve">toto </w:t>
      </w:r>
      <w:r w:rsidRPr="00B91886">
        <w:t xml:space="preserve">vyúčtování </w:t>
      </w:r>
      <w:r w:rsidR="0095396C" w:rsidRPr="00B91886">
        <w:t>přepočítá</w:t>
      </w:r>
      <w:r w:rsidRPr="00B91886">
        <w:t xml:space="preserve"> </w:t>
      </w:r>
      <w:r w:rsidR="00CC7574" w:rsidRPr="00B91886">
        <w:br/>
      </w:r>
      <w:r w:rsidRPr="00B91886">
        <w:t xml:space="preserve">a </w:t>
      </w:r>
      <w:r w:rsidR="0095396C" w:rsidRPr="00B91886">
        <w:t xml:space="preserve">stanoví </w:t>
      </w:r>
      <w:r w:rsidRPr="00B91886">
        <w:t xml:space="preserve">se přeplatek/doplatek na dávce. Ten se počítá za zúčtovací období v délce 12 měsíců, kdy se měsíční částky vyplacené za tyto měsíce porovnají s nově vypočtenými měsíčními částkami za toto období (viz Článek III.). V novém výpočtu </w:t>
      </w:r>
      <w:r w:rsidR="00CC7574" w:rsidRPr="00B91886">
        <w:br/>
      </w:r>
      <w:r w:rsidRPr="00B91886">
        <w:t xml:space="preserve">se jako záloha použije průměrná měsíční výše skutečných nákladů uvedených </w:t>
      </w:r>
      <w:r w:rsidR="00CC7574" w:rsidRPr="00B91886">
        <w:br/>
      </w:r>
      <w:r w:rsidRPr="00B91886">
        <w:t xml:space="preserve">ve vyúčtování, a to i v měsíci, ve kterém výše zálohy nebyla uvedena. Při výpočtu </w:t>
      </w:r>
      <w:r w:rsidR="00CC7574" w:rsidRPr="00B91886">
        <w:br/>
      </w:r>
      <w:r w:rsidRPr="00B91886">
        <w:t>se průměrná měsíční výše skutečných nákladů započítá max. do výše měsíč</w:t>
      </w:r>
      <w:r w:rsidR="00966382" w:rsidRPr="00B91886">
        <w:t>ních nákladů v místě obvyklých.</w:t>
      </w:r>
    </w:p>
    <w:p w:rsidR="00414598" w:rsidRPr="00B91886" w:rsidRDefault="00414598" w:rsidP="00905761"/>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b/>
          <w:i/>
        </w:rPr>
      </w:pPr>
      <w:r w:rsidRPr="00414598">
        <w:rPr>
          <w:b/>
          <w:i/>
        </w:rPr>
        <w:t>Příklad:</w:t>
      </w:r>
    </w:p>
    <w:p w:rsidR="00414598" w:rsidRDefault="00F2643E"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14598">
        <w:rPr>
          <w:i/>
        </w:rPr>
        <w:t xml:space="preserve">Dne </w:t>
      </w:r>
      <w:r w:rsidR="00C200DD" w:rsidRPr="00414598">
        <w:rPr>
          <w:i/>
        </w:rPr>
        <w:t>15. 01. 2020</w:t>
      </w:r>
      <w:r w:rsidRPr="00414598">
        <w:rPr>
          <w:i/>
        </w:rPr>
        <w:t xml:space="preserve"> osoba doloží vyúčtování za zúčtovací období od </w:t>
      </w:r>
      <w:r w:rsidR="00C200DD" w:rsidRPr="00414598">
        <w:rPr>
          <w:i/>
        </w:rPr>
        <w:t>08. 01. 2019</w:t>
      </w:r>
      <w:r w:rsidRPr="00414598">
        <w:rPr>
          <w:i/>
        </w:rPr>
        <w:t xml:space="preserve"> </w:t>
      </w:r>
      <w:r w:rsidR="00077246">
        <w:rPr>
          <w:i/>
        </w:rPr>
        <w:br/>
      </w:r>
      <w:r w:rsidRPr="00414598">
        <w:rPr>
          <w:i/>
        </w:rPr>
        <w:t xml:space="preserve">do </w:t>
      </w:r>
      <w:r w:rsidR="00C200DD" w:rsidRPr="00414598">
        <w:rPr>
          <w:i/>
        </w:rPr>
        <w:t>08. 01. 2020</w:t>
      </w:r>
      <w:r w:rsidRPr="00414598">
        <w:rPr>
          <w:i/>
        </w:rPr>
        <w:t xml:space="preserve">, kdy byla povinna uhradit 11 zálohami ve výši 1 200 Kč spotřebu </w:t>
      </w:r>
      <w:r w:rsidR="00077246">
        <w:rPr>
          <w:i/>
        </w:rPr>
        <w:br/>
      </w:r>
      <w:r w:rsidRPr="00414598">
        <w:rPr>
          <w:i/>
        </w:rPr>
        <w:t xml:space="preserve">za 12 měsíců. Orgán pomoci v hmotné nouzi při stanovení ONB do aplikačního programu od měsíce ledna 2019 do měsíce listopadu 2019 zadával jakožto měsíční výši zálohy částku 1 200 Kč, v měsíci prosinci 2019 výši zálohy </w:t>
      </w:r>
      <w:r>
        <w:rPr>
          <w:i/>
        </w:rPr>
        <w:t xml:space="preserve">nezadal </w:t>
      </w:r>
      <w:r w:rsidRPr="00414598">
        <w:rPr>
          <w:i/>
        </w:rPr>
        <w:t>(viz výše uvedený příklad).</w:t>
      </w:r>
    </w:p>
    <w:p w:rsid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14598">
        <w:rPr>
          <w:i/>
        </w:rPr>
        <w:lastRenderedPageBreak/>
        <w:t xml:space="preserve">Výše v místě obvyklá byla vyhodnocena v částce 1 400 Kč měsíčně, proto při stanovení ONB v části elektrické energie byla zohledňována v měsících lednu 2019 až listopadu 2019 částka 1 200 Kč, v měsíci prosinci 2019 došlo ke snížení dávky o 1 200 Kč (viz příklad výše). </w:t>
      </w: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p>
    <w:p w:rsid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14598">
        <w:rPr>
          <w:i/>
        </w:rPr>
        <w:t>Na základě vyúčtování bylo zjištěno, že skutečné náklady za období od  08.</w:t>
      </w:r>
      <w:r w:rsidR="00C200DD">
        <w:rPr>
          <w:i/>
        </w:rPr>
        <w:t xml:space="preserve"> </w:t>
      </w:r>
      <w:r w:rsidRPr="00414598">
        <w:rPr>
          <w:i/>
        </w:rPr>
        <w:t>01.</w:t>
      </w:r>
      <w:r w:rsidR="00C200DD">
        <w:rPr>
          <w:i/>
        </w:rPr>
        <w:t xml:space="preserve"> </w:t>
      </w:r>
      <w:r w:rsidRPr="00414598">
        <w:rPr>
          <w:i/>
        </w:rPr>
        <w:t xml:space="preserve">2019 do </w:t>
      </w:r>
      <w:r w:rsidR="00C200DD" w:rsidRPr="00414598">
        <w:rPr>
          <w:i/>
        </w:rPr>
        <w:t>08. 01. 2020</w:t>
      </w:r>
      <w:r w:rsidRPr="00414598">
        <w:rPr>
          <w:i/>
        </w:rPr>
        <w:t xml:space="preserve"> činily 15 600 Kč. </w:t>
      </w:r>
    </w:p>
    <w:p w:rsidR="00C200DD" w:rsidRPr="00414598" w:rsidRDefault="00C200DD"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p>
    <w:p w:rsidR="00414598" w:rsidRDefault="0095396C"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Pr>
          <w:i/>
        </w:rPr>
        <w:t>Bude</w:t>
      </w:r>
      <w:r w:rsidR="00414598" w:rsidRPr="00414598">
        <w:rPr>
          <w:i/>
        </w:rPr>
        <w:t xml:space="preserve"> vyhodnoceno, že skutečná výše spotřeby na jeden kalendářní měsíc od měsíce ledna 2019 do měsíce prosince 2019 je 1 300 Kč měsíčně.</w:t>
      </w: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p>
    <w:p w:rsid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u w:val="single"/>
        </w:rPr>
      </w:pPr>
      <w:r w:rsidRPr="00414598">
        <w:rPr>
          <w:i/>
          <w:u w:val="single"/>
        </w:rPr>
        <w:t>Měsíční výše v místě obvyklá za zúčtovací období byla stanovena částkou 1 400 Kč, zohledňována byla 11x záloha v měsíční výši 1 200 Kč, 1x záloha v nulové výši, skutečná spotřeba za 12 měsíců činila 1 300 Kč měsíčně.</w:t>
      </w:r>
    </w:p>
    <w:p w:rsidR="00A4270E" w:rsidRPr="00414598" w:rsidRDefault="00A4270E"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u w:val="single"/>
        </w:rPr>
      </w:pP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b/>
          <w:i/>
          <w:u w:val="single"/>
        </w:rPr>
      </w:pPr>
      <w:r w:rsidRPr="00414598">
        <w:rPr>
          <w:b/>
          <w:i/>
          <w:u w:val="single"/>
        </w:rPr>
        <w:t>Osobě náleží doplatek k dávce ve výši 2 400 Kč.</w:t>
      </w: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u w:val="single"/>
        </w:rPr>
      </w:pPr>
      <w:r w:rsidRPr="00414598">
        <w:rPr>
          <w:i/>
          <w:u w:val="single"/>
        </w:rPr>
        <w:t xml:space="preserve">(1 300 Kč skutečné náklady zjištěné z vyúčtování – 1 200 Kč zohledňovaná výše v ONB) = 100 Kč x 11 měsíců zúčtovacího období za současného hrazení zálohy + 1 300 Kč za měsíc s nulovou zálohou = 2 400 Kč.  </w:t>
      </w: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p>
    <w:p w:rsid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14598">
        <w:rPr>
          <w:i/>
        </w:rPr>
        <w:t xml:space="preserve">Osoba uhradila dodavateli energie 13 200 Kč (11x 1 200 Kč), náklady za skutečnou spotřebu činily 15 600 Kč. Osobě tedy vznikl nedoplatek vůči dodavateli energie </w:t>
      </w:r>
      <w:r w:rsidR="0095396C">
        <w:rPr>
          <w:i/>
        </w:rPr>
        <w:br/>
      </w:r>
      <w:r w:rsidRPr="00414598">
        <w:rPr>
          <w:i/>
        </w:rPr>
        <w:t xml:space="preserve">ve výši 2 400 Kč (15 600 Kč – 13 200 Kč). </w:t>
      </w: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p>
    <w:p w:rsidR="00414598" w:rsidRPr="00414598" w:rsidRDefault="00414598" w:rsidP="00414598">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14598">
        <w:rPr>
          <w:i/>
        </w:rPr>
        <w:t>Doplatkem k dávce pomoci v hmotné nouzi bude osobě vyplacena právě částka 2 400 Kč, kdy nelze zapomínat na fakt, že v měsíci prosinci 2019 byla dávka snížena o 1 200 Kč z důvodu zadání nulové zálohy na spotřebu elektrické energie</w:t>
      </w:r>
      <w:r w:rsidR="00F2643E">
        <w:rPr>
          <w:rStyle w:val="Znakapoznpodarou"/>
          <w:i/>
        </w:rPr>
        <w:footnoteReference w:id="22"/>
      </w:r>
      <w:r w:rsidRPr="00414598">
        <w:rPr>
          <w:i/>
        </w:rPr>
        <w:t xml:space="preserve">. </w:t>
      </w:r>
    </w:p>
    <w:p w:rsidR="00C81007" w:rsidRDefault="00C81007" w:rsidP="00905761"/>
    <w:p w:rsidR="001B0521" w:rsidRPr="009120DE" w:rsidRDefault="001B0521" w:rsidP="001B0521">
      <w:pPr>
        <w:rPr>
          <w:szCs w:val="24"/>
          <w:lang w:eastAsia="cs-CZ"/>
        </w:rPr>
      </w:pPr>
      <w:r>
        <w:rPr>
          <w:lang w:eastAsia="cs-CZ"/>
        </w:rPr>
        <w:t>V dikci ustanovení § 34 písm. c) ZPHN je uvedeno</w:t>
      </w:r>
      <w:r w:rsidRPr="00580264">
        <w:rPr>
          <w:i/>
          <w:lang w:eastAsia="cs-CZ"/>
        </w:rPr>
        <w:t>:„…; výše úhrady za prokazatelnou nezbytnou spotřebu energií se stanoví jako průměrná cena za dodávku energií pro bytovou jednotku určité velikosti…“</w:t>
      </w:r>
      <w:r>
        <w:rPr>
          <w:lang w:eastAsia="cs-CZ"/>
        </w:rPr>
        <w:t xml:space="preserve">, neznamená to však, že velikost bytu bezpodmínečně ovlivňuje každou jednotlivou položku, ze které je vyhodnocena záloha na spotřebu energie ve výši v místě obvyklé. Např. u elektrické energie užívané </w:t>
      </w:r>
      <w:r w:rsidR="00103F6F">
        <w:rPr>
          <w:lang w:eastAsia="cs-CZ"/>
        </w:rPr>
        <w:br/>
      </w:r>
      <w:r>
        <w:rPr>
          <w:lang w:eastAsia="cs-CZ"/>
        </w:rPr>
        <w:t xml:space="preserve">za účelem provozu spotřebičů, na vaření a ohřev teplé vody je z podstaty věci zřejmé, že velikost bytu započitatelnou výši nikterak neovlivní. Velikost bytu v běžné praxi ovlivňuje výši </w:t>
      </w:r>
      <w:r w:rsidRPr="009120DE">
        <w:rPr>
          <w:szCs w:val="24"/>
          <w:lang w:eastAsia="cs-CZ"/>
        </w:rPr>
        <w:t xml:space="preserve">úhrad za </w:t>
      </w:r>
      <w:r>
        <w:rPr>
          <w:szCs w:val="24"/>
          <w:lang w:eastAsia="cs-CZ"/>
        </w:rPr>
        <w:t>elektrickou energii</w:t>
      </w:r>
      <w:r w:rsidRPr="009120DE">
        <w:rPr>
          <w:szCs w:val="24"/>
          <w:lang w:eastAsia="cs-CZ"/>
        </w:rPr>
        <w:t xml:space="preserve"> užívanou ke svícení, avšak v kontextu ZPHN, kdy jsou dávky přiznávané na zabezpečení základních životních podmínek, </w:t>
      </w:r>
      <w:r w:rsidR="00103F6F">
        <w:rPr>
          <w:szCs w:val="24"/>
          <w:lang w:eastAsia="cs-CZ"/>
        </w:rPr>
        <w:br/>
      </w:r>
      <w:r w:rsidRPr="009120DE">
        <w:rPr>
          <w:szCs w:val="24"/>
          <w:lang w:eastAsia="cs-CZ"/>
        </w:rPr>
        <w:t>je v souladu s tímto zákonem</w:t>
      </w:r>
      <w:r>
        <w:rPr>
          <w:szCs w:val="24"/>
          <w:lang w:eastAsia="cs-CZ"/>
        </w:rPr>
        <w:t xml:space="preserve"> stanoveno</w:t>
      </w:r>
      <w:r w:rsidRPr="009120DE">
        <w:rPr>
          <w:szCs w:val="24"/>
          <w:lang w:eastAsia="cs-CZ"/>
        </w:rPr>
        <w:t xml:space="preserve">, že započitatelná výše </w:t>
      </w:r>
      <w:r>
        <w:rPr>
          <w:szCs w:val="24"/>
          <w:lang w:eastAsia="cs-CZ"/>
        </w:rPr>
        <w:t>elektrické energie</w:t>
      </w:r>
      <w:r w:rsidRPr="009120DE">
        <w:rPr>
          <w:szCs w:val="24"/>
          <w:lang w:eastAsia="cs-CZ"/>
        </w:rPr>
        <w:t xml:space="preserve"> </w:t>
      </w:r>
      <w:r w:rsidRPr="009120DE">
        <w:rPr>
          <w:szCs w:val="24"/>
          <w:lang w:eastAsia="cs-CZ"/>
        </w:rPr>
        <w:lastRenderedPageBreak/>
        <w:t>užívaná na svícení není bezprostředně závislá na velikosti bytu.</w:t>
      </w:r>
      <w:r>
        <w:rPr>
          <w:szCs w:val="24"/>
          <w:lang w:eastAsia="cs-CZ"/>
        </w:rPr>
        <w:t xml:space="preserve"> Velikost bytu ovlivňuje stanovení výše v místě obvyklé při užívání dané energie k vytápění.</w:t>
      </w:r>
    </w:p>
    <w:p w:rsidR="001B0521" w:rsidRDefault="001B0521" w:rsidP="001B0521"/>
    <w:p w:rsidR="001B0521" w:rsidRDefault="001B0521" w:rsidP="001B0521">
      <w:r>
        <w:t>Při užívání jiných forem energií</w:t>
      </w:r>
      <w:r w:rsidR="00F53367">
        <w:t xml:space="preserve"> než elektrické energie a plynu</w:t>
      </w:r>
      <w:r>
        <w:t xml:space="preserve"> (</w:t>
      </w:r>
      <w:r w:rsidR="00F87D17">
        <w:t>např. uhlí, dřevo, propan butan)</w:t>
      </w:r>
      <w:r>
        <w:t xml:space="preserve">, je při postupu dle ZPHN nutné rozlišovat následující. Pokud orgán pomoci v hmotné nouzi požádá o pomoc při řešení situace týkající se úhrady za jiný zdroj energie (typicky úhrada uhlí na topnou sezónu jednou částkou) osoba, která není příjemcem DnB, je možné osobě, která nemá vzhledem k příjmům a celkovým sociálním a majetkovým poměrům dostatečné prostředky na úhradu nákladu, poskytnout dávku </w:t>
      </w:r>
      <w:r w:rsidR="0054761C">
        <w:t>mimořádná okamžitá pomoc (dále jen „</w:t>
      </w:r>
      <w:r>
        <w:t>MOP</w:t>
      </w:r>
      <w:r w:rsidR="0054761C">
        <w:t>“)</w:t>
      </w:r>
      <w:r>
        <w:t xml:space="preserve">. Orgán pomoci v hmotné nouzi ověřuje, zda tato osoba není příjemcem příspěvku na bydlení </w:t>
      </w:r>
      <w:r w:rsidR="00FA69A0">
        <w:br/>
      </w:r>
      <w:r>
        <w:t xml:space="preserve">ze systému dávek státní sociální podpory. V příspěvku na bydlení jsou náklady </w:t>
      </w:r>
      <w:r w:rsidR="00FA69A0">
        <w:br/>
      </w:r>
      <w:r>
        <w:t xml:space="preserve">za ostatní druhy energií zohledněny. </w:t>
      </w:r>
    </w:p>
    <w:p w:rsidR="001B0521" w:rsidRDefault="001B0521" w:rsidP="001B0521"/>
    <w:p w:rsidR="001B0521" w:rsidRDefault="001B0521" w:rsidP="001B0521">
      <w:r>
        <w:t>Pokud orgán pomoci</w:t>
      </w:r>
      <w:r w:rsidRPr="00E0729C">
        <w:t xml:space="preserve"> </w:t>
      </w:r>
      <w:r>
        <w:t xml:space="preserve">v hmotné nouzi požádá o pomoc při řešení situace týkající </w:t>
      </w:r>
      <w:r w:rsidR="00FA69A0">
        <w:br/>
      </w:r>
      <w:r>
        <w:t xml:space="preserve">se úhrady za jiný zdroj energie osoba, která je příjemcem DnB, je možné aplikovat </w:t>
      </w:r>
      <w:r w:rsidR="008857DF">
        <w:br/>
        <w:t xml:space="preserve">2 </w:t>
      </w:r>
      <w:r>
        <w:t>postupy:</w:t>
      </w:r>
    </w:p>
    <w:p w:rsidR="001B0521" w:rsidRDefault="001B0521" w:rsidP="00E7491B">
      <w:pPr>
        <w:pStyle w:val="Odstavecseseznamem"/>
        <w:numPr>
          <w:ilvl w:val="0"/>
          <w:numId w:val="14"/>
        </w:numPr>
      </w:pPr>
      <w:r>
        <w:t>poskytnutí dávky MOP (viz výše)</w:t>
      </w:r>
      <w:r w:rsidR="00F53367">
        <w:t>;</w:t>
      </w:r>
    </w:p>
    <w:p w:rsidR="001B0521" w:rsidRDefault="001B0521" w:rsidP="00E7491B">
      <w:pPr>
        <w:pStyle w:val="Odstavecseseznamem"/>
        <w:numPr>
          <w:ilvl w:val="0"/>
          <w:numId w:val="14"/>
        </w:numPr>
      </w:pPr>
      <w:r>
        <w:t>zohledňovat náklady na jiné zdroje energií stejným způsobem jako u užívání elektrické energie a plynu, tedy podílem na kalendářní měsíc</w:t>
      </w:r>
      <w:r w:rsidR="00F53367">
        <w:t>.</w:t>
      </w:r>
    </w:p>
    <w:p w:rsidR="006D67CC" w:rsidRPr="00905761" w:rsidRDefault="006D67CC" w:rsidP="00905761"/>
    <w:p w:rsidR="00905761" w:rsidRPr="00905761" w:rsidRDefault="000253C1" w:rsidP="005D327C">
      <w:pPr>
        <w:pStyle w:val="Nadpis4"/>
      </w:pPr>
      <w:bookmarkStart w:id="15" w:name="_Toc25833344"/>
      <w:r>
        <w:t>1. E</w:t>
      </w:r>
      <w:r w:rsidR="007404EF">
        <w:t>lekt</w:t>
      </w:r>
      <w:r w:rsidR="001B0521">
        <w:t>rická energie</w:t>
      </w:r>
      <w:bookmarkEnd w:id="15"/>
    </w:p>
    <w:p w:rsidR="00ED77D7" w:rsidRDefault="00ED77D7" w:rsidP="00ED77D7">
      <w:r>
        <w:t>Pro stanovení výše ONB  v části elektrické energie v částce v místě obvyklé je třeba znát sazbu elektrické energie a jistič, i když povinnost doložení těchto skutečností není přímo stanovena ZPHN.</w:t>
      </w:r>
    </w:p>
    <w:p w:rsidR="00F53367" w:rsidRDefault="00F53367" w:rsidP="00ED77D7"/>
    <w:p w:rsidR="00ED77D7" w:rsidRDefault="00ED77D7" w:rsidP="00ED77D7">
      <w:r>
        <w:t>V případě, že žadatel o dávku (příjemce dávky) tyto údaje nedoloží, je zapotřebí jej k doložení vyzvat. Zároveň je možné v souladu s ustanovením § 50 ZPHN vyzvat k doložení daných skutečností i vlastníka bytu, dodavatele energie</w:t>
      </w:r>
      <w:r w:rsidR="00C47076">
        <w:t>.</w:t>
      </w:r>
      <w:r>
        <w:t xml:space="preserve"> </w:t>
      </w:r>
    </w:p>
    <w:p w:rsidR="00ED77D7" w:rsidRDefault="00ED77D7" w:rsidP="00ED77D7">
      <w:pPr>
        <w:rPr>
          <w:lang w:eastAsia="cs-CZ"/>
        </w:rPr>
      </w:pPr>
    </w:p>
    <w:p w:rsidR="00ED77D7" w:rsidRDefault="00ED77D7" w:rsidP="00ED77D7">
      <w:pPr>
        <w:rPr>
          <w:lang w:eastAsia="cs-CZ"/>
        </w:rPr>
      </w:pPr>
      <w:r w:rsidRPr="00580264">
        <w:rPr>
          <w:rFonts w:cs="Arial"/>
          <w:szCs w:val="24"/>
        </w:rPr>
        <w:t xml:space="preserve">Cena elektrické energie se počítá z ceníků distribučních společností, které </w:t>
      </w:r>
      <w:r w:rsidR="00FA69A0">
        <w:rPr>
          <w:rFonts w:cs="Arial"/>
          <w:szCs w:val="24"/>
        </w:rPr>
        <w:br/>
      </w:r>
      <w:r w:rsidRPr="00580264">
        <w:rPr>
          <w:rFonts w:cs="Arial"/>
          <w:szCs w:val="24"/>
        </w:rPr>
        <w:t xml:space="preserve">od </w:t>
      </w:r>
      <w:r w:rsidR="00446532">
        <w:rPr>
          <w:rFonts w:cs="Arial"/>
          <w:szCs w:val="24"/>
        </w:rPr>
        <w:t>ERÚ</w:t>
      </w:r>
      <w:r w:rsidRPr="00580264">
        <w:rPr>
          <w:rFonts w:cs="Arial"/>
          <w:szCs w:val="24"/>
        </w:rPr>
        <w:t xml:space="preserve"> získaly licenci na dodávku elektřiny poslední instance. Je součtem ceny </w:t>
      </w:r>
      <w:r w:rsidR="00446532">
        <w:rPr>
          <w:rFonts w:cs="Arial"/>
          <w:szCs w:val="24"/>
        </w:rPr>
        <w:br/>
      </w:r>
      <w:r>
        <w:rPr>
          <w:lang w:eastAsia="cs-CZ"/>
        </w:rPr>
        <w:t>za distribuci a ceny za tzv. silovou elektřinu. Pro výpočet ceny za distribuci se použijí ceníky distribučních sp</w:t>
      </w:r>
      <w:r w:rsidR="00030707">
        <w:rPr>
          <w:lang w:eastAsia="cs-CZ"/>
        </w:rPr>
        <w:t xml:space="preserve">olečností ČEZ Distribuce, a.s., </w:t>
      </w:r>
      <w:r>
        <w:rPr>
          <w:lang w:eastAsia="cs-CZ"/>
        </w:rPr>
        <w:t xml:space="preserve">E.ON Distribuce, a.s. </w:t>
      </w:r>
      <w:r w:rsidR="00714DFD">
        <w:rPr>
          <w:lang w:eastAsia="cs-CZ"/>
        </w:rPr>
        <w:br/>
      </w:r>
      <w:r>
        <w:rPr>
          <w:lang w:eastAsia="cs-CZ"/>
        </w:rPr>
        <w:t>a PREdistribuce, a.s. Jako distributor je vybrána společnost, na jejímž distribučním území se užívaný byt nachází.</w:t>
      </w:r>
    </w:p>
    <w:p w:rsidR="00ED77D7" w:rsidRDefault="00ED77D7" w:rsidP="00ED77D7">
      <w:pPr>
        <w:rPr>
          <w:lang w:eastAsia="cs-CZ"/>
        </w:rPr>
      </w:pPr>
    </w:p>
    <w:p w:rsidR="00ED77D7" w:rsidRDefault="00ED77D7" w:rsidP="00ED77D7">
      <w:pPr>
        <w:rPr>
          <w:lang w:eastAsia="cs-CZ"/>
        </w:rPr>
      </w:pPr>
      <w:r>
        <w:rPr>
          <w:lang w:eastAsia="cs-CZ"/>
        </w:rPr>
        <w:t xml:space="preserve">Jako ceník poslední instance silové elektřiny se používá ceník poslední instance </w:t>
      </w:r>
      <w:r w:rsidR="00FA69A0">
        <w:rPr>
          <w:lang w:eastAsia="cs-CZ"/>
        </w:rPr>
        <w:br/>
      </w:r>
      <w:r>
        <w:rPr>
          <w:lang w:eastAsia="cs-CZ"/>
        </w:rPr>
        <w:t>od společnosti ČEZ Distribuce, a.s., a to ve znění za prosinec předcházejícího kalendářního roku. Ostatní distributoři ceníky nezveřejňují nebo zveřejňují běžné ceníky, které jsou však závislé na smlouvě odběratele s původním dodavatelem.</w:t>
      </w:r>
    </w:p>
    <w:p w:rsidR="00ED77D7" w:rsidRDefault="00ED77D7" w:rsidP="00ED77D7">
      <w:pPr>
        <w:rPr>
          <w:lang w:eastAsia="cs-CZ"/>
        </w:rPr>
      </w:pPr>
    </w:p>
    <w:p w:rsidR="00ED77D7" w:rsidRDefault="00ED77D7" w:rsidP="00ED77D7">
      <w:pPr>
        <w:rPr>
          <w:lang w:eastAsia="cs-CZ"/>
        </w:rPr>
      </w:pPr>
      <w:r>
        <w:rPr>
          <w:lang w:eastAsia="cs-CZ"/>
        </w:rPr>
        <w:lastRenderedPageBreak/>
        <w:t>Záloha na elektrickou energii se započítává ve výši stanovené měsíční zálohy, maximálně však do výše nákladů na elektrickou energii v místě obvyklých.</w:t>
      </w:r>
    </w:p>
    <w:p w:rsidR="002D700C" w:rsidRDefault="002D700C" w:rsidP="00ED77D7">
      <w:pPr>
        <w:rPr>
          <w:lang w:eastAsia="cs-CZ"/>
        </w:rPr>
      </w:pPr>
    </w:p>
    <w:p w:rsidR="00CF5AA1" w:rsidRDefault="007404EF" w:rsidP="00E7491B">
      <w:pPr>
        <w:pStyle w:val="Odstavecseseznamem"/>
        <w:numPr>
          <w:ilvl w:val="0"/>
          <w:numId w:val="17"/>
        </w:numPr>
        <w:rPr>
          <w:b/>
          <w:lang w:eastAsia="cs-CZ"/>
        </w:rPr>
      </w:pPr>
      <w:bookmarkStart w:id="16" w:name="_Toc531857534"/>
      <w:r w:rsidRPr="00CB71A9">
        <w:rPr>
          <w:b/>
          <w:lang w:eastAsia="cs-CZ"/>
        </w:rPr>
        <w:t>Náklady na elek</w:t>
      </w:r>
      <w:r w:rsidR="00ED77D7" w:rsidRPr="00CB71A9">
        <w:rPr>
          <w:b/>
          <w:lang w:eastAsia="cs-CZ"/>
        </w:rPr>
        <w:t>trickou energii</w:t>
      </w:r>
      <w:r w:rsidRPr="00CB71A9">
        <w:rPr>
          <w:b/>
          <w:lang w:eastAsia="cs-CZ"/>
        </w:rPr>
        <w:t xml:space="preserve"> v místě obvyklé</w:t>
      </w:r>
      <w:bookmarkEnd w:id="16"/>
    </w:p>
    <w:p w:rsidR="00CC5319" w:rsidRPr="00CC5319" w:rsidRDefault="00CC5319" w:rsidP="00CC5319">
      <w:pPr>
        <w:rPr>
          <w:b/>
          <w:lang w:eastAsia="cs-CZ"/>
        </w:rPr>
      </w:pPr>
    </w:p>
    <w:p w:rsidR="00506AE3" w:rsidRPr="005F48D7" w:rsidRDefault="005F48D7" w:rsidP="005F48D7">
      <w:pPr>
        <w:pBdr>
          <w:top w:val="single" w:sz="4" w:space="1" w:color="auto"/>
          <w:left w:val="single" w:sz="4" w:space="4" w:color="auto"/>
          <w:bottom w:val="single" w:sz="4" w:space="1" w:color="auto"/>
          <w:right w:val="single" w:sz="4" w:space="4" w:color="auto"/>
        </w:pBdr>
        <w:jc w:val="center"/>
        <w:rPr>
          <w:b/>
          <w:lang w:eastAsia="cs-CZ"/>
        </w:rPr>
      </w:pPr>
      <w:r>
        <w:rPr>
          <w:b/>
          <w:lang w:eastAsia="cs-CZ"/>
        </w:rPr>
        <w:t>Náklady na elektrickou energii</w:t>
      </w:r>
      <w:r w:rsidR="00506AE3" w:rsidRPr="0014100C">
        <w:rPr>
          <w:b/>
          <w:lang w:eastAsia="cs-CZ"/>
        </w:rPr>
        <w:t xml:space="preserve"> v místě obvyklé</w:t>
      </w:r>
      <w:r w:rsidR="00506AE3">
        <w:rPr>
          <w:lang w:eastAsia="cs-CZ"/>
        </w:rPr>
        <w:t xml:space="preserve"> = </w:t>
      </w:r>
      <w:r>
        <w:rPr>
          <w:lang w:eastAsia="cs-CZ"/>
        </w:rPr>
        <w:t>stálé platby + cena za množství * nezbytná spotřeba elektrické energie v místě obvyklá</w:t>
      </w:r>
    </w:p>
    <w:p w:rsidR="00811042" w:rsidRDefault="00811042" w:rsidP="00E7491B">
      <w:pPr>
        <w:pStyle w:val="Odstavecseseznamem"/>
        <w:numPr>
          <w:ilvl w:val="0"/>
          <w:numId w:val="15"/>
        </w:numPr>
        <w:rPr>
          <w:lang w:eastAsia="cs-CZ"/>
        </w:rPr>
      </w:pPr>
      <w:r>
        <w:rPr>
          <w:lang w:eastAsia="cs-CZ"/>
        </w:rPr>
        <w:t>Stálé platby (nezávislé na spotřebě):</w:t>
      </w:r>
    </w:p>
    <w:p w:rsidR="0071766E" w:rsidRDefault="00811042" w:rsidP="00E7491B">
      <w:pPr>
        <w:pStyle w:val="Odstavecseseznamem"/>
        <w:numPr>
          <w:ilvl w:val="0"/>
          <w:numId w:val="16"/>
        </w:numPr>
        <w:rPr>
          <w:lang w:eastAsia="cs-CZ"/>
        </w:rPr>
      </w:pPr>
      <w:r>
        <w:rPr>
          <w:lang w:eastAsia="cs-CZ"/>
        </w:rPr>
        <w:t>platba za jistič (</w:t>
      </w:r>
      <w:r w:rsidR="00E63B7C">
        <w:rPr>
          <w:lang w:eastAsia="cs-CZ"/>
        </w:rPr>
        <w:t>dle ceníku distributora</w:t>
      </w:r>
      <w:r>
        <w:rPr>
          <w:lang w:eastAsia="cs-CZ"/>
        </w:rPr>
        <w:t>)</w:t>
      </w:r>
      <w:r w:rsidR="008B3DE5">
        <w:rPr>
          <w:lang w:eastAsia="cs-CZ"/>
        </w:rPr>
        <w:t>;</w:t>
      </w:r>
    </w:p>
    <w:p w:rsidR="00811042" w:rsidRDefault="0071766E" w:rsidP="00E7491B">
      <w:pPr>
        <w:pStyle w:val="Odstavecseseznamem"/>
        <w:numPr>
          <w:ilvl w:val="0"/>
          <w:numId w:val="16"/>
        </w:numPr>
        <w:rPr>
          <w:lang w:eastAsia="cs-CZ"/>
        </w:rPr>
      </w:pPr>
      <w:r>
        <w:rPr>
          <w:lang w:eastAsia="cs-CZ"/>
        </w:rPr>
        <w:t>st</w:t>
      </w:r>
      <w:r w:rsidR="00811042">
        <w:rPr>
          <w:lang w:eastAsia="cs-CZ"/>
        </w:rPr>
        <w:t>álá platba dodavateli za obchodní činnost (dodavatel poslední instance ČEZ Distribuce a. s.)</w:t>
      </w:r>
      <w:r w:rsidR="008B3DE5">
        <w:rPr>
          <w:lang w:eastAsia="cs-CZ"/>
        </w:rPr>
        <w:t>.</w:t>
      </w:r>
    </w:p>
    <w:p w:rsidR="0071766E" w:rsidRDefault="0071766E" w:rsidP="0071766E">
      <w:pPr>
        <w:rPr>
          <w:lang w:eastAsia="cs-CZ"/>
        </w:rPr>
      </w:pPr>
    </w:p>
    <w:p w:rsidR="00811042" w:rsidRDefault="00811042" w:rsidP="00E7491B">
      <w:pPr>
        <w:pStyle w:val="Odstavecseseznamem"/>
        <w:numPr>
          <w:ilvl w:val="0"/>
          <w:numId w:val="15"/>
        </w:numPr>
        <w:rPr>
          <w:lang w:eastAsia="cs-CZ"/>
        </w:rPr>
      </w:pPr>
      <w:r>
        <w:rPr>
          <w:lang w:eastAsia="cs-CZ"/>
        </w:rPr>
        <w:t>Cena za množství:</w:t>
      </w:r>
    </w:p>
    <w:p w:rsidR="00E63B7C" w:rsidRDefault="00E63B7C" w:rsidP="00E7491B">
      <w:pPr>
        <w:pStyle w:val="Odstavecseseznamem"/>
        <w:numPr>
          <w:ilvl w:val="0"/>
          <w:numId w:val="26"/>
        </w:numPr>
        <w:rPr>
          <w:lang w:eastAsia="cs-CZ"/>
        </w:rPr>
      </w:pPr>
      <w:r>
        <w:rPr>
          <w:lang w:eastAsia="cs-CZ"/>
        </w:rPr>
        <w:t>platba za distribuované množství (Kč/MWh) dle ceníku distributora;</w:t>
      </w:r>
    </w:p>
    <w:p w:rsidR="00E63B7C" w:rsidRDefault="00E63B7C" w:rsidP="00E7491B">
      <w:pPr>
        <w:pStyle w:val="Odstavecseseznamem"/>
        <w:numPr>
          <w:ilvl w:val="0"/>
          <w:numId w:val="26"/>
        </w:numPr>
        <w:rPr>
          <w:lang w:eastAsia="cs-CZ"/>
        </w:rPr>
      </w:pPr>
      <w:r>
        <w:rPr>
          <w:lang w:eastAsia="cs-CZ"/>
        </w:rPr>
        <w:t>platba za dodané množství včetně ekologické daně (Kč/MWh), tzn. cena silové elektrické energie (pro výpočet použita cena poslední instance ČEZ Distribuce a. s.);</w:t>
      </w:r>
    </w:p>
    <w:p w:rsidR="00E63B7C" w:rsidRDefault="00E63B7C" w:rsidP="00E7491B">
      <w:pPr>
        <w:pStyle w:val="Odstavecseseznamem"/>
        <w:numPr>
          <w:ilvl w:val="0"/>
          <w:numId w:val="26"/>
        </w:numPr>
        <w:rPr>
          <w:lang w:eastAsia="cs-CZ"/>
        </w:rPr>
      </w:pPr>
      <w:r>
        <w:rPr>
          <w:lang w:eastAsia="cs-CZ"/>
        </w:rPr>
        <w:t>platba za systémové služby (Kč/MWh) dle ceníku distributora;</w:t>
      </w:r>
    </w:p>
    <w:p w:rsidR="00E63B7C" w:rsidRDefault="00E63B7C" w:rsidP="00E7491B">
      <w:pPr>
        <w:pStyle w:val="Odstavecseseznamem"/>
        <w:numPr>
          <w:ilvl w:val="0"/>
          <w:numId w:val="26"/>
        </w:numPr>
        <w:rPr>
          <w:lang w:eastAsia="cs-CZ"/>
        </w:rPr>
      </w:pPr>
      <w:r>
        <w:rPr>
          <w:lang w:eastAsia="cs-CZ"/>
        </w:rPr>
        <w:t>platba za krytí vícenákladů (Kč/MWh) dle ceníku distributora;</w:t>
      </w:r>
    </w:p>
    <w:p w:rsidR="00E63B7C" w:rsidRDefault="00E63B7C" w:rsidP="00E7491B">
      <w:pPr>
        <w:pStyle w:val="Odstavecseseznamem"/>
        <w:numPr>
          <w:ilvl w:val="0"/>
          <w:numId w:val="26"/>
        </w:numPr>
        <w:rPr>
          <w:lang w:eastAsia="cs-CZ"/>
        </w:rPr>
      </w:pPr>
      <w:r>
        <w:rPr>
          <w:lang w:eastAsia="cs-CZ"/>
        </w:rPr>
        <w:t>platby za činnost operátora (Kč/MWh) dle ceníku distributora.</w:t>
      </w:r>
    </w:p>
    <w:p w:rsidR="00794DD3" w:rsidRDefault="00794DD3" w:rsidP="007404EF">
      <w:pPr>
        <w:rPr>
          <w:lang w:eastAsia="cs-CZ"/>
        </w:rPr>
      </w:pPr>
    </w:p>
    <w:p w:rsidR="00CB71A9" w:rsidRDefault="007404EF" w:rsidP="00E7491B">
      <w:pPr>
        <w:pStyle w:val="Odstavecseseznamem"/>
        <w:numPr>
          <w:ilvl w:val="0"/>
          <w:numId w:val="18"/>
        </w:numPr>
        <w:rPr>
          <w:b/>
          <w:lang w:eastAsia="cs-CZ"/>
        </w:rPr>
      </w:pPr>
      <w:bookmarkStart w:id="17" w:name="_Toc531857535"/>
      <w:r w:rsidRPr="00CB71A9">
        <w:rPr>
          <w:b/>
          <w:lang w:eastAsia="cs-CZ"/>
        </w:rPr>
        <w:t xml:space="preserve">Nezbytná </w:t>
      </w:r>
      <w:r w:rsidRPr="00CB71A9">
        <w:rPr>
          <w:b/>
        </w:rPr>
        <w:t>spotřeba</w:t>
      </w:r>
      <w:r w:rsidRPr="00CB71A9">
        <w:rPr>
          <w:b/>
          <w:lang w:eastAsia="cs-CZ"/>
        </w:rPr>
        <w:t xml:space="preserve"> elektrické energie v místě obvyklá</w:t>
      </w:r>
      <w:bookmarkEnd w:id="17"/>
    </w:p>
    <w:p w:rsidR="00CC5319" w:rsidRPr="00CC5319" w:rsidRDefault="00CC5319" w:rsidP="00CC5319">
      <w:pPr>
        <w:rPr>
          <w:b/>
          <w:lang w:eastAsia="cs-CZ"/>
        </w:rPr>
      </w:pPr>
    </w:p>
    <w:p w:rsidR="00E63B7C" w:rsidRPr="00506AE3" w:rsidRDefault="00E63B7C" w:rsidP="00DE6B1B">
      <w:pPr>
        <w:pBdr>
          <w:top w:val="single" w:sz="4" w:space="1" w:color="auto"/>
          <w:left w:val="single" w:sz="4" w:space="4" w:color="auto"/>
          <w:bottom w:val="single" w:sz="4" w:space="1" w:color="auto"/>
          <w:right w:val="single" w:sz="4" w:space="4" w:color="auto"/>
        </w:pBdr>
        <w:jc w:val="center"/>
        <w:rPr>
          <w:lang w:eastAsia="cs-CZ"/>
        </w:rPr>
      </w:pPr>
      <w:r w:rsidRPr="00DE6B1B">
        <w:rPr>
          <w:b/>
          <w:lang w:eastAsia="cs-CZ"/>
        </w:rPr>
        <w:t>Nezbytná spotřeba elektrické energie v místě obvyklá</w:t>
      </w:r>
      <w:r>
        <w:rPr>
          <w:lang w:eastAsia="cs-CZ"/>
        </w:rPr>
        <w:t xml:space="preserve"> = nezbytná spotřeba elektrické energie na svícení a malé spotřebiče + nezbytná spotřeba elektrické energie na vytápění + nezbytná spotřeba energie na ohřev teplé vody + nezbytná spotřeba elektrické energie k vaření</w:t>
      </w:r>
    </w:p>
    <w:p w:rsidR="00811042" w:rsidRDefault="00811042" w:rsidP="00811042"/>
    <w:p w:rsidR="00811042" w:rsidRDefault="00811042" w:rsidP="00811042">
      <w:r>
        <w:t>Nezbytná spotřeba elektrické energie v místě obvyklá se vypočítá jako součet výše uvedených položek (pokud je elektrická energie v  konkrétním obývaném prostoru užívána k danému účelu).</w:t>
      </w:r>
    </w:p>
    <w:p w:rsidR="00811042" w:rsidRDefault="00811042" w:rsidP="00811042"/>
    <w:p w:rsidR="00811042" w:rsidRDefault="00811042" w:rsidP="00E7491B">
      <w:pPr>
        <w:pStyle w:val="Odstavecseseznamem"/>
        <w:numPr>
          <w:ilvl w:val="0"/>
          <w:numId w:val="4"/>
        </w:numPr>
        <w:rPr>
          <w:b/>
        </w:rPr>
      </w:pPr>
      <w:r w:rsidRPr="00F65550">
        <w:rPr>
          <w:b/>
        </w:rPr>
        <w:t xml:space="preserve">Nezbytná spotřeba </w:t>
      </w:r>
      <w:r>
        <w:rPr>
          <w:b/>
        </w:rPr>
        <w:t>elektrické energie užívan</w:t>
      </w:r>
      <w:r w:rsidR="00E63B7C">
        <w:rPr>
          <w:b/>
        </w:rPr>
        <w:t>é</w:t>
      </w:r>
      <w:r>
        <w:rPr>
          <w:b/>
        </w:rPr>
        <w:t xml:space="preserve"> k</w:t>
      </w:r>
      <w:r w:rsidR="00035508">
        <w:rPr>
          <w:b/>
        </w:rPr>
        <w:t> </w:t>
      </w:r>
      <w:r w:rsidRPr="00F65550">
        <w:rPr>
          <w:b/>
        </w:rPr>
        <w:t>vaření</w:t>
      </w:r>
    </w:p>
    <w:p w:rsidR="00035508" w:rsidRPr="00035508" w:rsidRDefault="00035508" w:rsidP="00035508">
      <w:pPr>
        <w:rPr>
          <w:b/>
        </w:rPr>
      </w:pPr>
    </w:p>
    <w:p w:rsidR="0071766E" w:rsidRDefault="00E63B7C" w:rsidP="00811042">
      <w:pPr>
        <w:rPr>
          <w:rFonts w:cs="Arial"/>
          <w:szCs w:val="24"/>
        </w:rPr>
      </w:pPr>
      <w:r>
        <w:t xml:space="preserve">Nezbytná spotřeba energie na vaření je stanovena pevnou hodnotou, která </w:t>
      </w:r>
      <w:r w:rsidR="00E84F64">
        <w:br/>
      </w:r>
      <w:r>
        <w:t xml:space="preserve">se započítá v případě, kdy je elektrická energie používána k vaření a činí </w:t>
      </w:r>
      <w:r w:rsidR="00CC5319">
        <w:rPr>
          <w:rFonts w:cs="Arial"/>
          <w:szCs w:val="24"/>
        </w:rPr>
        <w:t xml:space="preserve">0,6 MWh/rok. </w:t>
      </w:r>
    </w:p>
    <w:p w:rsidR="00CC5319" w:rsidRPr="000C3BAC" w:rsidRDefault="00CC5319" w:rsidP="00811042">
      <w:pPr>
        <w:rPr>
          <w:rFonts w:cs="Arial"/>
          <w:szCs w:val="24"/>
        </w:rPr>
      </w:pPr>
    </w:p>
    <w:p w:rsidR="00E63B7C" w:rsidRPr="0071766E" w:rsidRDefault="00E63B7C" w:rsidP="00E63B7C">
      <w:pPr>
        <w:pBdr>
          <w:top w:val="single" w:sz="4" w:space="1" w:color="auto"/>
          <w:left w:val="single" w:sz="4" w:space="4" w:color="auto"/>
          <w:bottom w:val="single" w:sz="4" w:space="1" w:color="auto"/>
          <w:right w:val="single" w:sz="4" w:space="4" w:color="auto"/>
        </w:pBdr>
        <w:jc w:val="center"/>
        <w:rPr>
          <w:lang w:eastAsia="cs-CZ"/>
        </w:rPr>
      </w:pPr>
      <w:r w:rsidRPr="00E63B7C">
        <w:rPr>
          <w:rFonts w:cs="Arial"/>
          <w:b/>
          <w:szCs w:val="24"/>
        </w:rPr>
        <w:t>Nezbytná spotřeba elektrické energie na vaření</w:t>
      </w:r>
      <w:r w:rsidR="008E5C9F">
        <w:rPr>
          <w:rFonts w:cs="Arial"/>
          <w:b/>
          <w:szCs w:val="24"/>
        </w:rPr>
        <w:t xml:space="preserve"> </w:t>
      </w:r>
      <w:r>
        <w:rPr>
          <w:rFonts w:cs="Arial"/>
          <w:szCs w:val="24"/>
        </w:rPr>
        <w:t>=</w:t>
      </w:r>
    </w:p>
    <w:p w:rsidR="00811042" w:rsidRDefault="00E63B7C" w:rsidP="00966382">
      <w:pPr>
        <w:pBdr>
          <w:top w:val="single" w:sz="4" w:space="1" w:color="auto"/>
          <w:left w:val="single" w:sz="4" w:space="4" w:color="auto"/>
          <w:bottom w:val="single" w:sz="4" w:space="1" w:color="auto"/>
          <w:right w:val="single" w:sz="4" w:space="4" w:color="auto"/>
        </w:pBdr>
        <w:jc w:val="center"/>
        <w:rPr>
          <w:lang w:eastAsia="cs-CZ"/>
        </w:rPr>
      </w:pPr>
      <w:r w:rsidRPr="00691AD2">
        <w:rPr>
          <w:rFonts w:cs="Arial"/>
          <w:szCs w:val="24"/>
        </w:rPr>
        <w:t xml:space="preserve">0,6 </w:t>
      </w:r>
      <w:r w:rsidRPr="00691AD2">
        <w:rPr>
          <w:lang w:eastAsia="cs-CZ"/>
        </w:rPr>
        <w:t>/ 12 (</w:t>
      </w:r>
      <w:r w:rsidRPr="00691AD2">
        <w:rPr>
          <w:rFonts w:cs="Arial"/>
          <w:szCs w:val="24"/>
        </w:rPr>
        <w:t>MWh)</w:t>
      </w:r>
    </w:p>
    <w:p w:rsidR="00035508" w:rsidRDefault="00035508" w:rsidP="00035508">
      <w:pPr>
        <w:rPr>
          <w:b/>
        </w:rPr>
      </w:pPr>
    </w:p>
    <w:p w:rsidR="00035508" w:rsidRDefault="00035508" w:rsidP="00035508">
      <w:pPr>
        <w:rPr>
          <w:b/>
        </w:rPr>
      </w:pPr>
    </w:p>
    <w:p w:rsidR="00035508" w:rsidRPr="00035508" w:rsidRDefault="00035508" w:rsidP="00035508">
      <w:pPr>
        <w:rPr>
          <w:b/>
        </w:rPr>
      </w:pPr>
    </w:p>
    <w:p w:rsidR="00E63B7C" w:rsidRPr="00CB71A9" w:rsidRDefault="00E63B7C" w:rsidP="00E7491B">
      <w:pPr>
        <w:pStyle w:val="Odstavecseseznamem"/>
        <w:numPr>
          <w:ilvl w:val="0"/>
          <w:numId w:val="4"/>
        </w:numPr>
        <w:rPr>
          <w:b/>
        </w:rPr>
      </w:pPr>
      <w:r w:rsidRPr="00F65550">
        <w:rPr>
          <w:b/>
        </w:rPr>
        <w:lastRenderedPageBreak/>
        <w:t xml:space="preserve">Nezbytná spotřeba </w:t>
      </w:r>
      <w:r>
        <w:rPr>
          <w:b/>
        </w:rPr>
        <w:t>elektrické energie užívané</w:t>
      </w:r>
      <w:r w:rsidRPr="00F65550">
        <w:rPr>
          <w:b/>
        </w:rPr>
        <w:t xml:space="preserve"> na svícení a malé spotřebiče</w:t>
      </w:r>
    </w:p>
    <w:p w:rsidR="00035508" w:rsidRDefault="00035508" w:rsidP="00E63B7C">
      <w:pPr>
        <w:rPr>
          <w:rFonts w:cs="Arial"/>
          <w:szCs w:val="24"/>
        </w:rPr>
      </w:pPr>
    </w:p>
    <w:p w:rsidR="00E63B7C" w:rsidRDefault="00E63B7C" w:rsidP="00E63B7C">
      <w:pPr>
        <w:rPr>
          <w:rFonts w:cs="Arial"/>
          <w:szCs w:val="24"/>
        </w:rPr>
      </w:pPr>
      <w:r w:rsidRPr="00E63B7C">
        <w:rPr>
          <w:rFonts w:cs="Arial"/>
          <w:szCs w:val="24"/>
        </w:rPr>
        <w:t xml:space="preserve">Nezbytná spotřeba elektrické energie na svícení a malé spotřebiče se určuje vzorcem, kdy od průměrné celkové měsíční spotřeby elektřiny domácnostmi v sazbě D 02d </w:t>
      </w:r>
      <w:r>
        <w:t xml:space="preserve">(tato sazba není určena pro vytápění a ohřev TUV) </w:t>
      </w:r>
      <w:r w:rsidRPr="00E63B7C">
        <w:rPr>
          <w:rFonts w:cs="Arial"/>
          <w:szCs w:val="24"/>
        </w:rPr>
        <w:t>je odečten koeficient 0,8 (koeficient míry snížení o měrnou spotřebu elektřiny na vaření) vynásobený měrnou spotřebou energie na vaření (0,6 MWh/rok). Jinými slovy, odečítá se 80% energie připadající na vaření. Tato částka se použije jako paušální částka bez ohledu na počet osob a velikost bytu</w:t>
      </w:r>
      <w:r>
        <w:rPr>
          <w:rStyle w:val="Znakapoznpodarou"/>
          <w:rFonts w:cs="Arial"/>
          <w:szCs w:val="24"/>
        </w:rPr>
        <w:footnoteReference w:id="23"/>
      </w:r>
      <w:r w:rsidRPr="00E63B7C">
        <w:rPr>
          <w:rFonts w:cs="Arial"/>
          <w:szCs w:val="24"/>
        </w:rPr>
        <w:t>.</w:t>
      </w:r>
    </w:p>
    <w:p w:rsidR="00956EB2" w:rsidRDefault="00956EB2" w:rsidP="00E63B7C">
      <w:pPr>
        <w:rPr>
          <w:rFonts w:cs="Arial"/>
          <w:szCs w:val="24"/>
        </w:rPr>
      </w:pPr>
    </w:p>
    <w:p w:rsidR="00CE7BFC" w:rsidRDefault="00CE7BFC" w:rsidP="00CE7BFC">
      <w:pPr>
        <w:pBdr>
          <w:top w:val="single" w:sz="4" w:space="1" w:color="auto"/>
          <w:left w:val="single" w:sz="4" w:space="1" w:color="auto"/>
          <w:bottom w:val="single" w:sz="4" w:space="1" w:color="auto"/>
          <w:right w:val="single" w:sz="4" w:space="1" w:color="auto"/>
        </w:pBdr>
        <w:jc w:val="center"/>
        <w:rPr>
          <w:rFonts w:cs="Arial"/>
          <w:b/>
          <w:szCs w:val="24"/>
        </w:rPr>
      </w:pPr>
      <w:r>
        <w:rPr>
          <w:rFonts w:cs="Arial"/>
          <w:b/>
          <w:szCs w:val="24"/>
        </w:rPr>
        <w:t xml:space="preserve">Nezbytná spotřeba elektřiny užívané na svícení a malé spotřebiče </w:t>
      </w:r>
      <w:r>
        <w:rPr>
          <w:rFonts w:cs="Arial"/>
          <w:szCs w:val="24"/>
        </w:rPr>
        <w:t>=</w:t>
      </w:r>
      <w:r>
        <w:rPr>
          <w:rFonts w:cs="Arial"/>
          <w:b/>
          <w:szCs w:val="24"/>
        </w:rPr>
        <w:t xml:space="preserve"> </w:t>
      </w:r>
    </w:p>
    <w:p w:rsidR="00811042" w:rsidRDefault="00CE7BFC" w:rsidP="00CE7BFC">
      <w:pPr>
        <w:pBdr>
          <w:top w:val="single" w:sz="4" w:space="1" w:color="auto"/>
          <w:left w:val="single" w:sz="4" w:space="1" w:color="auto"/>
          <w:bottom w:val="single" w:sz="4" w:space="1" w:color="auto"/>
          <w:right w:val="single" w:sz="4" w:space="1" w:color="auto"/>
        </w:pBdr>
        <w:rPr>
          <w:lang w:eastAsia="cs-CZ"/>
        </w:rPr>
      </w:pPr>
      <w:r w:rsidRPr="00EB106C">
        <w:rPr>
          <w:rFonts w:cs="Arial"/>
          <w:szCs w:val="24"/>
        </w:rPr>
        <w:t xml:space="preserve">průměrná celková </w:t>
      </w:r>
      <w:r>
        <w:rPr>
          <w:rFonts w:cs="Arial"/>
          <w:szCs w:val="24"/>
        </w:rPr>
        <w:t xml:space="preserve">měsíční </w:t>
      </w:r>
      <w:r w:rsidRPr="00EB106C">
        <w:rPr>
          <w:rFonts w:cs="Arial"/>
          <w:szCs w:val="24"/>
        </w:rPr>
        <w:t xml:space="preserve">spotřeba </w:t>
      </w:r>
      <w:r>
        <w:rPr>
          <w:rFonts w:cs="Arial"/>
          <w:szCs w:val="24"/>
        </w:rPr>
        <w:t xml:space="preserve">domácností </w:t>
      </w:r>
      <w:r w:rsidRPr="00EB106C">
        <w:rPr>
          <w:rFonts w:cs="Arial"/>
          <w:szCs w:val="24"/>
        </w:rPr>
        <w:t xml:space="preserve">v sazbě D 02D – (0,8 </w:t>
      </w:r>
      <w:r w:rsidRPr="00EB106C">
        <w:rPr>
          <w:lang w:eastAsia="cs-CZ"/>
        </w:rPr>
        <w:t xml:space="preserve">* </w:t>
      </w:r>
      <w:r w:rsidRPr="00EB106C">
        <w:rPr>
          <w:rFonts w:cs="Arial"/>
          <w:szCs w:val="24"/>
        </w:rPr>
        <w:t xml:space="preserve">0,6 </w:t>
      </w:r>
      <w:r w:rsidRPr="00EB106C">
        <w:rPr>
          <w:lang w:eastAsia="cs-CZ"/>
        </w:rPr>
        <w:t>/12</w:t>
      </w:r>
      <w:r>
        <w:rPr>
          <w:lang w:eastAsia="cs-CZ"/>
        </w:rPr>
        <w:t>)</w:t>
      </w:r>
    </w:p>
    <w:p w:rsidR="00CE7BFC" w:rsidRDefault="00CE7BFC" w:rsidP="00CE7BFC"/>
    <w:p w:rsidR="00811042" w:rsidRPr="00F65550" w:rsidRDefault="00811042" w:rsidP="00E7491B">
      <w:pPr>
        <w:pStyle w:val="Odstavecseseznamem"/>
        <w:numPr>
          <w:ilvl w:val="0"/>
          <w:numId w:val="4"/>
        </w:numPr>
        <w:rPr>
          <w:b/>
        </w:rPr>
      </w:pPr>
      <w:r w:rsidRPr="00F65550">
        <w:rPr>
          <w:b/>
        </w:rPr>
        <w:t xml:space="preserve">Nezbytná spotřeba </w:t>
      </w:r>
      <w:r>
        <w:rPr>
          <w:b/>
        </w:rPr>
        <w:t xml:space="preserve">elektrické energie </w:t>
      </w:r>
      <w:r w:rsidRPr="00F65550">
        <w:rPr>
          <w:b/>
        </w:rPr>
        <w:t>na vytápění v místě obvyklá</w:t>
      </w:r>
    </w:p>
    <w:p w:rsidR="00035508" w:rsidRDefault="00035508" w:rsidP="00CE7BFC"/>
    <w:p w:rsidR="00CE7BFC" w:rsidRDefault="00CE7BFC" w:rsidP="00CE7BFC">
      <w:r>
        <w:t>Nezbytná spotřeba elektrické energie k vytápění se vypočte jako součin nezbytné spotřeby energie na vytápění a procenta použití elektrické energie k vytápění. Nezbytná spotřeba energie k vytápění se počítá stejně jako v případě vytápění dálkovým teplem. Vypočte se z měrného ukazatele spotřeby tepelné energie, vytápěné podlahové plochy a zvýšení za tepelné ztráty.</w:t>
      </w:r>
    </w:p>
    <w:p w:rsidR="00CE7BFC" w:rsidRDefault="00CE7BFC" w:rsidP="00CE7BFC"/>
    <w:p w:rsidR="00CE7BFC" w:rsidRDefault="00CE7BFC" w:rsidP="00CE7BFC">
      <w:r w:rsidRPr="00610773">
        <w:t xml:space="preserve">Stanovení měrného ukazatele spotřeby tepelné energie je určeno </w:t>
      </w:r>
      <w:r w:rsidR="00F245DE" w:rsidRPr="00610773">
        <w:t>n</w:t>
      </w:r>
      <w:r w:rsidRPr="00610773">
        <w:t xml:space="preserve">a základě doporučení ERÚ. Na základě adresy obývaného prostoru </w:t>
      </w:r>
      <w:r w:rsidR="00610773" w:rsidRPr="00610773">
        <w:t xml:space="preserve">se </w:t>
      </w:r>
      <w:r w:rsidRPr="00610773">
        <w:t xml:space="preserve">stanoví teplotní pásmo, podle kterého </w:t>
      </w:r>
      <w:r w:rsidR="00A42860">
        <w:t xml:space="preserve">se </w:t>
      </w:r>
      <w:r w:rsidRPr="00610773">
        <w:t>určí měrný ukazatel spotřeby tepelné energie</w:t>
      </w:r>
      <w:r w:rsidR="00610773" w:rsidRPr="00610773">
        <w:rPr>
          <w:rStyle w:val="Znakapoznpodarou"/>
        </w:rPr>
        <w:footnoteReference w:id="24"/>
      </w:r>
      <w:r w:rsidRPr="00610773">
        <w:t xml:space="preserve">. </w:t>
      </w:r>
    </w:p>
    <w:p w:rsidR="00CE7BFC" w:rsidRDefault="00CE7BFC" w:rsidP="00CE7BFC"/>
    <w:p w:rsidR="00CE7BFC" w:rsidRDefault="00CE7BFC" w:rsidP="00CE7BFC">
      <w:r>
        <w:rPr>
          <w:lang w:eastAsia="cs-CZ"/>
        </w:rPr>
        <w:t xml:space="preserve">Měrný ukazatel spotřeby tepelné energie na vytápění je </w:t>
      </w:r>
      <w:r w:rsidRPr="00CE7BFC">
        <w:rPr>
          <w:rFonts w:cs="Arial"/>
          <w:szCs w:val="24"/>
        </w:rPr>
        <w:t>udáván v GJ/m</w:t>
      </w:r>
      <w:r w:rsidRPr="00CE7BFC">
        <w:rPr>
          <w:rFonts w:cs="Arial"/>
          <w:szCs w:val="24"/>
          <w:vertAlign w:val="superscript"/>
        </w:rPr>
        <w:t xml:space="preserve">2 </w:t>
      </w:r>
      <w:r w:rsidRPr="00CE7BFC">
        <w:rPr>
          <w:rFonts w:cs="Arial"/>
          <w:szCs w:val="24"/>
        </w:rPr>
        <w:t xml:space="preserve">za rok </w:t>
      </w:r>
      <w:r w:rsidR="00610773">
        <w:rPr>
          <w:rFonts w:cs="Arial"/>
          <w:szCs w:val="24"/>
        </w:rPr>
        <w:br/>
      </w:r>
      <w:r w:rsidRPr="00CE7BFC">
        <w:rPr>
          <w:rFonts w:cs="Arial"/>
          <w:szCs w:val="24"/>
        </w:rPr>
        <w:t>na 2,7 m výšku místnosti, jakožto průměrnou výšku místnosti.</w:t>
      </w:r>
    </w:p>
    <w:p w:rsidR="00CE7BFC" w:rsidRDefault="00CE7BFC" w:rsidP="00CE7BFC">
      <w:pPr>
        <w:rPr>
          <w:lang w:eastAsia="cs-CZ"/>
        </w:rPr>
      </w:pPr>
    </w:p>
    <w:p w:rsidR="00CE7BFC" w:rsidRDefault="00CE7BFC" w:rsidP="00CE7BFC">
      <w:pPr>
        <w:rPr>
          <w:lang w:eastAsia="cs-CZ"/>
        </w:rPr>
      </w:pPr>
      <w:r w:rsidRPr="003C3008">
        <w:rPr>
          <w:lang w:eastAsia="cs-CZ"/>
        </w:rPr>
        <w:t>Podlahovou plochou obývaného prostoru je myšlena podlahová plocha obývaného prostoru. Informace se zjišťuje z formul</w:t>
      </w:r>
      <w:r w:rsidR="003C3008">
        <w:rPr>
          <w:lang w:eastAsia="cs-CZ"/>
        </w:rPr>
        <w:t>áře „Informace o užívaném bytu (</w:t>
      </w:r>
      <w:r w:rsidRPr="003C3008">
        <w:rPr>
          <w:lang w:eastAsia="cs-CZ"/>
        </w:rPr>
        <w:t xml:space="preserve">obývaném </w:t>
      </w:r>
      <w:r w:rsidR="009D7EB8">
        <w:rPr>
          <w:lang w:eastAsia="cs-CZ"/>
        </w:rPr>
        <w:t>p</w:t>
      </w:r>
      <w:r w:rsidRPr="003C3008">
        <w:rPr>
          <w:lang w:eastAsia="cs-CZ"/>
        </w:rPr>
        <w:t>rostoru</w:t>
      </w:r>
      <w:r w:rsidR="003C3008">
        <w:rPr>
          <w:lang w:eastAsia="cs-CZ"/>
        </w:rPr>
        <w:t>)</w:t>
      </w:r>
      <w:r w:rsidRPr="003C3008">
        <w:rPr>
          <w:lang w:eastAsia="cs-CZ"/>
        </w:rPr>
        <w:t>“.</w:t>
      </w:r>
    </w:p>
    <w:p w:rsidR="00CE7BFC" w:rsidRDefault="00CE7BFC" w:rsidP="00CE7BFC"/>
    <w:p w:rsidR="00CE7BFC" w:rsidRDefault="00CE7BFC" w:rsidP="00CE7BFC">
      <w:r>
        <w:t>Jelikož výpočet n</w:t>
      </w:r>
      <w:r>
        <w:rPr>
          <w:lang w:eastAsia="cs-CZ"/>
        </w:rPr>
        <w:t xml:space="preserve">ezbytné spotřeby energie </w:t>
      </w:r>
      <w:r>
        <w:t xml:space="preserve">nezahrnuje izolační vlastnosti obývaného prostoru, jsou tepelné ztráty paušálně kompenzovány navýšením vypočtené energie </w:t>
      </w:r>
      <w:r w:rsidR="003C3008">
        <w:br/>
      </w:r>
      <w:r>
        <w:t>o 20%.</w:t>
      </w:r>
    </w:p>
    <w:p w:rsidR="00CE7BFC" w:rsidRPr="00CE7BFC" w:rsidRDefault="00CE7BFC" w:rsidP="00CE7BFC">
      <w:pPr>
        <w:rPr>
          <w:rFonts w:cs="Arial"/>
          <w:szCs w:val="24"/>
          <w:lang w:eastAsia="cs-CZ"/>
        </w:rPr>
      </w:pPr>
    </w:p>
    <w:p w:rsidR="00966382" w:rsidRDefault="003C3008" w:rsidP="003C3008">
      <w:r>
        <w:rPr>
          <w:lang w:eastAsia="cs-CZ"/>
        </w:rPr>
        <w:t xml:space="preserve">Nezbytná spotřeba energie na vytápění se </w:t>
      </w:r>
      <w:r>
        <w:t xml:space="preserve">započte v poměrné výši, v jaké je </w:t>
      </w:r>
      <w:r w:rsidR="002D700C">
        <w:t>elektrická energie na vytápění používána</w:t>
      </w:r>
      <w:r>
        <w:t xml:space="preserve"> (procento použití </w:t>
      </w:r>
      <w:r w:rsidR="002D700C">
        <w:t>elektrické energie</w:t>
      </w:r>
      <w:r>
        <w:t xml:space="preserve"> k vytápění) - zjišťuje se z formuláře „Informace o užívaném bytu (obývaném prostoru)“.</w:t>
      </w:r>
    </w:p>
    <w:p w:rsidR="00CE7BFC" w:rsidRPr="0071766E" w:rsidRDefault="00CE7BFC" w:rsidP="00CE7BFC">
      <w:pPr>
        <w:pBdr>
          <w:top w:val="single" w:sz="4" w:space="1" w:color="auto"/>
          <w:left w:val="single" w:sz="4" w:space="4" w:color="auto"/>
          <w:bottom w:val="single" w:sz="4" w:space="1" w:color="auto"/>
          <w:right w:val="single" w:sz="4" w:space="4" w:color="auto"/>
        </w:pBdr>
        <w:jc w:val="center"/>
        <w:rPr>
          <w:lang w:eastAsia="cs-CZ"/>
        </w:rPr>
      </w:pPr>
      <w:r w:rsidRPr="00F65550">
        <w:rPr>
          <w:b/>
        </w:rPr>
        <w:lastRenderedPageBreak/>
        <w:t xml:space="preserve">Nezbytná spotřeba </w:t>
      </w:r>
      <w:r>
        <w:rPr>
          <w:b/>
        </w:rPr>
        <w:t xml:space="preserve">elektrické energie </w:t>
      </w:r>
      <w:r w:rsidRPr="00F65550">
        <w:rPr>
          <w:b/>
        </w:rPr>
        <w:t xml:space="preserve">na vytápění </w:t>
      </w:r>
      <w:r>
        <w:rPr>
          <w:rFonts w:cs="Arial"/>
          <w:szCs w:val="24"/>
        </w:rPr>
        <w:t>=</w:t>
      </w:r>
    </w:p>
    <w:p w:rsidR="00CE7BFC" w:rsidRPr="00EB106C" w:rsidRDefault="00CE7BFC" w:rsidP="00CE7BFC">
      <w:pPr>
        <w:pBdr>
          <w:top w:val="single" w:sz="4" w:space="1" w:color="auto"/>
          <w:left w:val="single" w:sz="4" w:space="4" w:color="auto"/>
          <w:bottom w:val="single" w:sz="4" w:space="1" w:color="auto"/>
          <w:right w:val="single" w:sz="4" w:space="4" w:color="auto"/>
        </w:pBdr>
        <w:jc w:val="center"/>
        <w:rPr>
          <w:lang w:eastAsia="cs-CZ"/>
        </w:rPr>
      </w:pPr>
      <w:r w:rsidRPr="00EB106C">
        <w:rPr>
          <w:lang w:eastAsia="cs-CZ"/>
        </w:rPr>
        <w:t xml:space="preserve">podlahová plocha * měrný ukazatel spotřeby </w:t>
      </w:r>
      <w:r>
        <w:rPr>
          <w:lang w:eastAsia="cs-CZ"/>
        </w:rPr>
        <w:t>tepelné</w:t>
      </w:r>
      <w:r w:rsidRPr="00EB106C">
        <w:rPr>
          <w:lang w:eastAsia="cs-CZ"/>
        </w:rPr>
        <w:t xml:space="preserve"> energie * zvýšení za tepelné ztráty * </w:t>
      </w:r>
      <w:r>
        <w:rPr>
          <w:lang w:eastAsia="cs-CZ"/>
        </w:rPr>
        <w:t xml:space="preserve">procento </w:t>
      </w:r>
      <w:r w:rsidRPr="00EB106C">
        <w:rPr>
          <w:lang w:eastAsia="cs-CZ"/>
        </w:rPr>
        <w:t>použití elektrické energie k</w:t>
      </w:r>
      <w:r>
        <w:rPr>
          <w:lang w:eastAsia="cs-CZ"/>
        </w:rPr>
        <w:t> </w:t>
      </w:r>
      <w:r w:rsidRPr="00EB106C">
        <w:rPr>
          <w:lang w:eastAsia="cs-CZ"/>
        </w:rPr>
        <w:t>vytápění</w:t>
      </w:r>
      <w:r>
        <w:rPr>
          <w:lang w:eastAsia="cs-CZ"/>
        </w:rPr>
        <w:t xml:space="preserve"> / 100</w:t>
      </w:r>
    </w:p>
    <w:p w:rsidR="00811042" w:rsidRDefault="00811042" w:rsidP="00F81281"/>
    <w:p w:rsidR="00811042" w:rsidRPr="0079479F" w:rsidRDefault="00811042" w:rsidP="00E7491B">
      <w:pPr>
        <w:pStyle w:val="Odstavecseseznamem"/>
        <w:numPr>
          <w:ilvl w:val="0"/>
          <w:numId w:val="4"/>
        </w:numPr>
        <w:rPr>
          <w:b/>
        </w:rPr>
      </w:pPr>
      <w:r w:rsidRPr="0079479F">
        <w:rPr>
          <w:b/>
        </w:rPr>
        <w:t>Nezbytná spotřeba elektrické energie na ohřev vody (TUV)</w:t>
      </w:r>
    </w:p>
    <w:p w:rsidR="00035508" w:rsidRDefault="00035508" w:rsidP="00CE7BFC"/>
    <w:p w:rsidR="00CE7BFC" w:rsidRDefault="00CE7BFC" w:rsidP="00CE7BFC">
      <w:r w:rsidRPr="0079479F">
        <w:t xml:space="preserve">Nezbytná spotřeba elektrické energie k ohřevu TUV se vypočte z paušální částky spotřeby teplé vody pro jednu osobu, počtu osob společně posuzovaných a koeficientu spotřeby energie na ohřev vody. Nezbytná spotřeba energie na ohřev TUV se započte v poměrné výši, v jaké je elektrická energie na ohřev TUV používána </w:t>
      </w:r>
      <w:r w:rsidR="0079479F">
        <w:t xml:space="preserve">– zjišťuje </w:t>
      </w:r>
      <w:r w:rsidR="0079479F">
        <w:br/>
        <w:t>se z</w:t>
      </w:r>
      <w:r w:rsidRPr="0079479F">
        <w:t xml:space="preserve"> formuláře „Informace o užíva</w:t>
      </w:r>
      <w:r w:rsidR="0079479F">
        <w:t>ném bytu (obývaném prostoru)“</w:t>
      </w:r>
      <w:r w:rsidR="00CC5319" w:rsidRPr="0079479F">
        <w:t>.</w:t>
      </w:r>
    </w:p>
    <w:p w:rsidR="00CC5319" w:rsidRDefault="00CC5319" w:rsidP="00CE7BFC"/>
    <w:p w:rsidR="00CE7BFC" w:rsidRPr="00DE6B1B" w:rsidRDefault="00CE7BFC" w:rsidP="00DE6B1B">
      <w:pPr>
        <w:pBdr>
          <w:top w:val="single" w:sz="4" w:space="1" w:color="auto"/>
          <w:left w:val="single" w:sz="4" w:space="4" w:color="auto"/>
          <w:bottom w:val="single" w:sz="4" w:space="1" w:color="auto"/>
          <w:right w:val="single" w:sz="4" w:space="4" w:color="auto"/>
        </w:pBdr>
        <w:jc w:val="center"/>
        <w:rPr>
          <w:rFonts w:cs="Arial"/>
          <w:b/>
          <w:szCs w:val="24"/>
        </w:rPr>
      </w:pPr>
      <w:r w:rsidRPr="00DE6B1B">
        <w:rPr>
          <w:b/>
        </w:rPr>
        <w:t>Nezbytná spotřeba elektrické energie na ohřev vody</w:t>
      </w:r>
      <w:r w:rsidRPr="00DE6B1B">
        <w:rPr>
          <w:rFonts w:cs="Arial"/>
          <w:b/>
          <w:szCs w:val="24"/>
        </w:rPr>
        <w:t xml:space="preserve"> =</w:t>
      </w:r>
      <w:r w:rsidR="00DE6B1B">
        <w:rPr>
          <w:rFonts w:cs="Arial"/>
          <w:b/>
          <w:szCs w:val="24"/>
        </w:rPr>
        <w:t xml:space="preserve"> </w:t>
      </w:r>
      <w:r w:rsidRPr="00EB106C">
        <w:rPr>
          <w:lang w:eastAsia="cs-CZ"/>
        </w:rPr>
        <w:t xml:space="preserve">počet všech osob užívajících byt * průměrná roční spotřeba teplé vody na osobu </w:t>
      </w:r>
      <w:r>
        <w:rPr>
          <w:lang w:eastAsia="cs-CZ"/>
        </w:rPr>
        <w:t xml:space="preserve">/ 12 </w:t>
      </w:r>
      <w:r w:rsidRPr="00EB106C">
        <w:rPr>
          <w:lang w:eastAsia="cs-CZ"/>
        </w:rPr>
        <w:t xml:space="preserve">* koeficient spotřeby </w:t>
      </w:r>
      <w:r>
        <w:rPr>
          <w:lang w:eastAsia="cs-CZ"/>
        </w:rPr>
        <w:t>tepla</w:t>
      </w:r>
      <w:r w:rsidRPr="00EB106C">
        <w:rPr>
          <w:lang w:eastAsia="cs-CZ"/>
        </w:rPr>
        <w:t xml:space="preserve"> * </w:t>
      </w:r>
      <w:r>
        <w:rPr>
          <w:lang w:eastAsia="cs-CZ"/>
        </w:rPr>
        <w:t xml:space="preserve">procento </w:t>
      </w:r>
      <w:r w:rsidRPr="00EB106C">
        <w:rPr>
          <w:lang w:eastAsia="cs-CZ"/>
        </w:rPr>
        <w:t>použití elektrické energie k</w:t>
      </w:r>
      <w:r>
        <w:rPr>
          <w:lang w:eastAsia="cs-CZ"/>
        </w:rPr>
        <w:t> ohřevu vody / 100</w:t>
      </w:r>
    </w:p>
    <w:p w:rsidR="00CE7BFC" w:rsidRDefault="00CE7BFC" w:rsidP="00CE7BFC"/>
    <w:p w:rsidR="00927530" w:rsidRDefault="000253C1" w:rsidP="005D327C">
      <w:pPr>
        <w:pStyle w:val="Nadpis4"/>
      </w:pPr>
      <w:bookmarkStart w:id="18" w:name="_Toc25833345"/>
      <w:r>
        <w:t>2. P</w:t>
      </w:r>
      <w:r w:rsidR="00927530">
        <w:t>lyn</w:t>
      </w:r>
      <w:bookmarkEnd w:id="18"/>
    </w:p>
    <w:p w:rsidR="007404EF" w:rsidRDefault="007404EF" w:rsidP="007404EF">
      <w:pPr>
        <w:rPr>
          <w:lang w:eastAsia="cs-CZ"/>
        </w:rPr>
      </w:pPr>
      <w:r>
        <w:rPr>
          <w:lang w:eastAsia="cs-CZ"/>
        </w:rPr>
        <w:t xml:space="preserve">K výpočtu ceny </w:t>
      </w:r>
      <w:r w:rsidR="00CB71A9">
        <w:rPr>
          <w:lang w:eastAsia="cs-CZ"/>
        </w:rPr>
        <w:t xml:space="preserve">ve výši v místě obvyklé </w:t>
      </w:r>
      <w:r>
        <w:rPr>
          <w:lang w:eastAsia="cs-CZ"/>
        </w:rPr>
        <w:t>plynu se použijí ceny poslední instance některého ze tří dis</w:t>
      </w:r>
      <w:r w:rsidR="00E84F64">
        <w:rPr>
          <w:lang w:eastAsia="cs-CZ"/>
        </w:rPr>
        <w:t>tributorů plynu GasNet, s.r.</w:t>
      </w:r>
      <w:r w:rsidR="00BB253B">
        <w:rPr>
          <w:lang w:eastAsia="cs-CZ"/>
        </w:rPr>
        <w:t>o., E. ON</w:t>
      </w:r>
      <w:r>
        <w:rPr>
          <w:lang w:eastAsia="cs-CZ"/>
        </w:rPr>
        <w:t xml:space="preserve"> Distribuce, a.s. a Pražs</w:t>
      </w:r>
      <w:r w:rsidR="00506AE3">
        <w:rPr>
          <w:lang w:eastAsia="cs-CZ"/>
        </w:rPr>
        <w:t>ká plynárenská distribuce, a.s.</w:t>
      </w:r>
    </w:p>
    <w:p w:rsidR="007404EF" w:rsidRDefault="007404EF" w:rsidP="007404EF">
      <w:pPr>
        <w:rPr>
          <w:lang w:eastAsia="cs-CZ"/>
        </w:rPr>
      </w:pPr>
    </w:p>
    <w:p w:rsidR="007404EF" w:rsidRDefault="007404EF" w:rsidP="007404EF">
      <w:pPr>
        <w:rPr>
          <w:lang w:eastAsia="cs-CZ"/>
        </w:rPr>
      </w:pPr>
      <w:r>
        <w:rPr>
          <w:lang w:eastAsia="cs-CZ"/>
        </w:rPr>
        <w:t xml:space="preserve">Jako distributora vybere </w:t>
      </w:r>
      <w:r w:rsidR="00BB253B">
        <w:rPr>
          <w:lang w:eastAsia="cs-CZ"/>
        </w:rPr>
        <w:t>ÚP ČR</w:t>
      </w:r>
      <w:r>
        <w:rPr>
          <w:lang w:eastAsia="cs-CZ"/>
        </w:rPr>
        <w:t xml:space="preserve"> tu společnost, </w:t>
      </w:r>
      <w:r w:rsidR="007C0DEB">
        <w:rPr>
          <w:lang w:eastAsia="cs-CZ"/>
        </w:rPr>
        <w:t>která je uvedena na formuláři „Informace o užívaném bytu (obývaném prostoru)“</w:t>
      </w:r>
      <w:r>
        <w:rPr>
          <w:lang w:eastAsia="cs-CZ"/>
        </w:rPr>
        <w:t>.</w:t>
      </w:r>
    </w:p>
    <w:p w:rsidR="007404EF" w:rsidRDefault="007404EF" w:rsidP="007404EF">
      <w:pPr>
        <w:rPr>
          <w:lang w:eastAsia="cs-CZ"/>
        </w:rPr>
      </w:pPr>
    </w:p>
    <w:p w:rsidR="007404EF" w:rsidRDefault="007404EF" w:rsidP="007404EF">
      <w:pPr>
        <w:rPr>
          <w:lang w:eastAsia="cs-CZ"/>
        </w:rPr>
      </w:pPr>
      <w:r>
        <w:rPr>
          <w:lang w:eastAsia="cs-CZ"/>
        </w:rPr>
        <w:t>Záloha na plyn se</w:t>
      </w:r>
      <w:r w:rsidR="00CB71A9">
        <w:rPr>
          <w:lang w:eastAsia="cs-CZ"/>
        </w:rPr>
        <w:t xml:space="preserve"> v ONB</w:t>
      </w:r>
      <w:r>
        <w:rPr>
          <w:lang w:eastAsia="cs-CZ"/>
        </w:rPr>
        <w:t xml:space="preserve"> započítává ve výši </w:t>
      </w:r>
      <w:r w:rsidR="00CB71A9">
        <w:rPr>
          <w:lang w:eastAsia="cs-CZ"/>
        </w:rPr>
        <w:t>stanove</w:t>
      </w:r>
      <w:r>
        <w:rPr>
          <w:lang w:eastAsia="cs-CZ"/>
        </w:rPr>
        <w:t>né měsíční zálohy, maximálně však do výše nákladů na plyn v místě obvyklých.</w:t>
      </w:r>
    </w:p>
    <w:p w:rsidR="007404EF" w:rsidRDefault="007404EF" w:rsidP="007404EF">
      <w:pPr>
        <w:rPr>
          <w:lang w:eastAsia="cs-CZ"/>
        </w:rPr>
      </w:pPr>
    </w:p>
    <w:p w:rsidR="00CF5AA1" w:rsidRDefault="007404EF" w:rsidP="00E7491B">
      <w:pPr>
        <w:pStyle w:val="Odstavecseseznamem"/>
        <w:numPr>
          <w:ilvl w:val="0"/>
          <w:numId w:val="19"/>
        </w:numPr>
        <w:rPr>
          <w:b/>
          <w:lang w:eastAsia="cs-CZ"/>
        </w:rPr>
      </w:pPr>
      <w:bookmarkStart w:id="19" w:name="_Toc531857537"/>
      <w:r w:rsidRPr="00CB71A9">
        <w:rPr>
          <w:b/>
          <w:lang w:eastAsia="cs-CZ"/>
        </w:rPr>
        <w:t>Náklady na plyn v místě obvyklé</w:t>
      </w:r>
      <w:bookmarkEnd w:id="19"/>
    </w:p>
    <w:p w:rsidR="00CC5319" w:rsidRPr="00CC5319" w:rsidRDefault="00CC5319" w:rsidP="00CC5319">
      <w:pPr>
        <w:rPr>
          <w:b/>
          <w:lang w:eastAsia="cs-CZ"/>
        </w:rPr>
      </w:pPr>
    </w:p>
    <w:p w:rsidR="00506AE3" w:rsidRPr="00FF590E" w:rsidRDefault="00506AE3" w:rsidP="00506AE3">
      <w:pPr>
        <w:pBdr>
          <w:top w:val="single" w:sz="4" w:space="1" w:color="auto"/>
          <w:left w:val="single" w:sz="4" w:space="4" w:color="auto"/>
          <w:bottom w:val="single" w:sz="4" w:space="1" w:color="auto"/>
          <w:right w:val="single" w:sz="4" w:space="4" w:color="auto"/>
        </w:pBdr>
        <w:jc w:val="center"/>
        <w:rPr>
          <w:lang w:eastAsia="cs-CZ"/>
        </w:rPr>
      </w:pPr>
      <w:r w:rsidRPr="00FF590E">
        <w:rPr>
          <w:b/>
          <w:lang w:eastAsia="cs-CZ"/>
        </w:rPr>
        <w:t>Náklady na plyn v místě obvyklé</w:t>
      </w:r>
      <w:r>
        <w:rPr>
          <w:lang w:eastAsia="cs-CZ"/>
        </w:rPr>
        <w:t xml:space="preserve"> = </w:t>
      </w:r>
      <w:r w:rsidR="0046715B">
        <w:rPr>
          <w:lang w:eastAsia="cs-CZ"/>
        </w:rPr>
        <w:t>stálé platby + cena za množství * nezbytná spotřeba plynu v místě obvyklá</w:t>
      </w:r>
    </w:p>
    <w:p w:rsidR="00506AE3" w:rsidRPr="00506AE3" w:rsidRDefault="00506AE3" w:rsidP="00506AE3">
      <w:pPr>
        <w:rPr>
          <w:lang w:eastAsia="cs-CZ"/>
        </w:rPr>
      </w:pPr>
    </w:p>
    <w:p w:rsidR="00CB71A9" w:rsidRDefault="00CB71A9" w:rsidP="00E7491B">
      <w:pPr>
        <w:pStyle w:val="Odstavecseseznamem"/>
        <w:numPr>
          <w:ilvl w:val="0"/>
          <w:numId w:val="15"/>
        </w:numPr>
        <w:rPr>
          <w:lang w:eastAsia="cs-CZ"/>
        </w:rPr>
      </w:pPr>
      <w:r>
        <w:rPr>
          <w:lang w:eastAsia="cs-CZ"/>
        </w:rPr>
        <w:t>Stálé platby (nezávislé na spotřebě):</w:t>
      </w:r>
    </w:p>
    <w:p w:rsidR="00CB71A9" w:rsidRDefault="00CE7BFC" w:rsidP="00E7491B">
      <w:pPr>
        <w:pStyle w:val="Odstavecseseznamem"/>
        <w:numPr>
          <w:ilvl w:val="0"/>
          <w:numId w:val="20"/>
        </w:numPr>
        <w:rPr>
          <w:lang w:eastAsia="cs-CZ"/>
        </w:rPr>
      </w:pPr>
      <w:r>
        <w:rPr>
          <w:lang w:eastAsia="cs-CZ"/>
        </w:rPr>
        <w:t>platba distributorovi</w:t>
      </w:r>
      <w:r w:rsidR="008B3DE5">
        <w:rPr>
          <w:lang w:eastAsia="cs-CZ"/>
        </w:rPr>
        <w:t>;</w:t>
      </w:r>
    </w:p>
    <w:p w:rsidR="00CB71A9" w:rsidRDefault="00CB71A9" w:rsidP="00E7491B">
      <w:pPr>
        <w:pStyle w:val="Odstavecseseznamem"/>
        <w:numPr>
          <w:ilvl w:val="0"/>
          <w:numId w:val="20"/>
        </w:numPr>
        <w:rPr>
          <w:lang w:eastAsia="cs-CZ"/>
        </w:rPr>
      </w:pPr>
      <w:r>
        <w:rPr>
          <w:lang w:eastAsia="cs-CZ"/>
        </w:rPr>
        <w:t>stálá platba d</w:t>
      </w:r>
      <w:r w:rsidR="00CE7BFC">
        <w:rPr>
          <w:lang w:eastAsia="cs-CZ"/>
        </w:rPr>
        <w:t>odavateli</w:t>
      </w:r>
      <w:r w:rsidR="008B3DE5">
        <w:rPr>
          <w:lang w:eastAsia="cs-CZ"/>
        </w:rPr>
        <w:t>.</w:t>
      </w:r>
    </w:p>
    <w:p w:rsidR="00CB71A9" w:rsidRDefault="00CB71A9" w:rsidP="00E7491B">
      <w:pPr>
        <w:pStyle w:val="Odstavecseseznamem"/>
        <w:numPr>
          <w:ilvl w:val="0"/>
          <w:numId w:val="15"/>
        </w:numPr>
        <w:rPr>
          <w:lang w:eastAsia="cs-CZ"/>
        </w:rPr>
      </w:pPr>
      <w:r>
        <w:rPr>
          <w:lang w:eastAsia="cs-CZ"/>
        </w:rPr>
        <w:t>Cena za množství:</w:t>
      </w:r>
    </w:p>
    <w:p w:rsidR="00CB71A9" w:rsidRDefault="00CB71A9" w:rsidP="00E7491B">
      <w:pPr>
        <w:pStyle w:val="Odstavecseseznamem"/>
        <w:numPr>
          <w:ilvl w:val="0"/>
          <w:numId w:val="21"/>
        </w:numPr>
        <w:rPr>
          <w:lang w:eastAsia="cs-CZ"/>
        </w:rPr>
      </w:pPr>
      <w:r>
        <w:rPr>
          <w:lang w:eastAsia="cs-CZ"/>
        </w:rPr>
        <w:t>platba z</w:t>
      </w:r>
      <w:r w:rsidR="00CE7BFC">
        <w:rPr>
          <w:lang w:eastAsia="cs-CZ"/>
        </w:rPr>
        <w:t>a distribuované množství (</w:t>
      </w:r>
      <w:r>
        <w:rPr>
          <w:lang w:eastAsia="cs-CZ"/>
        </w:rPr>
        <w:t>Kč/MWh)</w:t>
      </w:r>
      <w:r w:rsidR="008B3DE5">
        <w:rPr>
          <w:lang w:eastAsia="cs-CZ"/>
        </w:rPr>
        <w:t>;</w:t>
      </w:r>
    </w:p>
    <w:p w:rsidR="00CB71A9" w:rsidRDefault="00CB71A9" w:rsidP="00E7491B">
      <w:pPr>
        <w:pStyle w:val="Odstavecseseznamem"/>
        <w:numPr>
          <w:ilvl w:val="0"/>
          <w:numId w:val="21"/>
        </w:numPr>
        <w:rPr>
          <w:lang w:eastAsia="cs-CZ"/>
        </w:rPr>
      </w:pPr>
      <w:r>
        <w:rPr>
          <w:lang w:eastAsia="cs-CZ"/>
        </w:rPr>
        <w:t>p</w:t>
      </w:r>
      <w:r w:rsidR="00CE7BFC">
        <w:rPr>
          <w:lang w:eastAsia="cs-CZ"/>
        </w:rPr>
        <w:t>latba za dodané množství (</w:t>
      </w:r>
      <w:r>
        <w:rPr>
          <w:lang w:eastAsia="cs-CZ"/>
        </w:rPr>
        <w:t>Kč/MWh</w:t>
      </w:r>
      <w:r w:rsidR="00CE7BFC">
        <w:rPr>
          <w:lang w:eastAsia="cs-CZ"/>
        </w:rPr>
        <w:t>)</w:t>
      </w:r>
      <w:r w:rsidR="008B3DE5">
        <w:rPr>
          <w:lang w:eastAsia="cs-CZ"/>
        </w:rPr>
        <w:t>;</w:t>
      </w:r>
    </w:p>
    <w:p w:rsidR="00CB71A9" w:rsidRDefault="00CB71A9" w:rsidP="00E7491B">
      <w:pPr>
        <w:pStyle w:val="Odstavecseseznamem"/>
        <w:numPr>
          <w:ilvl w:val="0"/>
          <w:numId w:val="21"/>
        </w:numPr>
        <w:rPr>
          <w:lang w:eastAsia="cs-CZ"/>
        </w:rPr>
      </w:pPr>
      <w:r>
        <w:rPr>
          <w:lang w:eastAsia="cs-CZ"/>
        </w:rPr>
        <w:t>pla</w:t>
      </w:r>
      <w:r w:rsidR="00CE7BFC">
        <w:rPr>
          <w:lang w:eastAsia="cs-CZ"/>
        </w:rPr>
        <w:t>tby za činnost operátora (</w:t>
      </w:r>
      <w:r>
        <w:rPr>
          <w:lang w:eastAsia="cs-CZ"/>
        </w:rPr>
        <w:t>Kč/MWh)</w:t>
      </w:r>
      <w:r w:rsidR="008B3DE5">
        <w:rPr>
          <w:lang w:eastAsia="cs-CZ"/>
        </w:rPr>
        <w:t>.</w:t>
      </w:r>
    </w:p>
    <w:p w:rsidR="007404EF" w:rsidRDefault="007404EF" w:rsidP="007404EF">
      <w:pPr>
        <w:rPr>
          <w:lang w:eastAsia="cs-CZ"/>
        </w:rPr>
      </w:pPr>
    </w:p>
    <w:p w:rsidR="00966382" w:rsidRDefault="00966382" w:rsidP="007404EF">
      <w:pPr>
        <w:rPr>
          <w:lang w:eastAsia="cs-CZ"/>
        </w:rPr>
      </w:pPr>
    </w:p>
    <w:p w:rsidR="00966382" w:rsidRDefault="00966382" w:rsidP="007404EF">
      <w:pPr>
        <w:rPr>
          <w:lang w:eastAsia="cs-CZ"/>
        </w:rPr>
      </w:pPr>
    </w:p>
    <w:p w:rsidR="00966382" w:rsidRDefault="00966382" w:rsidP="007404EF">
      <w:pPr>
        <w:rPr>
          <w:lang w:eastAsia="cs-CZ"/>
        </w:rPr>
      </w:pPr>
    </w:p>
    <w:p w:rsidR="007404EF" w:rsidRDefault="007404EF" w:rsidP="00E7491B">
      <w:pPr>
        <w:pStyle w:val="Odstavecseseznamem"/>
        <w:numPr>
          <w:ilvl w:val="0"/>
          <w:numId w:val="22"/>
        </w:numPr>
        <w:rPr>
          <w:b/>
          <w:lang w:eastAsia="cs-CZ"/>
        </w:rPr>
      </w:pPr>
      <w:bookmarkStart w:id="20" w:name="_Toc531857538"/>
      <w:r w:rsidRPr="00CB71A9">
        <w:rPr>
          <w:b/>
          <w:lang w:eastAsia="cs-CZ"/>
        </w:rPr>
        <w:t>Nezbytná spotřeba plynu v místě obvyklá</w:t>
      </w:r>
      <w:bookmarkEnd w:id="20"/>
    </w:p>
    <w:p w:rsidR="00CC5319" w:rsidRPr="00CC5319" w:rsidRDefault="00CC5319" w:rsidP="00CC5319">
      <w:pPr>
        <w:rPr>
          <w:b/>
          <w:lang w:eastAsia="cs-CZ"/>
        </w:rPr>
      </w:pPr>
    </w:p>
    <w:p w:rsidR="00CE7BFC" w:rsidRDefault="00CE7BFC" w:rsidP="00CE7BFC">
      <w:pPr>
        <w:pBdr>
          <w:top w:val="single" w:sz="4" w:space="1" w:color="auto"/>
          <w:left w:val="single" w:sz="4" w:space="4" w:color="auto"/>
          <w:bottom w:val="single" w:sz="4" w:space="1" w:color="auto"/>
          <w:right w:val="single" w:sz="4" w:space="4" w:color="auto"/>
        </w:pBdr>
        <w:jc w:val="center"/>
        <w:rPr>
          <w:lang w:eastAsia="cs-CZ"/>
        </w:rPr>
      </w:pPr>
      <w:r w:rsidRPr="00CE7BFC">
        <w:rPr>
          <w:b/>
          <w:lang w:eastAsia="cs-CZ"/>
        </w:rPr>
        <w:t>Nezbytná spotřeba plynu v místě obvyklá</w:t>
      </w:r>
      <w:r>
        <w:rPr>
          <w:lang w:eastAsia="cs-CZ"/>
        </w:rPr>
        <w:t xml:space="preserve"> = nezbytná spotřeba plynu na vytápění + nezbytná spotřeba plynu na ohřev TUV + konstanta při používání plynu k vaření</w:t>
      </w:r>
    </w:p>
    <w:p w:rsidR="00506AE3" w:rsidRPr="00506AE3" w:rsidRDefault="00506AE3" w:rsidP="00506AE3">
      <w:pPr>
        <w:rPr>
          <w:lang w:eastAsia="cs-CZ"/>
        </w:rPr>
      </w:pPr>
    </w:p>
    <w:p w:rsidR="00CB71A9" w:rsidRDefault="00CB71A9" w:rsidP="00CB71A9">
      <w:pPr>
        <w:rPr>
          <w:lang w:eastAsia="cs-CZ"/>
        </w:rPr>
      </w:pPr>
      <w:r>
        <w:rPr>
          <w:lang w:eastAsia="cs-CZ"/>
        </w:rPr>
        <w:t xml:space="preserve">Nezbytná spotřeba plynu v místě obvyklá se vypočítá jako součet následujících položek </w:t>
      </w:r>
      <w:r>
        <w:t>(pokud je plyn v  konkrétním obývaném prostoru užíván k danému účelu)</w:t>
      </w:r>
      <w:r>
        <w:rPr>
          <w:lang w:eastAsia="cs-CZ"/>
        </w:rPr>
        <w:t>:</w:t>
      </w:r>
    </w:p>
    <w:p w:rsidR="00CB71A9" w:rsidRDefault="00CB71A9" w:rsidP="00CB71A9">
      <w:pPr>
        <w:pStyle w:val="Odstavecseseznamem"/>
        <w:rPr>
          <w:b/>
          <w:lang w:eastAsia="cs-CZ"/>
        </w:rPr>
      </w:pPr>
    </w:p>
    <w:p w:rsidR="00CB71A9" w:rsidRDefault="00CB71A9" w:rsidP="00E7491B">
      <w:pPr>
        <w:pStyle w:val="Odstavecseseznamem"/>
        <w:numPr>
          <w:ilvl w:val="0"/>
          <w:numId w:val="3"/>
        </w:numPr>
        <w:rPr>
          <w:b/>
          <w:lang w:eastAsia="cs-CZ"/>
        </w:rPr>
      </w:pPr>
      <w:r w:rsidRPr="00F65550">
        <w:rPr>
          <w:b/>
          <w:lang w:eastAsia="cs-CZ"/>
        </w:rPr>
        <w:t xml:space="preserve">Nezbytná spotřeba </w:t>
      </w:r>
      <w:r>
        <w:rPr>
          <w:b/>
          <w:lang w:eastAsia="cs-CZ"/>
        </w:rPr>
        <w:t>plynu</w:t>
      </w:r>
      <w:r w:rsidRPr="00F65550">
        <w:rPr>
          <w:b/>
          <w:lang w:eastAsia="cs-CZ"/>
        </w:rPr>
        <w:t xml:space="preserve"> na vaření</w:t>
      </w:r>
    </w:p>
    <w:p w:rsidR="00966382" w:rsidRPr="00966382" w:rsidRDefault="00966382" w:rsidP="00966382">
      <w:pPr>
        <w:rPr>
          <w:b/>
          <w:lang w:eastAsia="cs-CZ"/>
        </w:rPr>
      </w:pPr>
    </w:p>
    <w:p w:rsidR="00CE7BFC" w:rsidRDefault="00CE7BFC" w:rsidP="00CE7BFC">
      <w:r>
        <w:t xml:space="preserve">Nezbytná spotřeba energie na vaření je stanovena pevnou hodnotou, která </w:t>
      </w:r>
      <w:r w:rsidR="000F28A3">
        <w:br/>
      </w:r>
      <w:r>
        <w:t xml:space="preserve">se započítá v případě, kdy je plyn k vaření používán a činí 0,6 MWh/rok. </w:t>
      </w:r>
    </w:p>
    <w:p w:rsidR="003C2975" w:rsidRDefault="003C2975" w:rsidP="00CB71A9"/>
    <w:p w:rsidR="00CE7BFC" w:rsidRPr="003C2975" w:rsidRDefault="00CE7BFC" w:rsidP="00CE7BFC">
      <w:pPr>
        <w:pBdr>
          <w:top w:val="single" w:sz="4" w:space="1" w:color="auto"/>
          <w:left w:val="single" w:sz="4" w:space="4" w:color="auto"/>
          <w:bottom w:val="single" w:sz="4" w:space="1" w:color="auto"/>
          <w:right w:val="single" w:sz="4" w:space="4" w:color="auto"/>
        </w:pBdr>
        <w:jc w:val="center"/>
        <w:rPr>
          <w:lang w:eastAsia="cs-CZ"/>
        </w:rPr>
      </w:pPr>
      <w:r w:rsidRPr="001934C2">
        <w:rPr>
          <w:rFonts w:cs="Arial"/>
          <w:b/>
          <w:szCs w:val="24"/>
        </w:rPr>
        <w:t xml:space="preserve">Nezbytná spotřeba </w:t>
      </w:r>
      <w:r>
        <w:rPr>
          <w:rFonts w:cs="Arial"/>
          <w:b/>
          <w:szCs w:val="24"/>
        </w:rPr>
        <w:t xml:space="preserve">plynu </w:t>
      </w:r>
      <w:r w:rsidRPr="001934C2">
        <w:rPr>
          <w:rFonts w:cs="Arial"/>
          <w:b/>
          <w:szCs w:val="24"/>
        </w:rPr>
        <w:t>na vaření</w:t>
      </w:r>
      <w:r>
        <w:rPr>
          <w:rFonts w:cs="Arial"/>
          <w:b/>
          <w:szCs w:val="24"/>
        </w:rPr>
        <w:t xml:space="preserve"> = </w:t>
      </w:r>
    </w:p>
    <w:p w:rsidR="00CE7BFC" w:rsidRPr="00EB106C" w:rsidRDefault="00CE7BFC" w:rsidP="00CE7BFC">
      <w:pPr>
        <w:pBdr>
          <w:top w:val="single" w:sz="4" w:space="1" w:color="auto"/>
          <w:left w:val="single" w:sz="4" w:space="4" w:color="auto"/>
          <w:bottom w:val="single" w:sz="4" w:space="1" w:color="auto"/>
          <w:right w:val="single" w:sz="4" w:space="4" w:color="auto"/>
        </w:pBdr>
        <w:jc w:val="center"/>
        <w:rPr>
          <w:lang w:eastAsia="cs-CZ"/>
        </w:rPr>
      </w:pPr>
      <w:r w:rsidRPr="00EB106C">
        <w:rPr>
          <w:rFonts w:cs="Arial"/>
          <w:szCs w:val="24"/>
        </w:rPr>
        <w:t>0,6</w:t>
      </w:r>
      <w:r>
        <w:rPr>
          <w:rFonts w:cs="Arial"/>
          <w:szCs w:val="24"/>
        </w:rPr>
        <w:t xml:space="preserve"> </w:t>
      </w:r>
      <w:r w:rsidRPr="00EB106C">
        <w:rPr>
          <w:lang w:eastAsia="cs-CZ"/>
        </w:rPr>
        <w:t>/</w:t>
      </w:r>
      <w:r>
        <w:rPr>
          <w:lang w:eastAsia="cs-CZ"/>
        </w:rPr>
        <w:t xml:space="preserve"> </w:t>
      </w:r>
      <w:r w:rsidRPr="00EB106C">
        <w:rPr>
          <w:lang w:eastAsia="cs-CZ"/>
        </w:rPr>
        <w:t>12</w:t>
      </w:r>
      <w:r>
        <w:rPr>
          <w:lang w:eastAsia="cs-CZ"/>
        </w:rPr>
        <w:t xml:space="preserve"> (MWh)</w:t>
      </w:r>
    </w:p>
    <w:p w:rsidR="00956EB2" w:rsidRDefault="00956EB2" w:rsidP="00956EB2">
      <w:pPr>
        <w:pStyle w:val="Odstavecseseznamem"/>
        <w:rPr>
          <w:b/>
        </w:rPr>
      </w:pPr>
    </w:p>
    <w:p w:rsidR="00CB71A9" w:rsidRDefault="00CB71A9" w:rsidP="00E7491B">
      <w:pPr>
        <w:pStyle w:val="Odstavecseseznamem"/>
        <w:numPr>
          <w:ilvl w:val="0"/>
          <w:numId w:val="3"/>
        </w:numPr>
        <w:rPr>
          <w:b/>
        </w:rPr>
      </w:pPr>
      <w:r w:rsidRPr="00F65550">
        <w:rPr>
          <w:b/>
        </w:rPr>
        <w:t xml:space="preserve">Nezbytná spotřeba </w:t>
      </w:r>
      <w:r>
        <w:rPr>
          <w:b/>
        </w:rPr>
        <w:t>plynu</w:t>
      </w:r>
      <w:r w:rsidRPr="00F65550">
        <w:rPr>
          <w:b/>
        </w:rPr>
        <w:t xml:space="preserve"> na vytápění v místě obvyklá</w:t>
      </w:r>
    </w:p>
    <w:p w:rsidR="00956EB2" w:rsidRPr="00F65550" w:rsidRDefault="00956EB2" w:rsidP="00956EB2">
      <w:pPr>
        <w:pStyle w:val="Odstavecseseznamem"/>
        <w:rPr>
          <w:b/>
        </w:rPr>
      </w:pPr>
    </w:p>
    <w:p w:rsidR="00CE7BFC" w:rsidRDefault="00CE7BFC" w:rsidP="00CE7BFC">
      <w:r>
        <w:t xml:space="preserve">Nezbytná spotřeba plynu k vytápění se vypočte jako součin nezbytné spotřeby energie na vytápění a procenta použití plynu k vytápění. Nezbytná spotřeba energie k vytápění se počítá stejně jako v případě vytápění dálkovým teplem nebo elektřinou. Vypočte </w:t>
      </w:r>
      <w:r w:rsidR="00E84F64">
        <w:br/>
      </w:r>
      <w:r>
        <w:t xml:space="preserve">se z měrného ukazatele spotřeby tepelné energie, vytápěné podlahové plochy </w:t>
      </w:r>
      <w:r w:rsidR="00E84F64">
        <w:br/>
      </w:r>
      <w:r>
        <w:t>a zvýšení za tepelné ztráty.</w:t>
      </w:r>
    </w:p>
    <w:p w:rsidR="00CE7BFC" w:rsidRDefault="00CE7BFC" w:rsidP="00CE7BFC"/>
    <w:p w:rsidR="000F28A3" w:rsidRDefault="000F28A3" w:rsidP="000F28A3">
      <w:r w:rsidRPr="00610773">
        <w:t>Stanovení měrného ukazatele spotřeby tepelné energie je určeno na základě doporučení ERÚ. Na základě adresy obývaného prostoru se stanoví teplotní pásmo, podle kterého určí měrný ukazatel spotřeby tepelné energie</w:t>
      </w:r>
      <w:r w:rsidRPr="00610773">
        <w:rPr>
          <w:rStyle w:val="Znakapoznpodarou"/>
        </w:rPr>
        <w:footnoteReference w:id="25"/>
      </w:r>
      <w:r w:rsidRPr="00610773">
        <w:t xml:space="preserve">. </w:t>
      </w:r>
    </w:p>
    <w:p w:rsidR="00CE7BFC" w:rsidRDefault="00CE7BFC" w:rsidP="00CE7BFC"/>
    <w:p w:rsidR="00CE7BFC" w:rsidRDefault="00CE7BFC" w:rsidP="00CE7BFC">
      <w:pPr>
        <w:rPr>
          <w:rFonts w:cs="Arial"/>
          <w:szCs w:val="24"/>
        </w:rPr>
      </w:pPr>
      <w:r>
        <w:rPr>
          <w:lang w:eastAsia="cs-CZ"/>
        </w:rPr>
        <w:t xml:space="preserve">Měrný ukazatel spotřeby tepelné energie na vytápění je </w:t>
      </w:r>
      <w:r w:rsidRPr="00CE7BFC">
        <w:rPr>
          <w:rFonts w:cs="Arial"/>
          <w:szCs w:val="24"/>
        </w:rPr>
        <w:t>udáván v GJ/m</w:t>
      </w:r>
      <w:r w:rsidRPr="00CE7BFC">
        <w:rPr>
          <w:rFonts w:cs="Arial"/>
          <w:szCs w:val="24"/>
          <w:vertAlign w:val="superscript"/>
        </w:rPr>
        <w:t xml:space="preserve">2 </w:t>
      </w:r>
      <w:r w:rsidRPr="00CE7BFC">
        <w:rPr>
          <w:rFonts w:cs="Arial"/>
          <w:szCs w:val="24"/>
        </w:rPr>
        <w:t>za rok na 2,7 m výšku místnosti, jakožto průměrnou výšku místnosti.</w:t>
      </w:r>
    </w:p>
    <w:p w:rsidR="00CE7BFC" w:rsidRDefault="00CE7BFC" w:rsidP="00CE7BFC">
      <w:pPr>
        <w:rPr>
          <w:rFonts w:cs="Arial"/>
          <w:szCs w:val="24"/>
        </w:rPr>
      </w:pPr>
    </w:p>
    <w:p w:rsidR="00CE7BFC" w:rsidRDefault="00CE7BFC" w:rsidP="00CE7BFC">
      <w:pPr>
        <w:rPr>
          <w:lang w:eastAsia="cs-CZ"/>
        </w:rPr>
      </w:pPr>
      <w:r>
        <w:rPr>
          <w:lang w:eastAsia="cs-CZ"/>
        </w:rPr>
        <w:t>Podlahovou plochou obývaného prostoru je myšlena podlahová plocha obývaného prostoru. Informace se zjišťuje z formuláře „Informace o užívaném bytu „obývaném prostoru“.</w:t>
      </w:r>
    </w:p>
    <w:p w:rsidR="00CE7BFC" w:rsidRDefault="00CE7BFC" w:rsidP="00CE7BFC"/>
    <w:p w:rsidR="00CE7BFC" w:rsidRPr="00CE7BFC" w:rsidRDefault="00CE7BFC" w:rsidP="00CE7BFC">
      <w:pPr>
        <w:rPr>
          <w:rFonts w:cs="Arial"/>
          <w:szCs w:val="24"/>
          <w:lang w:eastAsia="cs-CZ"/>
        </w:rPr>
      </w:pPr>
      <w:r>
        <w:t>Jelikož výpočet n</w:t>
      </w:r>
      <w:r>
        <w:rPr>
          <w:lang w:eastAsia="cs-CZ"/>
        </w:rPr>
        <w:t xml:space="preserve">ezbytné spotřeby energie </w:t>
      </w:r>
      <w:r>
        <w:t xml:space="preserve">nezahrnuje izolační vlastnosti obývaného prostoru, jsou tepelné ztráty paušálně kompenzovány navýšením vypočtené energie </w:t>
      </w:r>
      <w:r w:rsidR="000F28A3">
        <w:br/>
      </w:r>
      <w:r>
        <w:t>o 20%.</w:t>
      </w:r>
    </w:p>
    <w:p w:rsidR="00CE7BFC" w:rsidRDefault="00CE7BFC" w:rsidP="00CE7BFC"/>
    <w:p w:rsidR="00CE7BFC" w:rsidRDefault="00CE7BFC" w:rsidP="00CE7BFC">
      <w:r>
        <w:lastRenderedPageBreak/>
        <w:t>Nezbytná spotřeba plynu na vytápění se započte v poměrné</w:t>
      </w:r>
      <w:r w:rsidR="009A7573">
        <w:t xml:space="preserve"> výši, v jaké je plyn používán – zjišťuje se z </w:t>
      </w:r>
      <w:r>
        <w:t>formuláře „Informace o uží</w:t>
      </w:r>
      <w:r w:rsidR="009A7573">
        <w:t>vaném bytu (obývaném prostoru)“</w:t>
      </w:r>
      <w:r>
        <w:t>.</w:t>
      </w:r>
    </w:p>
    <w:p w:rsidR="00035508" w:rsidRDefault="00035508" w:rsidP="00CE7BFC"/>
    <w:p w:rsidR="00CE7BFC" w:rsidRPr="00EB106C" w:rsidRDefault="00CE7BFC" w:rsidP="00CE7BFC">
      <w:pPr>
        <w:pBdr>
          <w:top w:val="single" w:sz="4" w:space="1" w:color="auto"/>
          <w:left w:val="single" w:sz="4" w:space="4" w:color="auto"/>
          <w:bottom w:val="single" w:sz="4" w:space="1" w:color="auto"/>
          <w:right w:val="single" w:sz="4" w:space="4" w:color="auto"/>
        </w:pBdr>
        <w:jc w:val="center"/>
        <w:rPr>
          <w:lang w:eastAsia="cs-CZ"/>
        </w:rPr>
      </w:pPr>
      <w:r w:rsidRPr="00F65550">
        <w:rPr>
          <w:b/>
        </w:rPr>
        <w:t xml:space="preserve">Nezbytná spotřeba </w:t>
      </w:r>
      <w:r>
        <w:rPr>
          <w:b/>
        </w:rPr>
        <w:t xml:space="preserve">plynu </w:t>
      </w:r>
      <w:r w:rsidRPr="00F65550">
        <w:rPr>
          <w:b/>
        </w:rPr>
        <w:t xml:space="preserve">na vytápění </w:t>
      </w:r>
      <w:r>
        <w:rPr>
          <w:rFonts w:cs="Arial"/>
          <w:szCs w:val="24"/>
        </w:rPr>
        <w:t>=</w:t>
      </w:r>
      <w:r w:rsidRPr="00EB106C">
        <w:rPr>
          <w:lang w:eastAsia="cs-CZ"/>
        </w:rPr>
        <w:t xml:space="preserve">podlahová plocha * měrný ukazatel spotřeby </w:t>
      </w:r>
      <w:r>
        <w:rPr>
          <w:lang w:eastAsia="cs-CZ"/>
        </w:rPr>
        <w:t>tepelné energie</w:t>
      </w:r>
      <w:r w:rsidRPr="00EB106C">
        <w:rPr>
          <w:lang w:eastAsia="cs-CZ"/>
        </w:rPr>
        <w:t xml:space="preserve"> * zvýšení za tepelné ztráty * </w:t>
      </w:r>
      <w:r>
        <w:rPr>
          <w:lang w:eastAsia="cs-CZ"/>
        </w:rPr>
        <w:t xml:space="preserve">procento </w:t>
      </w:r>
      <w:r w:rsidRPr="00EB106C">
        <w:rPr>
          <w:lang w:eastAsia="cs-CZ"/>
        </w:rPr>
        <w:t>použití plynu k vytápění</w:t>
      </w:r>
      <w:r>
        <w:rPr>
          <w:lang w:eastAsia="cs-CZ"/>
        </w:rPr>
        <w:t xml:space="preserve"> / 100</w:t>
      </w:r>
    </w:p>
    <w:p w:rsidR="00CB71A9" w:rsidRDefault="00CB71A9" w:rsidP="00CB71A9"/>
    <w:p w:rsidR="00CB71A9" w:rsidRDefault="00CB71A9" w:rsidP="00E7491B">
      <w:pPr>
        <w:pStyle w:val="Odstavecseseznamem"/>
        <w:numPr>
          <w:ilvl w:val="0"/>
          <w:numId w:val="3"/>
        </w:numPr>
      </w:pPr>
      <w:r w:rsidRPr="00F65550">
        <w:rPr>
          <w:b/>
        </w:rPr>
        <w:t xml:space="preserve">Nezbytná spotřeba </w:t>
      </w:r>
      <w:r>
        <w:rPr>
          <w:b/>
        </w:rPr>
        <w:t>plynu</w:t>
      </w:r>
      <w:r w:rsidRPr="00F65550">
        <w:rPr>
          <w:b/>
        </w:rPr>
        <w:t xml:space="preserve"> na ohřev vody (TUV</w:t>
      </w:r>
      <w:r>
        <w:t>)</w:t>
      </w:r>
    </w:p>
    <w:p w:rsidR="00035508" w:rsidRDefault="00035508" w:rsidP="00035508"/>
    <w:p w:rsidR="00CE7BFC" w:rsidRDefault="00CB71A9" w:rsidP="00CE7BFC">
      <w:r>
        <w:t xml:space="preserve">Nezbytná spotřeba plynu k ohřevu TUV se vypočte z paušální částky spotřeby teplé vody pro jednu osobu, </w:t>
      </w:r>
      <w:r w:rsidR="00CE7BFC">
        <w:t>počtu osob společně posuzovaných a koeficientu spotřeby energie na ohřev vody. Nezbytná spotřeba energie na ohřev TUV se započte v poměrné výši, v jaké</w:t>
      </w:r>
      <w:r w:rsidR="008C10A2">
        <w:t xml:space="preserve"> je plyn na ohřev TUV používán – zjišťuje se </w:t>
      </w:r>
      <w:r w:rsidR="00CE7BFC">
        <w:t>podle formuláře „Informace o užív</w:t>
      </w:r>
      <w:r w:rsidR="008C10A2">
        <w:t>aném bytu (obývaném prostoru)“.</w:t>
      </w:r>
    </w:p>
    <w:p w:rsidR="003C2975" w:rsidRDefault="003C2975" w:rsidP="00CB71A9"/>
    <w:p w:rsidR="00CE7BFC" w:rsidRPr="0048526C" w:rsidRDefault="00CE7BFC" w:rsidP="00CE7BFC">
      <w:pPr>
        <w:pBdr>
          <w:top w:val="single" w:sz="4" w:space="1" w:color="auto"/>
          <w:left w:val="single" w:sz="4" w:space="4" w:color="auto"/>
          <w:bottom w:val="single" w:sz="4" w:space="1" w:color="auto"/>
          <w:right w:val="single" w:sz="4" w:space="4" w:color="auto"/>
        </w:pBdr>
        <w:jc w:val="center"/>
      </w:pPr>
      <w:r w:rsidRPr="00474DDE">
        <w:rPr>
          <w:b/>
        </w:rPr>
        <w:t xml:space="preserve">Nezbytná spotřeba </w:t>
      </w:r>
      <w:r>
        <w:rPr>
          <w:b/>
        </w:rPr>
        <w:t xml:space="preserve">plynu </w:t>
      </w:r>
      <w:r w:rsidRPr="00474DDE">
        <w:rPr>
          <w:b/>
        </w:rPr>
        <w:t>na ohřev vody</w:t>
      </w:r>
      <w:r>
        <w:rPr>
          <w:b/>
        </w:rPr>
        <w:t xml:space="preserve"> =</w:t>
      </w:r>
      <w:r w:rsidRPr="0048526C">
        <w:rPr>
          <w:lang w:eastAsia="cs-CZ"/>
        </w:rPr>
        <w:t xml:space="preserve">počet všech osob užívajících byt * průměrná roční spotřeba teplé vody na osobu </w:t>
      </w:r>
      <w:r>
        <w:rPr>
          <w:lang w:eastAsia="cs-CZ"/>
        </w:rPr>
        <w:t xml:space="preserve">/ 12 </w:t>
      </w:r>
      <w:r w:rsidRPr="0048526C">
        <w:rPr>
          <w:lang w:eastAsia="cs-CZ"/>
        </w:rPr>
        <w:t xml:space="preserve">* koeficient spotřeby </w:t>
      </w:r>
      <w:r>
        <w:rPr>
          <w:lang w:eastAsia="cs-CZ"/>
        </w:rPr>
        <w:t>tepla</w:t>
      </w:r>
      <w:r w:rsidRPr="0048526C">
        <w:rPr>
          <w:lang w:eastAsia="cs-CZ"/>
        </w:rPr>
        <w:t xml:space="preserve"> * </w:t>
      </w:r>
      <w:r>
        <w:rPr>
          <w:lang w:eastAsia="cs-CZ"/>
        </w:rPr>
        <w:t>procento</w:t>
      </w:r>
      <w:r w:rsidRPr="0048526C">
        <w:rPr>
          <w:lang w:eastAsia="cs-CZ"/>
        </w:rPr>
        <w:t xml:space="preserve"> použití plynu k vytápění</w:t>
      </w:r>
      <w:r>
        <w:rPr>
          <w:lang w:eastAsia="cs-CZ"/>
        </w:rPr>
        <w:t xml:space="preserve"> / 100</w:t>
      </w:r>
    </w:p>
    <w:p w:rsidR="007404EF" w:rsidRPr="007404EF" w:rsidRDefault="007404EF" w:rsidP="007404EF"/>
    <w:p w:rsidR="00927530" w:rsidRDefault="000253C1" w:rsidP="005D327C">
      <w:pPr>
        <w:pStyle w:val="Nadpis4"/>
      </w:pPr>
      <w:bookmarkStart w:id="21" w:name="_Toc25833346"/>
      <w:r>
        <w:t>3. Ostatní</w:t>
      </w:r>
      <w:r w:rsidR="00927530">
        <w:t xml:space="preserve"> energie</w:t>
      </w:r>
      <w:bookmarkEnd w:id="21"/>
    </w:p>
    <w:p w:rsidR="003C2975" w:rsidRDefault="003C2975" w:rsidP="003C2975">
      <w:r>
        <w:t xml:space="preserve">Pod termínem „ostatní energie“ se rozumí „ostatní zdroje energie“ mimo elektrické energie, plynu a dálkového tepla, které jsou používány pro vaření, vytápění nebo ohřev TUV. </w:t>
      </w:r>
    </w:p>
    <w:p w:rsidR="008C10A2" w:rsidRDefault="008C10A2" w:rsidP="003C2975"/>
    <w:p w:rsidR="003C2975" w:rsidRDefault="003C2975" w:rsidP="003C2975">
      <w:r>
        <w:t>Ostatní energie:</w:t>
      </w:r>
    </w:p>
    <w:p w:rsidR="003C2975" w:rsidRDefault="008B3DE5" w:rsidP="00E7491B">
      <w:pPr>
        <w:pStyle w:val="Odstavecseseznamem"/>
        <w:numPr>
          <w:ilvl w:val="0"/>
          <w:numId w:val="23"/>
        </w:numPr>
      </w:pPr>
      <w:r>
        <w:t>u</w:t>
      </w:r>
      <w:r w:rsidR="003C2975">
        <w:t>hlí</w:t>
      </w:r>
      <w:r>
        <w:t>;</w:t>
      </w:r>
    </w:p>
    <w:p w:rsidR="003C2975" w:rsidRDefault="008B3DE5" w:rsidP="00E7491B">
      <w:pPr>
        <w:pStyle w:val="Odstavecseseznamem"/>
        <w:numPr>
          <w:ilvl w:val="0"/>
          <w:numId w:val="23"/>
        </w:numPr>
      </w:pPr>
      <w:r>
        <w:t>d</w:t>
      </w:r>
      <w:r w:rsidR="003C2975">
        <w:t>řevo</w:t>
      </w:r>
      <w:r>
        <w:t>;</w:t>
      </w:r>
    </w:p>
    <w:p w:rsidR="003C2975" w:rsidRDefault="003C2975" w:rsidP="00E7491B">
      <w:pPr>
        <w:pStyle w:val="Odstavecseseznamem"/>
        <w:numPr>
          <w:ilvl w:val="0"/>
          <w:numId w:val="23"/>
        </w:numPr>
      </w:pPr>
      <w:r>
        <w:t>propan-butan</w:t>
      </w:r>
      <w:r w:rsidR="008B3DE5">
        <w:t>;</w:t>
      </w:r>
    </w:p>
    <w:p w:rsidR="003C2975" w:rsidRDefault="003C2975" w:rsidP="00E7491B">
      <w:pPr>
        <w:pStyle w:val="Odstavecseseznamem"/>
        <w:numPr>
          <w:ilvl w:val="0"/>
          <w:numId w:val="23"/>
        </w:numPr>
      </w:pPr>
      <w:r>
        <w:t>apod.</w:t>
      </w:r>
    </w:p>
    <w:p w:rsidR="003C2975" w:rsidRDefault="003C2975" w:rsidP="003C2975"/>
    <w:p w:rsidR="003C2975" w:rsidRDefault="003C2975" w:rsidP="003C2975">
      <w:r>
        <w:t>Náklady na ostatní energie se nepočítají jako zálohy, vypočítávají se jako náklady v místě obvyklé na základě jednotkových cen v místě obvyklých.</w:t>
      </w:r>
    </w:p>
    <w:p w:rsidR="003C2975" w:rsidRDefault="003C2975" w:rsidP="003C2975"/>
    <w:p w:rsidR="003C2975" w:rsidRDefault="003C2975" w:rsidP="003C2975">
      <w:r>
        <w:t>Náklady na ostatní energie se počítají jako součet nákladů na používané jiné zdroje energie:</w:t>
      </w:r>
    </w:p>
    <w:p w:rsidR="003C2975" w:rsidRDefault="003C2975" w:rsidP="00E7491B">
      <w:pPr>
        <w:pStyle w:val="Odstavecseseznamem"/>
        <w:numPr>
          <w:ilvl w:val="0"/>
          <w:numId w:val="3"/>
        </w:numPr>
      </w:pPr>
      <w:r>
        <w:t>součet nezbytné spotřeby energie v místě obvyklé pro účely, ke kterým je zdroj dané energie používán (nezbytná spotřeba se vypočítává stejným způsobem jako u stanovení nezbytné spotřeby u elektrické energie a plynu)</w:t>
      </w:r>
      <w:r w:rsidR="00160472">
        <w:t>,</w:t>
      </w:r>
    </w:p>
    <w:p w:rsidR="003C2975" w:rsidRDefault="003C2975" w:rsidP="00E7491B">
      <w:pPr>
        <w:pStyle w:val="Odstavecseseznamem"/>
        <w:numPr>
          <w:ilvl w:val="0"/>
          <w:numId w:val="3"/>
        </w:numPr>
      </w:pPr>
      <w:r>
        <w:t>z jednot</w:t>
      </w:r>
      <w:r w:rsidR="00160472">
        <w:t>kové výhřevnosti zdroje energie</w:t>
      </w:r>
      <w:r w:rsidR="00160472">
        <w:rPr>
          <w:rStyle w:val="Znakapoznpodarou"/>
        </w:rPr>
        <w:footnoteReference w:id="26"/>
      </w:r>
      <w:r w:rsidR="00160472">
        <w:t>,</w:t>
      </w:r>
    </w:p>
    <w:p w:rsidR="003C2975" w:rsidRDefault="003C2975" w:rsidP="00E7491B">
      <w:pPr>
        <w:pStyle w:val="Odstavecseseznamem"/>
        <w:numPr>
          <w:ilvl w:val="0"/>
          <w:numId w:val="3"/>
        </w:numPr>
      </w:pPr>
      <w:r>
        <w:t>z jednotkové ceny</w:t>
      </w:r>
      <w:r w:rsidR="00160472">
        <w:t xml:space="preserve"> zdroje energie v místě obvyklé</w:t>
      </w:r>
      <w:r w:rsidR="00160472">
        <w:rPr>
          <w:rStyle w:val="Znakapoznpodarou"/>
        </w:rPr>
        <w:footnoteReference w:id="27"/>
      </w:r>
      <w:r w:rsidR="00160472">
        <w:t>.</w:t>
      </w:r>
    </w:p>
    <w:p w:rsidR="003C2975" w:rsidRDefault="003C2975" w:rsidP="003C2975"/>
    <w:p w:rsidR="00CE7BFC" w:rsidRPr="006357B8" w:rsidRDefault="00CE7BFC" w:rsidP="00EF4269">
      <w:pPr>
        <w:pBdr>
          <w:top w:val="single" w:sz="4" w:space="1" w:color="auto"/>
          <w:left w:val="single" w:sz="4" w:space="4" w:color="auto"/>
          <w:bottom w:val="single" w:sz="4" w:space="1" w:color="auto"/>
          <w:right w:val="single" w:sz="4" w:space="4" w:color="auto"/>
        </w:pBdr>
        <w:jc w:val="center"/>
      </w:pPr>
      <w:r>
        <w:rPr>
          <w:b/>
        </w:rPr>
        <w:t xml:space="preserve">Náklady na ostatní energie v místě obvyklé = </w:t>
      </w:r>
      <w:r>
        <w:t xml:space="preserve">součet </w:t>
      </w:r>
      <w:r w:rsidR="004F2A2A">
        <w:t xml:space="preserve">v místě obvyklých </w:t>
      </w:r>
      <w:r>
        <w:t xml:space="preserve">nákladů </w:t>
      </w:r>
      <w:r w:rsidR="00E84F64">
        <w:br/>
      </w:r>
      <w:r>
        <w:t>na používané zdroje energie</w:t>
      </w:r>
    </w:p>
    <w:p w:rsidR="00CE7BFC" w:rsidRDefault="00CE7BFC" w:rsidP="00CE7BFC"/>
    <w:p w:rsidR="00CE7BFC" w:rsidRDefault="00CE7BFC" w:rsidP="00EF4269">
      <w:pPr>
        <w:pBdr>
          <w:top w:val="single" w:sz="4" w:space="1" w:color="auto"/>
          <w:left w:val="single" w:sz="4" w:space="4" w:color="auto"/>
          <w:bottom w:val="single" w:sz="4" w:space="1" w:color="auto"/>
          <w:right w:val="single" w:sz="4" w:space="4" w:color="auto"/>
        </w:pBdr>
        <w:jc w:val="center"/>
      </w:pPr>
      <w:r w:rsidRPr="0048526C">
        <w:rPr>
          <w:b/>
        </w:rPr>
        <w:t xml:space="preserve">Náklady na </w:t>
      </w:r>
      <w:r>
        <w:rPr>
          <w:b/>
        </w:rPr>
        <w:t xml:space="preserve">používaný </w:t>
      </w:r>
      <w:r w:rsidRPr="0048526C">
        <w:rPr>
          <w:b/>
        </w:rPr>
        <w:t>zdroj energie v místě obvyklé</w:t>
      </w:r>
      <w:r>
        <w:t xml:space="preserve"> = jednotková cena * nezbytná spotřeba energie používaného zdroje v místě obvyklá / výhřevnost používaného zdroje energie</w:t>
      </w:r>
    </w:p>
    <w:p w:rsidR="00F15920" w:rsidRDefault="00F15920" w:rsidP="00CE7BFC"/>
    <w:p w:rsidR="00CE7BFC" w:rsidRPr="00FA2AF8" w:rsidRDefault="00CE7BFC" w:rsidP="00CE7BFC">
      <w:pPr>
        <w:pBdr>
          <w:top w:val="single" w:sz="4" w:space="1" w:color="auto"/>
          <w:left w:val="single" w:sz="4" w:space="4" w:color="auto"/>
          <w:bottom w:val="single" w:sz="4" w:space="1" w:color="auto"/>
          <w:right w:val="single" w:sz="4" w:space="4" w:color="auto"/>
        </w:pBdr>
        <w:jc w:val="center"/>
        <w:rPr>
          <w:rFonts w:cs="Arial"/>
          <w:szCs w:val="24"/>
          <w:lang w:eastAsia="cs-CZ"/>
        </w:rPr>
      </w:pPr>
      <w:r w:rsidRPr="00214EB7">
        <w:rPr>
          <w:b/>
          <w:lang w:eastAsia="cs-CZ"/>
        </w:rPr>
        <w:t xml:space="preserve">Nezbytná spotřeba </w:t>
      </w:r>
      <w:r>
        <w:rPr>
          <w:b/>
          <w:lang w:eastAsia="cs-CZ"/>
        </w:rPr>
        <w:t>energie</w:t>
      </w:r>
      <w:r w:rsidRPr="00214EB7">
        <w:rPr>
          <w:b/>
          <w:lang w:eastAsia="cs-CZ"/>
        </w:rPr>
        <w:t xml:space="preserve"> </w:t>
      </w:r>
      <w:r>
        <w:rPr>
          <w:b/>
          <w:lang w:eastAsia="cs-CZ"/>
        </w:rPr>
        <w:t xml:space="preserve">používaného zdroje </w:t>
      </w:r>
      <w:r w:rsidRPr="00214EB7">
        <w:rPr>
          <w:b/>
          <w:lang w:eastAsia="cs-CZ"/>
        </w:rPr>
        <w:t>v místě obvyklá</w:t>
      </w:r>
      <w:r>
        <w:rPr>
          <w:lang w:eastAsia="cs-CZ"/>
        </w:rPr>
        <w:t xml:space="preserve"> = nezbytná spotřeba energie používaného zdroje na vytápění * </w:t>
      </w:r>
      <w:r>
        <w:rPr>
          <w:rFonts w:cs="Arial"/>
          <w:szCs w:val="24"/>
        </w:rPr>
        <w:t>procento</w:t>
      </w:r>
      <w:r w:rsidRPr="00F65550">
        <w:rPr>
          <w:rFonts w:cs="Arial"/>
          <w:szCs w:val="24"/>
        </w:rPr>
        <w:t xml:space="preserve"> používání </w:t>
      </w:r>
      <w:r>
        <w:rPr>
          <w:rFonts w:cs="Arial"/>
          <w:szCs w:val="24"/>
        </w:rPr>
        <w:t>zdroje</w:t>
      </w:r>
      <w:r>
        <w:rPr>
          <w:rFonts w:ascii="TimesNewRomanPSMT" w:hAnsi="TimesNewRomanPSMT" w:cs="TimesNewRomanPSMT"/>
          <w:sz w:val="19"/>
          <w:szCs w:val="19"/>
        </w:rPr>
        <w:t xml:space="preserve"> </w:t>
      </w:r>
      <w:r>
        <w:rPr>
          <w:lang w:eastAsia="cs-CZ"/>
        </w:rPr>
        <w:t xml:space="preserve">k vytápění / 100 + nezbytná spotřeba energie používaného zdroje na ohřev TUV * </w:t>
      </w:r>
      <w:r>
        <w:rPr>
          <w:rFonts w:cs="Arial"/>
          <w:szCs w:val="24"/>
        </w:rPr>
        <w:t>procento</w:t>
      </w:r>
      <w:r w:rsidRPr="00BE29A9">
        <w:rPr>
          <w:rFonts w:cs="Arial"/>
          <w:szCs w:val="24"/>
        </w:rPr>
        <w:t xml:space="preserve"> používání </w:t>
      </w:r>
      <w:r>
        <w:rPr>
          <w:rFonts w:cs="Arial"/>
          <w:szCs w:val="24"/>
        </w:rPr>
        <w:t xml:space="preserve">zdroje </w:t>
      </w:r>
      <w:r>
        <w:rPr>
          <w:lang w:eastAsia="cs-CZ"/>
        </w:rPr>
        <w:t xml:space="preserve">k ohřevu TUV / 100 </w:t>
      </w:r>
      <w:r w:rsidRPr="00F65550">
        <w:rPr>
          <w:rFonts w:cs="Arial"/>
          <w:szCs w:val="24"/>
        </w:rPr>
        <w:t xml:space="preserve">+ </w:t>
      </w:r>
      <w:r>
        <w:rPr>
          <w:rFonts w:cs="Arial"/>
          <w:szCs w:val="24"/>
        </w:rPr>
        <w:t xml:space="preserve">nezbytná spotřeba energie používaného zdroje </w:t>
      </w:r>
      <w:r w:rsidRPr="00F65550">
        <w:rPr>
          <w:rFonts w:cs="Arial"/>
          <w:szCs w:val="24"/>
        </w:rPr>
        <w:t>k vaření.</w:t>
      </w:r>
    </w:p>
    <w:p w:rsidR="00CE7BFC" w:rsidRDefault="00CE7BFC" w:rsidP="003C2975">
      <w:pPr>
        <w:tabs>
          <w:tab w:val="left" w:pos="6926"/>
        </w:tabs>
      </w:pPr>
    </w:p>
    <w:p w:rsidR="00CE7BFC" w:rsidRDefault="00CE7BFC" w:rsidP="00CE7BFC">
      <w:r>
        <w:t>Nezbytná spotřeba energie na vytápění, ohřev vody a vaření se vypočítává obdobně jako v případě elektřiny nebo plynu a započítává se v poměrné výši používání daného zdroje energie pro ten který účel.</w:t>
      </w:r>
    </w:p>
    <w:p w:rsidR="003C2975" w:rsidRDefault="003C2975" w:rsidP="003C2975">
      <w:pPr>
        <w:tabs>
          <w:tab w:val="left" w:pos="6926"/>
        </w:tabs>
      </w:pPr>
      <w:r>
        <w:tab/>
      </w:r>
    </w:p>
    <w:p w:rsidR="00256926" w:rsidRDefault="003C2975" w:rsidP="00EF4269">
      <w:r>
        <w:t>Pokud je zdrojem energie dříví bez úhrady (typicky nasbírané v lese),</w:t>
      </w:r>
      <w:r w:rsidR="00B00997">
        <w:t xml:space="preserve"> tato skutečnost se nezohledňuje a v</w:t>
      </w:r>
      <w:r>
        <w:t xml:space="preserve">ýše ONB </w:t>
      </w:r>
      <w:r w:rsidR="00B00997">
        <w:t xml:space="preserve">nebude </w:t>
      </w:r>
      <w:r>
        <w:t>ovlivněna</w:t>
      </w:r>
      <w:r w:rsidR="00B00997">
        <w:rPr>
          <w:rStyle w:val="Znakapoznpodarou"/>
        </w:rPr>
        <w:footnoteReference w:id="28"/>
      </w:r>
      <w:r>
        <w:t>.</w:t>
      </w:r>
    </w:p>
    <w:p w:rsidR="00EF4269" w:rsidRDefault="00EF4269" w:rsidP="00EF4269"/>
    <w:p w:rsidR="00030707" w:rsidRPr="00EF4269" w:rsidRDefault="00030707" w:rsidP="00EF4269"/>
    <w:p w:rsidR="00927530" w:rsidRDefault="00E563D0" w:rsidP="00F01EDE">
      <w:pPr>
        <w:pStyle w:val="Nadpis2"/>
      </w:pPr>
      <w:bookmarkStart w:id="22" w:name="_Toc25833347"/>
      <w:r>
        <w:t xml:space="preserve">C) </w:t>
      </w:r>
      <w:r w:rsidR="000A3A49">
        <w:t>ONB</w:t>
      </w:r>
      <w:r w:rsidR="00927530">
        <w:t xml:space="preserve"> u </w:t>
      </w:r>
      <w:r w:rsidR="00893312">
        <w:t>substandardních</w:t>
      </w:r>
      <w:r w:rsidR="00927530">
        <w:t xml:space="preserve"> forem bydlení</w:t>
      </w:r>
      <w:bookmarkEnd w:id="22"/>
    </w:p>
    <w:p w:rsidR="00956EB2" w:rsidRPr="00956EB2" w:rsidRDefault="00956EB2" w:rsidP="00956EB2"/>
    <w:p w:rsidR="00927530" w:rsidRDefault="00927530" w:rsidP="00927530">
      <w:pPr>
        <w:rPr>
          <w:rFonts w:cs="Arial"/>
          <w:szCs w:val="24"/>
        </w:rPr>
      </w:pPr>
      <w:r>
        <w:rPr>
          <w:rFonts w:cs="Arial"/>
          <w:szCs w:val="24"/>
        </w:rPr>
        <w:t>D</w:t>
      </w:r>
      <w:r w:rsidR="007C212F">
        <w:rPr>
          <w:rFonts w:cs="Arial"/>
          <w:szCs w:val="24"/>
        </w:rPr>
        <w:t>o substandardních forem bydlení jsou zařazeny následující</w:t>
      </w:r>
      <w:r>
        <w:rPr>
          <w:rFonts w:cs="Arial"/>
          <w:szCs w:val="24"/>
        </w:rPr>
        <w:t xml:space="preserve"> </w:t>
      </w:r>
      <w:r w:rsidR="00E84F64">
        <w:rPr>
          <w:rFonts w:cs="Arial"/>
          <w:szCs w:val="24"/>
        </w:rPr>
        <w:t>typy</w:t>
      </w:r>
      <w:r>
        <w:rPr>
          <w:rFonts w:cs="Arial"/>
          <w:szCs w:val="24"/>
        </w:rPr>
        <w:t xml:space="preserve"> bydlení:</w:t>
      </w:r>
    </w:p>
    <w:p w:rsidR="00927530" w:rsidRDefault="00927530" w:rsidP="00E7491B">
      <w:pPr>
        <w:pStyle w:val="Odstavecseseznamem"/>
        <w:numPr>
          <w:ilvl w:val="0"/>
          <w:numId w:val="1"/>
        </w:numPr>
        <w:rPr>
          <w:rFonts w:cs="Arial"/>
          <w:szCs w:val="24"/>
        </w:rPr>
      </w:pPr>
      <w:r>
        <w:rPr>
          <w:rFonts w:cs="Arial"/>
          <w:szCs w:val="24"/>
        </w:rPr>
        <w:t>Jiný než obytný prostor, pokud splňuje standardy kvality bydlení</w:t>
      </w:r>
      <w:r w:rsidR="000D7A15">
        <w:rPr>
          <w:rFonts w:cs="Arial"/>
          <w:szCs w:val="24"/>
        </w:rPr>
        <w:t>;</w:t>
      </w:r>
    </w:p>
    <w:p w:rsidR="00927530" w:rsidRDefault="00927530" w:rsidP="00E7491B">
      <w:pPr>
        <w:pStyle w:val="Odstavecseseznamem"/>
        <w:numPr>
          <w:ilvl w:val="0"/>
          <w:numId w:val="1"/>
        </w:numPr>
        <w:rPr>
          <w:rFonts w:cs="Arial"/>
          <w:szCs w:val="24"/>
        </w:rPr>
      </w:pPr>
      <w:r>
        <w:rPr>
          <w:rFonts w:cs="Arial"/>
          <w:szCs w:val="24"/>
        </w:rPr>
        <w:t>Ubytovací zařízení se schváleným provozním řádem</w:t>
      </w:r>
      <w:r w:rsidR="000D7A15">
        <w:rPr>
          <w:rFonts w:cs="Arial"/>
          <w:szCs w:val="24"/>
        </w:rPr>
        <w:t>;</w:t>
      </w:r>
    </w:p>
    <w:p w:rsidR="00927530" w:rsidRDefault="00927530" w:rsidP="00E7491B">
      <w:pPr>
        <w:pStyle w:val="Odstavecseseznamem"/>
        <w:numPr>
          <w:ilvl w:val="0"/>
          <w:numId w:val="1"/>
        </w:numPr>
        <w:rPr>
          <w:rFonts w:cs="Arial"/>
          <w:szCs w:val="24"/>
        </w:rPr>
      </w:pPr>
      <w:r>
        <w:rPr>
          <w:rFonts w:cs="Arial"/>
          <w:szCs w:val="24"/>
        </w:rPr>
        <w:t>Stavb</w:t>
      </w:r>
      <w:r w:rsidR="00DE2E2F">
        <w:rPr>
          <w:rFonts w:cs="Arial"/>
          <w:szCs w:val="24"/>
        </w:rPr>
        <w:t>a</w:t>
      </w:r>
      <w:r>
        <w:rPr>
          <w:rFonts w:cs="Arial"/>
          <w:szCs w:val="24"/>
        </w:rPr>
        <w:t xml:space="preserve"> pro individuální či rodinnou rekreaci</w:t>
      </w:r>
      <w:r w:rsidR="00B8719E">
        <w:rPr>
          <w:rFonts w:cs="Arial"/>
          <w:szCs w:val="24"/>
        </w:rPr>
        <w:t xml:space="preserve"> užívaná vlastníkem</w:t>
      </w:r>
      <w:r w:rsidR="00EF38A9">
        <w:rPr>
          <w:rFonts w:cs="Arial"/>
          <w:szCs w:val="24"/>
        </w:rPr>
        <w:t>, pokud splňuje standardy kvality bydlení</w:t>
      </w:r>
      <w:r w:rsidR="000D7A15">
        <w:rPr>
          <w:rFonts w:cs="Arial"/>
          <w:szCs w:val="24"/>
        </w:rPr>
        <w:t>;</w:t>
      </w:r>
    </w:p>
    <w:p w:rsidR="00927530" w:rsidRPr="00B53DBB" w:rsidRDefault="00AE2889" w:rsidP="00E7491B">
      <w:pPr>
        <w:pStyle w:val="Odstavecseseznamem"/>
        <w:numPr>
          <w:ilvl w:val="0"/>
          <w:numId w:val="1"/>
        </w:numPr>
        <w:rPr>
          <w:rFonts w:cs="Arial"/>
          <w:szCs w:val="24"/>
        </w:rPr>
      </w:pPr>
      <w:r w:rsidRPr="00B53DBB">
        <w:rPr>
          <w:rFonts w:cs="Arial"/>
          <w:szCs w:val="24"/>
        </w:rPr>
        <w:t>Pobytová sociální</w:t>
      </w:r>
      <w:r w:rsidR="00B53DBB" w:rsidRPr="00B53DBB">
        <w:rPr>
          <w:rFonts w:cs="Arial"/>
          <w:szCs w:val="24"/>
        </w:rPr>
        <w:t xml:space="preserve"> služba, a to domov pro seniory, domov</w:t>
      </w:r>
      <w:r w:rsidR="00927530" w:rsidRPr="00B53DBB">
        <w:rPr>
          <w:rFonts w:cs="Arial"/>
          <w:szCs w:val="24"/>
        </w:rPr>
        <w:t xml:space="preserve"> pro osoby </w:t>
      </w:r>
      <w:r w:rsidR="00B53DBB">
        <w:rPr>
          <w:rFonts w:cs="Arial"/>
          <w:szCs w:val="24"/>
        </w:rPr>
        <w:br/>
      </w:r>
      <w:r w:rsidR="00B53DBB" w:rsidRPr="00B53DBB">
        <w:rPr>
          <w:rFonts w:cs="Arial"/>
          <w:szCs w:val="24"/>
        </w:rPr>
        <w:t>se zdravotním postižením, domov</w:t>
      </w:r>
      <w:r w:rsidR="00927530" w:rsidRPr="00B53DBB">
        <w:rPr>
          <w:rFonts w:cs="Arial"/>
          <w:szCs w:val="24"/>
        </w:rPr>
        <w:t xml:space="preserve"> se zvláštn</w:t>
      </w:r>
      <w:r w:rsidR="00B53DBB" w:rsidRPr="00B53DBB">
        <w:rPr>
          <w:rFonts w:cs="Arial"/>
          <w:szCs w:val="24"/>
        </w:rPr>
        <w:t>ím režimem, chráněné</w:t>
      </w:r>
      <w:r w:rsidR="00927530" w:rsidRPr="00B53DBB">
        <w:rPr>
          <w:rFonts w:cs="Arial"/>
          <w:szCs w:val="24"/>
        </w:rPr>
        <w:t xml:space="preserve"> bydlení, </w:t>
      </w:r>
      <w:r w:rsidR="00B53DBB" w:rsidRPr="00B53DBB">
        <w:rPr>
          <w:rFonts w:cs="Arial"/>
          <w:szCs w:val="24"/>
        </w:rPr>
        <w:t>dům na půl cesty, terapeutická komunita</w:t>
      </w:r>
      <w:r w:rsidR="00927530" w:rsidRPr="00B53DBB">
        <w:rPr>
          <w:rFonts w:cs="Arial"/>
          <w:szCs w:val="24"/>
        </w:rPr>
        <w:t>,</w:t>
      </w:r>
      <w:r w:rsidR="007C212F" w:rsidRPr="00B53DBB">
        <w:rPr>
          <w:rFonts w:cs="Arial"/>
          <w:szCs w:val="24"/>
        </w:rPr>
        <w:t xml:space="preserve"> zařízení služeb následné péče,</w:t>
      </w:r>
      <w:r w:rsidR="00B53DBB" w:rsidRPr="00B53DBB">
        <w:rPr>
          <w:rFonts w:cs="Arial"/>
          <w:szCs w:val="24"/>
        </w:rPr>
        <w:t xml:space="preserve"> zdravotnické</w:t>
      </w:r>
      <w:r w:rsidR="00927530" w:rsidRPr="00B53DBB">
        <w:rPr>
          <w:rFonts w:cs="Arial"/>
          <w:szCs w:val="24"/>
        </w:rPr>
        <w:t xml:space="preserve"> zařízení lůžkové péče</w:t>
      </w:r>
      <w:r w:rsidR="00B53DBB" w:rsidRPr="00B53DBB">
        <w:rPr>
          <w:rFonts w:cs="Arial"/>
          <w:szCs w:val="24"/>
        </w:rPr>
        <w:t xml:space="preserve"> nebo azylový dům</w:t>
      </w:r>
      <w:r w:rsidR="00927530" w:rsidRPr="00B53DBB">
        <w:rPr>
          <w:rFonts w:cs="Arial"/>
          <w:szCs w:val="24"/>
        </w:rPr>
        <w:t xml:space="preserve"> podle zákona </w:t>
      </w:r>
      <w:r w:rsidR="00B53DBB" w:rsidRPr="00B53DBB">
        <w:rPr>
          <w:rFonts w:cs="Arial"/>
          <w:szCs w:val="24"/>
        </w:rPr>
        <w:br/>
      </w:r>
      <w:r w:rsidR="00927530" w:rsidRPr="00B53DBB">
        <w:rPr>
          <w:rFonts w:cs="Arial"/>
          <w:szCs w:val="24"/>
        </w:rPr>
        <w:t xml:space="preserve">č. 108/2006 Sb., o sociálních službách, ve znění pozdějších předpisů. </w:t>
      </w:r>
    </w:p>
    <w:p w:rsidR="00927530" w:rsidRPr="00627078" w:rsidRDefault="00927530" w:rsidP="00927530">
      <w:pPr>
        <w:rPr>
          <w:rFonts w:cs="Arial"/>
          <w:b/>
          <w:szCs w:val="24"/>
        </w:rPr>
      </w:pPr>
    </w:p>
    <w:p w:rsidR="00FF66BF" w:rsidRDefault="00A75F6F" w:rsidP="00CF5AA1">
      <w:pPr>
        <w:tabs>
          <w:tab w:val="left" w:pos="284"/>
        </w:tabs>
      </w:pPr>
      <w:r w:rsidRPr="00497BC4">
        <w:t xml:space="preserve">U </w:t>
      </w:r>
      <w:r w:rsidR="00DD0392" w:rsidRPr="00497BC4">
        <w:t>výše uvedených</w:t>
      </w:r>
      <w:r w:rsidRPr="00497BC4">
        <w:t xml:space="preserve"> forem bydlení je výše ONB ovlivňována normativními náklady </w:t>
      </w:r>
      <w:r w:rsidR="00FF66BF" w:rsidRPr="00497BC4">
        <w:br/>
      </w:r>
      <w:r w:rsidRPr="00497BC4">
        <w:t xml:space="preserve">na bydlení. Za ONB jsou považovány náklady v místě obvyklé, </w:t>
      </w:r>
      <w:r w:rsidRPr="00497BC4">
        <w:rPr>
          <w:b/>
        </w:rPr>
        <w:t xml:space="preserve">max. však </w:t>
      </w:r>
      <w:r w:rsidR="00256926" w:rsidRPr="00497BC4">
        <w:rPr>
          <w:b/>
        </w:rPr>
        <w:br/>
      </w:r>
      <w:r w:rsidRPr="00497BC4">
        <w:rPr>
          <w:b/>
        </w:rPr>
        <w:t xml:space="preserve">do výše </w:t>
      </w:r>
      <w:r w:rsidR="00075468" w:rsidRPr="00497BC4">
        <w:rPr>
          <w:b/>
        </w:rPr>
        <w:t xml:space="preserve">% </w:t>
      </w:r>
      <w:r w:rsidRPr="00497BC4">
        <w:rPr>
          <w:b/>
        </w:rPr>
        <w:t>daného stropu normativních nákladů na bydlení</w:t>
      </w:r>
      <w:r w:rsidR="00ED506E" w:rsidRPr="00497BC4">
        <w:rPr>
          <w:b/>
        </w:rPr>
        <w:t>:</w:t>
      </w:r>
    </w:p>
    <w:p w:rsidR="00A75F6F" w:rsidRDefault="00A75F6F" w:rsidP="00E7491B">
      <w:pPr>
        <w:pStyle w:val="Textpoznpodarou"/>
        <w:numPr>
          <w:ilvl w:val="0"/>
          <w:numId w:val="25"/>
        </w:numPr>
        <w:rPr>
          <w:rFonts w:cs="Arial"/>
          <w:sz w:val="24"/>
          <w:szCs w:val="24"/>
        </w:rPr>
      </w:pPr>
      <w:r w:rsidRPr="00780D32">
        <w:rPr>
          <w:rFonts w:cs="Arial"/>
          <w:b/>
          <w:sz w:val="24"/>
          <w:szCs w:val="24"/>
        </w:rPr>
        <w:lastRenderedPageBreak/>
        <w:t>u jiného než obytného prostoru</w:t>
      </w:r>
      <w:r w:rsidRPr="003B05AB">
        <w:rPr>
          <w:rFonts w:cs="Arial"/>
          <w:sz w:val="24"/>
          <w:szCs w:val="24"/>
        </w:rPr>
        <w:t xml:space="preserve"> a </w:t>
      </w:r>
      <w:r w:rsidRPr="00780D32">
        <w:rPr>
          <w:rFonts w:cs="Arial"/>
          <w:b/>
          <w:sz w:val="24"/>
          <w:szCs w:val="24"/>
        </w:rPr>
        <w:t>ubytovacího zařízení</w:t>
      </w:r>
      <w:r>
        <w:rPr>
          <w:rFonts w:cs="Arial"/>
          <w:sz w:val="24"/>
          <w:szCs w:val="24"/>
        </w:rPr>
        <w:t xml:space="preserve"> se jedná o náklady v místě obvyklé, maximálně však do výše </w:t>
      </w:r>
      <w:r w:rsidRPr="00780D32">
        <w:rPr>
          <w:rFonts w:cs="Arial"/>
          <w:b/>
          <w:sz w:val="24"/>
          <w:szCs w:val="24"/>
        </w:rPr>
        <w:t>80%</w:t>
      </w:r>
      <w:r w:rsidRPr="003B05AB">
        <w:rPr>
          <w:rFonts w:cs="Arial"/>
          <w:sz w:val="24"/>
          <w:szCs w:val="24"/>
        </w:rPr>
        <w:t xml:space="preserve"> </w:t>
      </w:r>
      <w:r w:rsidRPr="00497BC4">
        <w:rPr>
          <w:rFonts w:cs="Arial"/>
          <w:b/>
          <w:sz w:val="24"/>
          <w:szCs w:val="24"/>
        </w:rPr>
        <w:t xml:space="preserve">normativních nákladů </w:t>
      </w:r>
      <w:r w:rsidR="008C69C2" w:rsidRPr="00497BC4">
        <w:rPr>
          <w:rFonts w:cs="Arial"/>
          <w:b/>
          <w:sz w:val="24"/>
          <w:szCs w:val="24"/>
        </w:rPr>
        <w:br/>
      </w:r>
      <w:r w:rsidRPr="00497BC4">
        <w:rPr>
          <w:rFonts w:cs="Arial"/>
          <w:b/>
          <w:sz w:val="24"/>
          <w:szCs w:val="24"/>
        </w:rPr>
        <w:t>na bydlení</w:t>
      </w:r>
      <w:r w:rsidR="00E169E6" w:rsidRPr="00497BC4">
        <w:rPr>
          <w:rFonts w:cs="Arial"/>
          <w:b/>
          <w:sz w:val="24"/>
          <w:szCs w:val="24"/>
        </w:rPr>
        <w:t xml:space="preserve"> v bytech užívaných na základě nájemní smlouvy</w:t>
      </w:r>
      <w:r w:rsidRPr="00FF66BF">
        <w:rPr>
          <w:rStyle w:val="Znakapoznpodarou"/>
          <w:rFonts w:cs="Arial"/>
          <w:b/>
          <w:szCs w:val="24"/>
        </w:rPr>
        <w:footnoteReference w:id="29"/>
      </w:r>
      <w:r>
        <w:rPr>
          <w:rFonts w:cs="Arial"/>
          <w:sz w:val="24"/>
          <w:szCs w:val="24"/>
        </w:rPr>
        <w:t>;</w:t>
      </w:r>
    </w:p>
    <w:p w:rsidR="00A75F6F" w:rsidRDefault="00A42860" w:rsidP="00E7491B">
      <w:pPr>
        <w:pStyle w:val="Textpoznpodarou"/>
        <w:numPr>
          <w:ilvl w:val="0"/>
          <w:numId w:val="2"/>
        </w:numPr>
        <w:rPr>
          <w:rFonts w:cs="Arial"/>
          <w:sz w:val="24"/>
          <w:szCs w:val="24"/>
        </w:rPr>
      </w:pPr>
      <w:r>
        <w:rPr>
          <w:rFonts w:cs="Arial"/>
          <w:b/>
          <w:sz w:val="24"/>
          <w:szCs w:val="24"/>
        </w:rPr>
        <w:t xml:space="preserve">u </w:t>
      </w:r>
      <w:r w:rsidR="00A75F6F" w:rsidRPr="00780D32">
        <w:rPr>
          <w:rFonts w:cs="Arial"/>
          <w:b/>
          <w:sz w:val="24"/>
          <w:szCs w:val="24"/>
        </w:rPr>
        <w:t>stavby pro rodinnou a individuální rekreaci</w:t>
      </w:r>
      <w:r w:rsidR="00A75F6F">
        <w:rPr>
          <w:rFonts w:cs="Arial"/>
          <w:sz w:val="24"/>
          <w:szCs w:val="24"/>
        </w:rPr>
        <w:t xml:space="preserve"> se jedná o náklady v místě obvyklé, maximálně však do výše </w:t>
      </w:r>
      <w:r w:rsidR="00A75F6F" w:rsidRPr="00780D32">
        <w:rPr>
          <w:rFonts w:cs="Arial"/>
          <w:b/>
          <w:sz w:val="24"/>
          <w:szCs w:val="24"/>
        </w:rPr>
        <w:t>90</w:t>
      </w:r>
      <w:r w:rsidR="00A75F6F" w:rsidRPr="00FF66BF">
        <w:rPr>
          <w:rFonts w:cs="Arial"/>
          <w:b/>
          <w:sz w:val="24"/>
          <w:szCs w:val="24"/>
        </w:rPr>
        <w:t xml:space="preserve">% </w:t>
      </w:r>
      <w:r w:rsidR="00A75F6F" w:rsidRPr="00497BC4">
        <w:rPr>
          <w:rFonts w:cs="Arial"/>
          <w:b/>
          <w:sz w:val="24"/>
          <w:szCs w:val="24"/>
        </w:rPr>
        <w:t>normativních nákladů na bydlení</w:t>
      </w:r>
      <w:r w:rsidR="000E0C73" w:rsidRPr="00497BC4">
        <w:rPr>
          <w:rFonts w:cs="Arial"/>
          <w:b/>
          <w:sz w:val="24"/>
          <w:szCs w:val="24"/>
        </w:rPr>
        <w:t xml:space="preserve"> v bytech družstevních a vlastníků</w:t>
      </w:r>
      <w:r w:rsidR="00A75F6F" w:rsidRPr="00FF66BF">
        <w:rPr>
          <w:rStyle w:val="Znakapoznpodarou"/>
          <w:rFonts w:cs="Arial"/>
          <w:b/>
          <w:szCs w:val="24"/>
        </w:rPr>
        <w:footnoteReference w:id="30"/>
      </w:r>
      <w:r w:rsidR="00A75F6F">
        <w:rPr>
          <w:rFonts w:cs="Arial"/>
          <w:sz w:val="24"/>
          <w:szCs w:val="24"/>
        </w:rPr>
        <w:t>;</w:t>
      </w:r>
    </w:p>
    <w:p w:rsidR="00A75F6F" w:rsidRDefault="00A42860" w:rsidP="00E7491B">
      <w:pPr>
        <w:pStyle w:val="Textpoznpodarou"/>
        <w:numPr>
          <w:ilvl w:val="0"/>
          <w:numId w:val="2"/>
        </w:numPr>
        <w:rPr>
          <w:rFonts w:cs="Arial"/>
          <w:sz w:val="24"/>
          <w:szCs w:val="24"/>
        </w:rPr>
      </w:pPr>
      <w:r>
        <w:rPr>
          <w:rFonts w:cs="Arial"/>
          <w:b/>
          <w:sz w:val="24"/>
          <w:szCs w:val="24"/>
        </w:rPr>
        <w:t xml:space="preserve">u </w:t>
      </w:r>
      <w:r w:rsidR="00A75F6F" w:rsidRPr="00780D32">
        <w:rPr>
          <w:rFonts w:cs="Arial"/>
          <w:b/>
          <w:sz w:val="24"/>
          <w:szCs w:val="24"/>
        </w:rPr>
        <w:t>zařízení sociálních služeb</w:t>
      </w:r>
      <w:r w:rsidR="00A75F6F">
        <w:rPr>
          <w:rFonts w:cs="Arial"/>
          <w:sz w:val="24"/>
          <w:szCs w:val="24"/>
        </w:rPr>
        <w:t xml:space="preserve"> se jedná o náklady v místě obvyklé, maximálně však do výše </w:t>
      </w:r>
      <w:r w:rsidR="00A75F6F" w:rsidRPr="00FF66BF">
        <w:rPr>
          <w:rFonts w:cs="Arial"/>
          <w:b/>
          <w:sz w:val="24"/>
          <w:szCs w:val="24"/>
        </w:rPr>
        <w:t xml:space="preserve">100% </w:t>
      </w:r>
      <w:r w:rsidR="00A75F6F" w:rsidRPr="000D33B6">
        <w:rPr>
          <w:rFonts w:cs="Arial"/>
          <w:b/>
          <w:sz w:val="24"/>
          <w:szCs w:val="24"/>
        </w:rPr>
        <w:t>normativních nákladů na bydlení</w:t>
      </w:r>
      <w:r w:rsidR="000E0C73" w:rsidRPr="000D33B6">
        <w:rPr>
          <w:rFonts w:cs="Arial"/>
          <w:b/>
          <w:sz w:val="24"/>
          <w:szCs w:val="24"/>
        </w:rPr>
        <w:t xml:space="preserve"> v bytech užíva</w:t>
      </w:r>
      <w:r>
        <w:rPr>
          <w:rFonts w:cs="Arial"/>
          <w:b/>
          <w:sz w:val="24"/>
          <w:szCs w:val="24"/>
        </w:rPr>
        <w:t xml:space="preserve">ných </w:t>
      </w:r>
      <w:r>
        <w:rPr>
          <w:rFonts w:cs="Arial"/>
          <w:b/>
          <w:sz w:val="24"/>
          <w:szCs w:val="24"/>
        </w:rPr>
        <w:br/>
        <w:t>na základě nájemní smlouvy</w:t>
      </w:r>
      <w:r w:rsidR="00A75F6F">
        <w:rPr>
          <w:rFonts w:cs="Arial"/>
          <w:sz w:val="24"/>
          <w:szCs w:val="24"/>
        </w:rPr>
        <w:t>.</w:t>
      </w:r>
    </w:p>
    <w:p w:rsidR="00A75F6F" w:rsidRDefault="00A75F6F" w:rsidP="00CF5AA1">
      <w:pPr>
        <w:tabs>
          <w:tab w:val="left" w:pos="284"/>
        </w:tabs>
      </w:pPr>
    </w:p>
    <w:p w:rsidR="00893312" w:rsidRDefault="00927530" w:rsidP="00CF5AA1">
      <w:pPr>
        <w:tabs>
          <w:tab w:val="left" w:pos="284"/>
        </w:tabs>
      </w:pPr>
      <w:r>
        <w:t xml:space="preserve">V případě těchto forem bydlení se součet </w:t>
      </w:r>
      <w:r w:rsidR="00A75F6F">
        <w:t>nájemn</w:t>
      </w:r>
      <w:r w:rsidR="00ED506E">
        <w:t xml:space="preserve">ého, pravidelných úhrad za služby spojené s užíváním bytu a úhrad prokazatelné nezbytné spotřeby energií </w:t>
      </w:r>
      <w:r>
        <w:t xml:space="preserve">započítává </w:t>
      </w:r>
      <w:r w:rsidR="00075468">
        <w:t xml:space="preserve">při stanovení ONB </w:t>
      </w:r>
      <w:r>
        <w:t>do výše „nákladů v místě obvyklých“</w:t>
      </w:r>
      <w:r w:rsidR="00ED506E">
        <w:t xml:space="preserve">, max. </w:t>
      </w:r>
      <w:r w:rsidR="00DD12DB">
        <w:t xml:space="preserve">však </w:t>
      </w:r>
      <w:r w:rsidR="00ED506E">
        <w:t>do % vyjádřených stropů normativních nákladů na bydlení</w:t>
      </w:r>
      <w:r w:rsidR="004A31BF">
        <w:t xml:space="preserve">. </w:t>
      </w:r>
      <w:r w:rsidR="00ED506E">
        <w:t xml:space="preserve">V aplikačním programu </w:t>
      </w:r>
      <w:r w:rsidR="00075468">
        <w:t xml:space="preserve">je </w:t>
      </w:r>
      <w:r w:rsidR="00DD0392">
        <w:t>zavedena</w:t>
      </w:r>
      <w:r w:rsidR="00ED506E">
        <w:t xml:space="preserve"> </w:t>
      </w:r>
      <w:r>
        <w:t>položka „náklady v místě obvyklé“</w:t>
      </w:r>
      <w:r w:rsidR="00075468">
        <w:t>, která</w:t>
      </w:r>
      <w:r>
        <w:t xml:space="preserve"> umožňuje individuálně „snížit“ </w:t>
      </w:r>
      <w:r w:rsidR="00ED506E">
        <w:t xml:space="preserve">ONB pod hranici </w:t>
      </w:r>
      <w:r w:rsidR="00B31F42">
        <w:br/>
      </w:r>
      <w:r w:rsidR="00DD0392">
        <w:t xml:space="preserve">% </w:t>
      </w:r>
      <w:r w:rsidR="00ED506E">
        <w:t xml:space="preserve">daného stropu </w:t>
      </w:r>
      <w:r>
        <w:t>normativní</w:t>
      </w:r>
      <w:r w:rsidR="00ED506E">
        <w:t>ch</w:t>
      </w:r>
      <w:r>
        <w:t xml:space="preserve"> náklad</w:t>
      </w:r>
      <w:r w:rsidR="00DD12DB">
        <w:t>ů</w:t>
      </w:r>
      <w:r>
        <w:t xml:space="preserve"> na </w:t>
      </w:r>
      <w:r w:rsidR="00893312">
        <w:t>b</w:t>
      </w:r>
      <w:r>
        <w:t xml:space="preserve">ydlení. Lze ji </w:t>
      </w:r>
      <w:r w:rsidR="00DD0392">
        <w:t xml:space="preserve">používat </w:t>
      </w:r>
      <w:r>
        <w:t>pouze v případě, kdy je užíváno bydlení typu „ubytovací zařízení“, „stavba pro individuální či rodinnou rekreaci“, „jiný než obytný prostor“ nebo „pobytové sociální služby“</w:t>
      </w:r>
      <w:r w:rsidR="00DD0392">
        <w:t xml:space="preserve">. Používá </w:t>
      </w:r>
      <w:r w:rsidR="00B31F42">
        <w:br/>
      </w:r>
      <w:r w:rsidR="00DD0392">
        <w:t>se v situacích, kdy</w:t>
      </w:r>
      <w:r>
        <w:t xml:space="preserve"> </w:t>
      </w:r>
      <w:r w:rsidR="00F81281">
        <w:t>„náklady v místě obvyklé“</w:t>
      </w:r>
      <w:r>
        <w:t xml:space="preserve"> na tento typ bydlení jsou nižší, než </w:t>
      </w:r>
      <w:r w:rsidR="00B31F42">
        <w:br/>
      </w:r>
      <w:r w:rsidR="00075468">
        <w:t xml:space="preserve">% stanovené stropy </w:t>
      </w:r>
      <w:r>
        <w:t>normativn</w:t>
      </w:r>
      <w:r w:rsidR="00075468">
        <w:t>ích</w:t>
      </w:r>
      <w:r>
        <w:t xml:space="preserve"> náklad</w:t>
      </w:r>
      <w:r w:rsidR="00075468">
        <w:t>ů na bydlení</w:t>
      </w:r>
      <w:r>
        <w:t xml:space="preserve">. Pokud budou </w:t>
      </w:r>
      <w:r w:rsidR="00B31F42">
        <w:t xml:space="preserve">tyto nižší </w:t>
      </w:r>
      <w:r>
        <w:t xml:space="preserve">„náklady v místě obvyklé“ v aplikačním programu zadány, </w:t>
      </w:r>
      <w:r w:rsidR="00B31F42">
        <w:t>budou použity</w:t>
      </w:r>
      <w:r>
        <w:t xml:space="preserve"> místo normativních nákladů</w:t>
      </w:r>
      <w:r w:rsidR="00DD0392">
        <w:t xml:space="preserve"> na bydlení</w:t>
      </w:r>
      <w:r>
        <w:t xml:space="preserve">. Pokud tento údaj nebude do aplikačního programu zadán, </w:t>
      </w:r>
      <w:r w:rsidR="001A2546">
        <w:t xml:space="preserve">bude </w:t>
      </w:r>
      <w:r>
        <w:t>započítá</w:t>
      </w:r>
      <w:r w:rsidR="00B31F42">
        <w:t xml:space="preserve">na částka </w:t>
      </w:r>
      <w:r>
        <w:t xml:space="preserve">do výše </w:t>
      </w:r>
      <w:r w:rsidR="00DD0392">
        <w:t xml:space="preserve">% stanovených stropů </w:t>
      </w:r>
      <w:r>
        <w:t>normativních nákladů</w:t>
      </w:r>
      <w:r w:rsidR="00DD0392">
        <w:t xml:space="preserve"> na bydlení</w:t>
      </w:r>
      <w:r>
        <w:t xml:space="preserve">. </w:t>
      </w:r>
    </w:p>
    <w:p w:rsidR="00893312" w:rsidRDefault="00893312" w:rsidP="00CF5AA1">
      <w:pPr>
        <w:tabs>
          <w:tab w:val="left" w:pos="284"/>
        </w:tabs>
      </w:pPr>
    </w:p>
    <w:p w:rsidR="00927530" w:rsidRDefault="00927530" w:rsidP="00F81281">
      <w:pPr>
        <w:tabs>
          <w:tab w:val="left" w:pos="284"/>
        </w:tabs>
      </w:pPr>
      <w:r>
        <w:t xml:space="preserve"> „Náklady v místě obvyklé“ </w:t>
      </w:r>
      <w:r w:rsidR="00893312">
        <w:t>jsou</w:t>
      </w:r>
      <w:r>
        <w:t xml:space="preserve"> evidovány </w:t>
      </w:r>
      <w:r w:rsidR="00584541">
        <w:t>v</w:t>
      </w:r>
      <w:r>
        <w:t xml:space="preserve"> </w:t>
      </w:r>
      <w:r w:rsidR="00584541">
        <w:t>záložce v aplikačním programu</w:t>
      </w:r>
      <w:r>
        <w:t xml:space="preserve"> „Informace o užívaném bytu</w:t>
      </w:r>
      <w:r w:rsidR="00051246">
        <w:t xml:space="preserve"> (obývaném prostoru)</w:t>
      </w:r>
      <w:r>
        <w:t xml:space="preserve">“. </w:t>
      </w:r>
    </w:p>
    <w:p w:rsidR="00927530" w:rsidRDefault="00A75F6F" w:rsidP="004A31BF">
      <w:pPr>
        <w:pStyle w:val="Textpoznpodarou"/>
        <w:tabs>
          <w:tab w:val="left" w:pos="5055"/>
        </w:tabs>
        <w:rPr>
          <w:rFonts w:cs="Arial"/>
          <w:sz w:val="24"/>
          <w:szCs w:val="24"/>
        </w:rPr>
      </w:pPr>
      <w:r>
        <w:rPr>
          <w:rFonts w:cs="Arial"/>
          <w:sz w:val="24"/>
          <w:szCs w:val="24"/>
        </w:rPr>
        <w:tab/>
      </w:r>
    </w:p>
    <w:p w:rsidR="00927530" w:rsidRDefault="00927530" w:rsidP="00CF5AA1">
      <w:pPr>
        <w:pStyle w:val="Textpoznpodarou"/>
        <w:rPr>
          <w:rFonts w:cs="Arial"/>
          <w:color w:val="000000"/>
          <w:sz w:val="24"/>
          <w:szCs w:val="24"/>
        </w:rPr>
      </w:pPr>
      <w:r>
        <w:rPr>
          <w:rFonts w:cs="Arial"/>
          <w:color w:val="000000"/>
          <w:sz w:val="24"/>
          <w:szCs w:val="24"/>
        </w:rPr>
        <w:t xml:space="preserve">Pokud je tedy u těchto typů bydlení zvyklost hradit ubytování v rámci jedné paušální platby (zejména u ubytovacích zařízení nebo zařízení sociálních služeb) a služby </w:t>
      </w:r>
      <w:r w:rsidR="00FC0789">
        <w:rPr>
          <w:rFonts w:cs="Arial"/>
          <w:color w:val="000000"/>
          <w:sz w:val="24"/>
          <w:szCs w:val="24"/>
        </w:rPr>
        <w:br/>
      </w:r>
      <w:r>
        <w:rPr>
          <w:rFonts w:cs="Arial"/>
          <w:color w:val="000000"/>
          <w:sz w:val="24"/>
          <w:szCs w:val="24"/>
        </w:rPr>
        <w:t xml:space="preserve">se na jednotlivé </w:t>
      </w:r>
      <w:r w:rsidR="00FC0789">
        <w:rPr>
          <w:rFonts w:cs="Arial"/>
          <w:color w:val="000000"/>
          <w:sz w:val="24"/>
          <w:szCs w:val="24"/>
        </w:rPr>
        <w:t xml:space="preserve">položky </w:t>
      </w:r>
      <w:r>
        <w:rPr>
          <w:rFonts w:cs="Arial"/>
          <w:color w:val="000000"/>
          <w:sz w:val="24"/>
          <w:szCs w:val="24"/>
        </w:rPr>
        <w:t>nepřepočítávají (jsou zahrnuty v jedné částce</w:t>
      </w:r>
      <w:r w:rsidR="00B31F42">
        <w:rPr>
          <w:rFonts w:cs="Arial"/>
          <w:color w:val="000000"/>
          <w:sz w:val="24"/>
          <w:szCs w:val="24"/>
        </w:rPr>
        <w:t xml:space="preserve"> </w:t>
      </w:r>
      <w:r>
        <w:rPr>
          <w:rFonts w:cs="Arial"/>
          <w:color w:val="000000"/>
          <w:sz w:val="24"/>
          <w:szCs w:val="24"/>
        </w:rPr>
        <w:t xml:space="preserve">za ubytování), </w:t>
      </w:r>
      <w:r w:rsidR="00051246">
        <w:rPr>
          <w:rFonts w:cs="Arial"/>
          <w:color w:val="000000"/>
          <w:sz w:val="24"/>
          <w:szCs w:val="24"/>
        </w:rPr>
        <w:t>akceptuje se</w:t>
      </w:r>
      <w:r>
        <w:rPr>
          <w:rFonts w:cs="Arial"/>
          <w:color w:val="000000"/>
          <w:sz w:val="24"/>
          <w:szCs w:val="24"/>
        </w:rPr>
        <w:t xml:space="preserve"> tento stav</w:t>
      </w:r>
      <w:r w:rsidR="00051246">
        <w:rPr>
          <w:rFonts w:cs="Arial"/>
          <w:color w:val="000000"/>
          <w:sz w:val="24"/>
          <w:szCs w:val="24"/>
        </w:rPr>
        <w:t xml:space="preserve">. </w:t>
      </w:r>
      <w:r>
        <w:rPr>
          <w:rFonts w:cs="Arial"/>
          <w:color w:val="000000"/>
          <w:sz w:val="24"/>
          <w:szCs w:val="24"/>
        </w:rPr>
        <w:t xml:space="preserve"> </w:t>
      </w:r>
    </w:p>
    <w:p w:rsidR="00927530" w:rsidRDefault="00927530" w:rsidP="00CF5AA1">
      <w:pPr>
        <w:pStyle w:val="Textpoznpodarou"/>
        <w:rPr>
          <w:rFonts w:cs="Arial"/>
          <w:color w:val="000000"/>
          <w:sz w:val="24"/>
          <w:szCs w:val="24"/>
        </w:rPr>
      </w:pPr>
    </w:p>
    <w:p w:rsidR="00927530" w:rsidRDefault="00927530" w:rsidP="00CF5AA1">
      <w:pPr>
        <w:rPr>
          <w:lang w:eastAsia="cs-CZ"/>
        </w:rPr>
      </w:pPr>
      <w:r>
        <w:rPr>
          <w:lang w:eastAsia="cs-CZ"/>
        </w:rPr>
        <w:t xml:space="preserve">V případě </w:t>
      </w:r>
      <w:r w:rsidR="0098769F">
        <w:rPr>
          <w:lang w:eastAsia="cs-CZ"/>
        </w:rPr>
        <w:t>výše uvedených</w:t>
      </w:r>
      <w:r>
        <w:rPr>
          <w:lang w:eastAsia="cs-CZ"/>
        </w:rPr>
        <w:t xml:space="preserve"> typů bydlení se </w:t>
      </w:r>
      <w:r w:rsidRPr="004F1C19">
        <w:rPr>
          <w:b/>
          <w:lang w:eastAsia="cs-CZ"/>
        </w:rPr>
        <w:t>nepoužije zvýšení nákladů</w:t>
      </w:r>
      <w:r>
        <w:rPr>
          <w:lang w:eastAsia="cs-CZ"/>
        </w:rPr>
        <w:t xml:space="preserve"> na energie v místě obvyklých </w:t>
      </w:r>
      <w:r w:rsidRPr="004F1C19">
        <w:rPr>
          <w:b/>
          <w:lang w:eastAsia="cs-CZ"/>
        </w:rPr>
        <w:t>ze zdravotních důvodů</w:t>
      </w:r>
      <w:r>
        <w:rPr>
          <w:lang w:eastAsia="cs-CZ"/>
        </w:rPr>
        <w:t>.</w:t>
      </w:r>
    </w:p>
    <w:p w:rsidR="00927530" w:rsidRDefault="00927530" w:rsidP="00927530"/>
    <w:p w:rsidR="00966382" w:rsidRDefault="00966382" w:rsidP="00927530"/>
    <w:p w:rsidR="00757A00" w:rsidRDefault="00757A00" w:rsidP="00757A00">
      <w:pPr>
        <w:pStyle w:val="Nadpis1"/>
      </w:pPr>
      <w:bookmarkStart w:id="23" w:name="_Toc25833348"/>
      <w:r>
        <w:lastRenderedPageBreak/>
        <w:t>Článek II</w:t>
      </w:r>
      <w:r w:rsidR="009E13E7">
        <w:t>I</w:t>
      </w:r>
      <w:r>
        <w:t>.</w:t>
      </w:r>
      <w:bookmarkEnd w:id="23"/>
    </w:p>
    <w:p w:rsidR="00757A00" w:rsidRPr="00757A00" w:rsidRDefault="00757A00" w:rsidP="00757A00">
      <w:pPr>
        <w:pStyle w:val="Nadpis2"/>
      </w:pPr>
      <w:bookmarkStart w:id="24" w:name="_Toc25833349"/>
      <w:r>
        <w:t>Vyúčtování energií a služeb</w:t>
      </w:r>
      <w:bookmarkEnd w:id="24"/>
    </w:p>
    <w:p w:rsidR="00027676" w:rsidRDefault="003866DF" w:rsidP="00927530">
      <w:r>
        <w:t xml:space="preserve">ZPHN </w:t>
      </w:r>
      <w:r w:rsidR="00027676">
        <w:t xml:space="preserve">přímo </w:t>
      </w:r>
      <w:r>
        <w:t xml:space="preserve">neřeší </w:t>
      </w:r>
      <w:r w:rsidR="00027676">
        <w:t xml:space="preserve">postup </w:t>
      </w:r>
      <w:r w:rsidR="00AD2692">
        <w:t>vyúčtování</w:t>
      </w:r>
      <w:r>
        <w:t xml:space="preserve"> za energie a služby</w:t>
      </w:r>
      <w:r w:rsidR="00AD2692">
        <w:t xml:space="preserve">. </w:t>
      </w:r>
      <w:r w:rsidR="00027676">
        <w:t>Avšak ONB se stanovují max. ve výši v míst</w:t>
      </w:r>
      <w:r w:rsidR="006C0FC2">
        <w:t xml:space="preserve">ě obvyklé, kdy jsou zohledněny </w:t>
      </w:r>
      <w:r w:rsidR="00027676">
        <w:t xml:space="preserve">právě </w:t>
      </w:r>
      <w:r w:rsidR="00027676" w:rsidRPr="00F65550">
        <w:rPr>
          <w:b/>
        </w:rPr>
        <w:t>zálohové platby</w:t>
      </w:r>
      <w:r w:rsidR="00027676">
        <w:t xml:space="preserve"> jednotlivých položek nákladů na bydlení. Z vyúčtování se zjistí </w:t>
      </w:r>
      <w:r w:rsidR="00027676" w:rsidRPr="00F65550">
        <w:rPr>
          <w:b/>
        </w:rPr>
        <w:t>výše skutečných nákladů</w:t>
      </w:r>
      <w:r w:rsidR="00027676">
        <w:t xml:space="preserve"> </w:t>
      </w:r>
      <w:r w:rsidR="00027676">
        <w:br/>
        <w:t xml:space="preserve">za zúčtovací období a dochází k přepočtu výše původně uznaných ONB. Dochází tak ke kontrole hospodaření se státními prostředky, aby nebyli příjemci DnB přepláceni. Vyúčtování rovněž ovlivňuje nárok a výši příspěvku na bydlení ze systému státní sociální podpory a ten ovlivňuje nárok a výši DnB. Pro </w:t>
      </w:r>
      <w:r w:rsidR="00262081">
        <w:t xml:space="preserve">udržení kontinuity těchto obou dávek na bydlení </w:t>
      </w:r>
      <w:r w:rsidR="00027676">
        <w:t xml:space="preserve">je nutné zohlednit vyúčtování </w:t>
      </w:r>
      <w:r w:rsidR="00262081">
        <w:t>i v rámci</w:t>
      </w:r>
      <w:r w:rsidR="00027676">
        <w:t> DnB. Z </w:t>
      </w:r>
      <w:r w:rsidR="00262081">
        <w:t>uvedených</w:t>
      </w:r>
      <w:r w:rsidR="00027676">
        <w:t xml:space="preserve"> důvodů </w:t>
      </w:r>
      <w:r w:rsidR="00262081">
        <w:br/>
      </w:r>
      <w:r w:rsidR="00027676">
        <w:t>je tedy vyúčtování nezbytným dokladem pro vyhodnocení nároku a výše DnB.</w:t>
      </w:r>
    </w:p>
    <w:p w:rsidR="00D876AF" w:rsidRPr="0089085A" w:rsidRDefault="00D876AF" w:rsidP="00927530"/>
    <w:p w:rsidR="00C521CB" w:rsidRDefault="00324C82" w:rsidP="00927530">
      <w:r w:rsidRPr="004F7A5C">
        <w:t xml:space="preserve">Vyúčtování se dokládá jak za energie, tak i za služby bezprostředně spojené s užíváním bytu. </w:t>
      </w:r>
      <w:r w:rsidR="00C1665D" w:rsidRPr="004F7A5C">
        <w:t xml:space="preserve">Vyúčtování za energie může obsahovat vyúčtování pouze jedné energie, ale také současně elektřiny i plynu. </w:t>
      </w:r>
      <w:r w:rsidR="00986703" w:rsidRPr="004F7A5C">
        <w:t xml:space="preserve">V každém vyúčtování je uvedeno k jakému </w:t>
      </w:r>
      <w:r w:rsidR="00FA69D0" w:rsidRPr="004F7A5C">
        <w:t xml:space="preserve">časovému </w:t>
      </w:r>
      <w:r w:rsidR="00986703" w:rsidRPr="004F7A5C">
        <w:t xml:space="preserve">období se vztahuje a jaké jsou za toto období skutečné náklady </w:t>
      </w:r>
      <w:r w:rsidR="00FA69D0" w:rsidRPr="004F7A5C">
        <w:t>z</w:t>
      </w:r>
      <w:r w:rsidR="00986703" w:rsidRPr="004F7A5C">
        <w:t xml:space="preserve">a energie a služby. </w:t>
      </w:r>
    </w:p>
    <w:p w:rsidR="007C0DEB" w:rsidRDefault="007C0DEB" w:rsidP="007C0DEB"/>
    <w:p w:rsidR="00992DCE" w:rsidRDefault="007C0DEB" w:rsidP="007C0DEB">
      <w:r>
        <w:t xml:space="preserve">Přeplatek/doplatek z vyúčtování nelze zaměňovat s přeplatkem dávky podle ustanovení § 51 ZPHN, na základě kterého vzniká příjemci dávky povinnost tento přeplatek vrátit, ani s doplatkem dávky podle ustanovení § 44 odst. 7 písm. a) </w:t>
      </w:r>
      <w:r w:rsidR="002645E6">
        <w:br/>
      </w:r>
      <w:r>
        <w:t>a ustanovení § 45 odst. 1 ZPHN (změna skutečností rozhodných pro nárok na dávku, její výši či výplatu). Neaplikují se ani lhůty vymezené v ustanoveních § 44 odst. 7 písm. a) a ustanovení § 45 odst. 1 ZPHN. Je nutné rozlišovat spojení přeplatek/doplatek dávky a přeplatek/doplatek z vyúčtování</w:t>
      </w:r>
      <w:r w:rsidR="007A2E06">
        <w:rPr>
          <w:rStyle w:val="Znakapoznpodarou"/>
        </w:rPr>
        <w:footnoteReference w:id="31"/>
      </w:r>
      <w:r>
        <w:t xml:space="preserve">. </w:t>
      </w:r>
    </w:p>
    <w:p w:rsidR="007C0DEB" w:rsidRDefault="007C0DEB" w:rsidP="007C0DEB"/>
    <w:p w:rsidR="00992DCE" w:rsidRDefault="00A40435" w:rsidP="00927530">
      <w:r>
        <w:t xml:space="preserve">Na základě vyúčtování energií a služeb se zjišťují </w:t>
      </w:r>
      <w:r w:rsidRPr="00992DCE">
        <w:rPr>
          <w:b/>
        </w:rPr>
        <w:t>skutečné náklady za zúčtovací období</w:t>
      </w:r>
      <w:r>
        <w:t xml:space="preserve">, které ovlivňují případný přeplatek/doplatek z vyúčtování. Částka, která </w:t>
      </w:r>
      <w:r w:rsidR="00386AD0">
        <w:br/>
      </w:r>
      <w:r>
        <w:t>je ve vyúčtování (tzn. vystavené faktuře) uvedena dodavatelem a je rovněž označena jako přeplatek/doplatek není pro účely vyúčtování rozhodná a do apl</w:t>
      </w:r>
      <w:r w:rsidR="00A42F0A">
        <w:t xml:space="preserve">ikačního programu se nezadává. </w:t>
      </w:r>
    </w:p>
    <w:p w:rsidR="00C00E38" w:rsidRPr="004F7A5C" w:rsidRDefault="00C00E38" w:rsidP="00C00E38"/>
    <w:p w:rsidR="00C025E3" w:rsidRPr="00F65550" w:rsidRDefault="00C00E38" w:rsidP="00C025E3">
      <w:pPr>
        <w:rPr>
          <w:b/>
          <w:color w:val="FF0000"/>
        </w:rPr>
      </w:pPr>
      <w:r w:rsidRPr="00C025E3">
        <w:rPr>
          <w:b/>
        </w:rPr>
        <w:t>Na základě skutečných nákladů z</w:t>
      </w:r>
      <w:r w:rsidR="00C025E3" w:rsidRPr="00C025E3">
        <w:rPr>
          <w:b/>
        </w:rPr>
        <w:t>jištěných z</w:t>
      </w:r>
      <w:r w:rsidRPr="00C025E3">
        <w:rPr>
          <w:b/>
        </w:rPr>
        <w:t xml:space="preserve"> </w:t>
      </w:r>
      <w:r w:rsidR="00C025E3" w:rsidRPr="00C025E3">
        <w:rPr>
          <w:b/>
        </w:rPr>
        <w:t>doloženého vyúčtování elektrické energie, plynu a ze služeb spojených s užíváním bytu (vodné a stočné, energie pro ohřev teplé vody a dálkového vytápění)</w:t>
      </w:r>
      <w:r w:rsidRPr="00C025E3">
        <w:rPr>
          <w:b/>
        </w:rPr>
        <w:t xml:space="preserve"> se </w:t>
      </w:r>
      <w:r w:rsidR="00C025E3" w:rsidRPr="00416812">
        <w:rPr>
          <w:b/>
        </w:rPr>
        <w:t>vypočít</w:t>
      </w:r>
      <w:r w:rsidR="00C025E3">
        <w:rPr>
          <w:b/>
        </w:rPr>
        <w:t>ají</w:t>
      </w:r>
      <w:r w:rsidR="00C025E3" w:rsidRPr="00F65550">
        <w:rPr>
          <w:b/>
        </w:rPr>
        <w:t xml:space="preserve"> průměrné měsíční skutečné náklady za energie a služby, a za každý měsíc vyúčtovaného období se vypočte nová měsíční výše dávky</w:t>
      </w:r>
      <w:r w:rsidR="00C025E3">
        <w:rPr>
          <w:b/>
        </w:rPr>
        <w:t>, a to tak, že se ve výpočtu místo zaevidovaných záloh použijí skutečné měsíční náklady a z rozdílu této nové měsíční výše dávky a vyplacené dávky se spočítá přeplatek či doplatek z vyúčtování.</w:t>
      </w:r>
    </w:p>
    <w:p w:rsidR="00C00E38" w:rsidRDefault="00C00E38" w:rsidP="00927530"/>
    <w:p w:rsidR="00AE6410" w:rsidRDefault="00AE6410" w:rsidP="00AE6410">
      <w:r>
        <w:lastRenderedPageBreak/>
        <w:t xml:space="preserve">Vyúčtování se </w:t>
      </w:r>
      <w:r w:rsidR="00540593">
        <w:t xml:space="preserve">zhodnocuje a </w:t>
      </w:r>
      <w:r>
        <w:t xml:space="preserve">zadává </w:t>
      </w:r>
      <w:r w:rsidR="002D0C6A">
        <w:t xml:space="preserve">do aplikačního programu </w:t>
      </w:r>
      <w:r>
        <w:t xml:space="preserve">u elektrické energie, plynu a ze služeb spojených s užíváním bytu </w:t>
      </w:r>
      <w:r w:rsidR="002D0C6A">
        <w:t xml:space="preserve">u položek </w:t>
      </w:r>
      <w:r>
        <w:t xml:space="preserve">vodné a stočné, energie pro ohřev teplé vody a dálkové vytápění. U položek, které jsou zadávány do </w:t>
      </w:r>
      <w:r w:rsidRPr="00AE6410">
        <w:rPr>
          <w:b/>
        </w:rPr>
        <w:t>tzv. nákladů na ostatní služby, se vyúčtování nezadává</w:t>
      </w:r>
      <w:r>
        <w:t xml:space="preserve">. </w:t>
      </w:r>
    </w:p>
    <w:p w:rsidR="00C521CB" w:rsidRPr="004F7A5C" w:rsidRDefault="00C521CB" w:rsidP="00927530"/>
    <w:p w:rsidR="00AE6410" w:rsidRDefault="00AE6E25" w:rsidP="00927530">
      <w:r w:rsidRPr="004F7A5C">
        <w:t>Vzhledem k tomu, že aplikace neumožňovala do konce roku 2018 evidovat samostatně zálohy na ohřev teplé vody</w:t>
      </w:r>
      <w:r>
        <w:t xml:space="preserve"> ani zálohy nákladů na vodu k ohřevu</w:t>
      </w:r>
      <w:r w:rsidRPr="004F7A5C">
        <w:t xml:space="preserve">, není možné při evidenci vyúčtování za období před </w:t>
      </w:r>
      <w:r>
        <w:t>01.</w:t>
      </w:r>
      <w:r w:rsidR="00890345">
        <w:t xml:space="preserve"> </w:t>
      </w:r>
      <w:r>
        <w:t>01.</w:t>
      </w:r>
      <w:r w:rsidR="00890345">
        <w:t xml:space="preserve"> </w:t>
      </w:r>
      <w:r w:rsidRPr="004F7A5C">
        <w:t xml:space="preserve">2019 tyto zálohy zpětně </w:t>
      </w:r>
      <w:r>
        <w:t>vyúčtovat</w:t>
      </w:r>
      <w:r w:rsidRPr="004F7A5C">
        <w:t xml:space="preserve">. Zálohy </w:t>
      </w:r>
      <w:r>
        <w:t>na teplou vodu (energie na ohřev teplé vody, náklady na vodu k ohřevu) jsou</w:t>
      </w:r>
      <w:r w:rsidRPr="004F7A5C">
        <w:t xml:space="preserve"> do konce roku 2018 evidovány jako náklad</w:t>
      </w:r>
      <w:r>
        <w:t>y</w:t>
      </w:r>
      <w:r w:rsidRPr="004F7A5C">
        <w:t xml:space="preserve"> na ostatní služby</w:t>
      </w:r>
      <w:r>
        <w:t>, u nichž se skutečná výše nákladů zjištěná z vyúčtování nezadává.  Pokud jsou ve vyúčtování za rok 2018 zahrnuty i n</w:t>
      </w:r>
      <w:r w:rsidR="003D4B08">
        <w:t>áklady na teplou vodu, pak se tato částka</w:t>
      </w:r>
      <w:r>
        <w:t xml:space="preserve"> </w:t>
      </w:r>
      <w:r w:rsidR="003D4B08">
        <w:t>(skutečná spotřeba) nezaevidovává</w:t>
      </w:r>
      <w:r>
        <w:t xml:space="preserve"> do vyúčtování. Pokud vyúčtování zahrnuje období měsíců za rok 2018 i za rok 2019, je </w:t>
      </w:r>
      <w:r w:rsidR="00540593">
        <w:t xml:space="preserve">nutné </w:t>
      </w:r>
      <w:r w:rsidR="00E4788C">
        <w:t>na jednotlivé položky</w:t>
      </w:r>
      <w:r w:rsidR="00540593">
        <w:t xml:space="preserve"> </w:t>
      </w:r>
      <w:r w:rsidR="00E4788C">
        <w:t>nahlížet</w:t>
      </w:r>
      <w:r>
        <w:t xml:space="preserve"> jako </w:t>
      </w:r>
      <w:r w:rsidR="00E4788C">
        <w:t>na dvě samostatná vyúčtování, jedno za rok 2018 a druhé</w:t>
      </w:r>
      <w:r>
        <w:t xml:space="preserve"> za rok 2019. Vyúčtování za období od ledna 2019 se zadává včetně nákladů na teplou vodu a vyúčtování za měsíce před lednem 2019 se zadává bez vyúčtování nákladů na teplou vodu.</w:t>
      </w:r>
    </w:p>
    <w:p w:rsidR="0007014E" w:rsidRDefault="0007014E" w:rsidP="00927530"/>
    <w:p w:rsidR="0007014E" w:rsidRPr="0007014E" w:rsidRDefault="0007014E" w:rsidP="0007014E">
      <w:pPr>
        <w:pBdr>
          <w:top w:val="single" w:sz="4" w:space="1" w:color="auto"/>
          <w:left w:val="single" w:sz="4" w:space="4" w:color="auto"/>
          <w:bottom w:val="single" w:sz="4" w:space="1" w:color="auto"/>
          <w:right w:val="single" w:sz="4" w:space="4" w:color="auto"/>
        </w:pBdr>
        <w:shd w:val="clear" w:color="auto" w:fill="BDD6EE" w:themeFill="accent1" w:themeFillTint="66"/>
        <w:rPr>
          <w:b/>
          <w:i/>
        </w:rPr>
      </w:pPr>
      <w:r w:rsidRPr="0007014E">
        <w:rPr>
          <w:b/>
          <w:i/>
        </w:rPr>
        <w:t>Příklad:</w:t>
      </w:r>
    </w:p>
    <w:p w:rsidR="00794DD3" w:rsidRPr="00EF4269" w:rsidRDefault="0007014E" w:rsidP="00EF4269">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07014E">
        <w:rPr>
          <w:i/>
        </w:rPr>
        <w:t xml:space="preserve">V měsíci březnu 2019 je doloženo vyúčtování služeb spojených s užíváním bytu </w:t>
      </w:r>
      <w:r w:rsidR="00CB7033">
        <w:rPr>
          <w:i/>
        </w:rPr>
        <w:br/>
      </w:r>
      <w:r w:rsidRPr="0007014E">
        <w:rPr>
          <w:i/>
        </w:rPr>
        <w:t xml:space="preserve">za kalendářní rok 2018. Do aplikačního programu je zadáno období, jehož </w:t>
      </w:r>
      <w:r w:rsidR="00CB7033">
        <w:rPr>
          <w:i/>
        </w:rPr>
        <w:br/>
      </w:r>
      <w:r w:rsidRPr="0007014E">
        <w:rPr>
          <w:i/>
        </w:rPr>
        <w:t xml:space="preserve">se vyúčtování týká, leden 2018 až prosinec 2018, a to bez nákladů na teplou vodu. </w:t>
      </w:r>
    </w:p>
    <w:p w:rsidR="00CB7033" w:rsidRDefault="00CB7033" w:rsidP="0007014E"/>
    <w:p w:rsidR="0007014E" w:rsidRPr="0007014E" w:rsidRDefault="0007014E" w:rsidP="0007014E">
      <w:pPr>
        <w:pBdr>
          <w:top w:val="single" w:sz="4" w:space="1" w:color="auto"/>
          <w:left w:val="single" w:sz="4" w:space="4" w:color="auto"/>
          <w:bottom w:val="single" w:sz="4" w:space="1" w:color="auto"/>
          <w:right w:val="single" w:sz="4" w:space="4" w:color="auto"/>
        </w:pBdr>
        <w:shd w:val="clear" w:color="auto" w:fill="BDD6EE" w:themeFill="accent1" w:themeFillTint="66"/>
        <w:rPr>
          <w:b/>
          <w:i/>
        </w:rPr>
      </w:pPr>
      <w:r w:rsidRPr="0007014E">
        <w:rPr>
          <w:b/>
          <w:i/>
        </w:rPr>
        <w:t>Příklad:</w:t>
      </w:r>
    </w:p>
    <w:p w:rsidR="0007014E" w:rsidRPr="0007014E" w:rsidRDefault="0007014E" w:rsidP="0007014E">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07014E">
        <w:rPr>
          <w:i/>
        </w:rPr>
        <w:t xml:space="preserve">V měsíci lednu 2020 je doloženo vyúčtování služeb spojených s užíváním bytu </w:t>
      </w:r>
      <w:r w:rsidR="00CB7033">
        <w:rPr>
          <w:i/>
        </w:rPr>
        <w:br/>
      </w:r>
      <w:r w:rsidRPr="0007014E">
        <w:rPr>
          <w:i/>
        </w:rPr>
        <w:t xml:space="preserve">za období od měsíce září 2018 do měsíce srpna 2019. Do aplikačního programu jsou zadána vyúčtování dvě. Jedno je zadáno pro období od září 2018 do prosince 2018 (bez zohlednění skutečných nákladů týkajících se teplé vody, tedy 4/12 s odečtem nákladů na teplou vodu), druhé pro období od ledna 2019 do srpna 2019 (se zahrnutím skutečných nákladů týkajících se teplé vody, tedy 8/12 s náklady na teplou vodu). </w:t>
      </w:r>
    </w:p>
    <w:p w:rsidR="0007014E" w:rsidRDefault="0007014E" w:rsidP="00927530"/>
    <w:p w:rsidR="00BF6A67" w:rsidRDefault="00BF6A67" w:rsidP="00BF6A67">
      <w:r>
        <w:t xml:space="preserve">U energií nejsou vyúčtování prováděna na kalendářní měsíce, tak jako u služeb spojených s užíváním bytu. Při </w:t>
      </w:r>
      <w:r w:rsidR="001E47E4">
        <w:t xml:space="preserve">zhodnocování a </w:t>
      </w:r>
      <w:r>
        <w:t xml:space="preserve">zadání do aplikačního programu </w:t>
      </w:r>
      <w:r w:rsidR="001E47E4">
        <w:br/>
      </w:r>
      <w:r>
        <w:t xml:space="preserve">je proto nutné dodržet v součtu počet měsíců, jichž se vyúčtování týká. </w:t>
      </w:r>
    </w:p>
    <w:p w:rsidR="00480112" w:rsidRDefault="00480112" w:rsidP="00927530"/>
    <w:p w:rsidR="00480112" w:rsidRPr="00480112" w:rsidRDefault="00480112" w:rsidP="00480112">
      <w:pPr>
        <w:pBdr>
          <w:top w:val="single" w:sz="4" w:space="1" w:color="auto"/>
          <w:left w:val="single" w:sz="4" w:space="4" w:color="auto"/>
          <w:bottom w:val="single" w:sz="4" w:space="1" w:color="auto"/>
          <w:right w:val="single" w:sz="4" w:space="4" w:color="auto"/>
        </w:pBdr>
        <w:shd w:val="clear" w:color="auto" w:fill="BDD6EE" w:themeFill="accent1" w:themeFillTint="66"/>
        <w:rPr>
          <w:b/>
          <w:i/>
        </w:rPr>
      </w:pPr>
      <w:r w:rsidRPr="00480112">
        <w:rPr>
          <w:b/>
          <w:i/>
        </w:rPr>
        <w:t>Příklad:</w:t>
      </w:r>
    </w:p>
    <w:p w:rsidR="00480112" w:rsidRDefault="00480112" w:rsidP="00480112">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80112">
        <w:rPr>
          <w:i/>
        </w:rPr>
        <w:t>Vyúčtování elektrické energie za období od 10.</w:t>
      </w:r>
      <w:r w:rsidR="00890345">
        <w:rPr>
          <w:i/>
        </w:rPr>
        <w:t xml:space="preserve"> </w:t>
      </w:r>
      <w:r w:rsidRPr="00480112">
        <w:rPr>
          <w:i/>
        </w:rPr>
        <w:t>01.</w:t>
      </w:r>
      <w:r w:rsidR="00890345">
        <w:rPr>
          <w:i/>
        </w:rPr>
        <w:t xml:space="preserve"> </w:t>
      </w:r>
      <w:r w:rsidRPr="00480112">
        <w:rPr>
          <w:i/>
        </w:rPr>
        <w:t>2018 do 10.</w:t>
      </w:r>
      <w:r w:rsidR="00890345">
        <w:rPr>
          <w:i/>
        </w:rPr>
        <w:t xml:space="preserve"> </w:t>
      </w:r>
      <w:r w:rsidRPr="00480112">
        <w:rPr>
          <w:i/>
        </w:rPr>
        <w:t>01.</w:t>
      </w:r>
      <w:r w:rsidR="00890345">
        <w:rPr>
          <w:i/>
        </w:rPr>
        <w:t xml:space="preserve"> </w:t>
      </w:r>
      <w:r w:rsidRPr="00480112">
        <w:rPr>
          <w:i/>
        </w:rPr>
        <w:t>2019 – do aplikačního programu je zadáno období, jehož se vyúčtování týká, leden 2018 až prosinec 2018. Vyúčtování se týká 12 měsíců, zadáno je v součtu 12 měsíců.</w:t>
      </w:r>
    </w:p>
    <w:p w:rsidR="00480112" w:rsidRPr="00480112" w:rsidRDefault="00480112" w:rsidP="00480112">
      <w:pPr>
        <w:pBdr>
          <w:top w:val="single" w:sz="4" w:space="1" w:color="auto"/>
          <w:left w:val="single" w:sz="4" w:space="4" w:color="auto"/>
          <w:bottom w:val="single" w:sz="4" w:space="1" w:color="auto"/>
          <w:right w:val="single" w:sz="4" w:space="4" w:color="auto"/>
        </w:pBdr>
        <w:shd w:val="clear" w:color="auto" w:fill="BDD6EE" w:themeFill="accent1" w:themeFillTint="66"/>
        <w:rPr>
          <w:i/>
        </w:rPr>
      </w:pPr>
    </w:p>
    <w:p w:rsidR="00480112" w:rsidRPr="00480112" w:rsidRDefault="00480112" w:rsidP="00480112">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80112">
        <w:rPr>
          <w:i/>
        </w:rPr>
        <w:t>Vyúčtování plynu za období od 20.</w:t>
      </w:r>
      <w:r w:rsidR="00890345">
        <w:rPr>
          <w:i/>
        </w:rPr>
        <w:t xml:space="preserve"> </w:t>
      </w:r>
      <w:r w:rsidRPr="00480112">
        <w:rPr>
          <w:i/>
        </w:rPr>
        <w:t>03.</w:t>
      </w:r>
      <w:r w:rsidR="00890345">
        <w:rPr>
          <w:i/>
        </w:rPr>
        <w:t xml:space="preserve"> </w:t>
      </w:r>
      <w:r w:rsidRPr="00480112">
        <w:rPr>
          <w:i/>
        </w:rPr>
        <w:t>2018 do 20.</w:t>
      </w:r>
      <w:r w:rsidR="00890345">
        <w:rPr>
          <w:i/>
        </w:rPr>
        <w:t xml:space="preserve"> </w:t>
      </w:r>
      <w:r w:rsidRPr="00480112">
        <w:rPr>
          <w:i/>
        </w:rPr>
        <w:t>03.</w:t>
      </w:r>
      <w:r w:rsidR="00890345">
        <w:rPr>
          <w:i/>
        </w:rPr>
        <w:t xml:space="preserve"> </w:t>
      </w:r>
      <w:r w:rsidRPr="00480112">
        <w:rPr>
          <w:i/>
        </w:rPr>
        <w:t>2019 – do aplikačního programu je zadáno období, jehož se vyúčtování týká, duben 2018 až březen 2019. Vyúčtování se týká 12 měsíců, zadáno je v součtu 12 měsíců.</w:t>
      </w:r>
    </w:p>
    <w:p w:rsidR="00BF6A67" w:rsidRDefault="009E4EA7" w:rsidP="00927530">
      <w:r>
        <w:lastRenderedPageBreak/>
        <w:t>Vždy se hodnotí (zadává d</w:t>
      </w:r>
      <w:r w:rsidR="00BF6A67" w:rsidRPr="004F7A5C">
        <w:t>o aplikačního programu</w:t>
      </w:r>
      <w:r>
        <w:t>)</w:t>
      </w:r>
      <w:r w:rsidR="00BF6A67" w:rsidRPr="004F7A5C">
        <w:t xml:space="preserve"> celé období, za které bylo vyúčtování za energie a služby vyhotoveno. Pokud by bylo </w:t>
      </w:r>
      <w:r w:rsidR="00150C90">
        <w:t xml:space="preserve">zhodnoceno (zadáno </w:t>
      </w:r>
      <w:r w:rsidR="00BF6A67" w:rsidRPr="004F7A5C">
        <w:t>do aplikačního programu</w:t>
      </w:r>
      <w:r w:rsidR="00150C90">
        <w:t xml:space="preserve">) </w:t>
      </w:r>
      <w:r w:rsidR="00BF6A67" w:rsidRPr="004F7A5C">
        <w:t xml:space="preserve">zkrácené období, než je uvedeno ve vyúčtování za energie </w:t>
      </w:r>
      <w:r w:rsidR="00150C90">
        <w:br/>
      </w:r>
      <w:r w:rsidR="00BF6A67" w:rsidRPr="004F7A5C">
        <w:t>a služby, musely by se zároveň snížit o poměrnou část i skutečné náklady.</w:t>
      </w:r>
      <w:r w:rsidR="00BF6A67" w:rsidRPr="00791AA4">
        <w:t xml:space="preserve"> </w:t>
      </w:r>
    </w:p>
    <w:p w:rsidR="00BF6A67" w:rsidRDefault="00BF6A67" w:rsidP="00927530"/>
    <w:p w:rsidR="00480112" w:rsidRPr="00480112" w:rsidRDefault="00480112" w:rsidP="00480112">
      <w:pPr>
        <w:pBdr>
          <w:top w:val="single" w:sz="4" w:space="1" w:color="auto"/>
          <w:left w:val="single" w:sz="4" w:space="4" w:color="auto"/>
          <w:bottom w:val="single" w:sz="4" w:space="1" w:color="auto"/>
          <w:right w:val="single" w:sz="4" w:space="4" w:color="auto"/>
        </w:pBdr>
        <w:shd w:val="clear" w:color="auto" w:fill="BDD6EE" w:themeFill="accent1" w:themeFillTint="66"/>
        <w:rPr>
          <w:b/>
          <w:i/>
        </w:rPr>
      </w:pPr>
      <w:r w:rsidRPr="00480112">
        <w:rPr>
          <w:b/>
          <w:i/>
        </w:rPr>
        <w:t>Příklad:</w:t>
      </w:r>
    </w:p>
    <w:p w:rsidR="00480112" w:rsidRPr="00480112" w:rsidRDefault="00480112" w:rsidP="00480112">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80112">
        <w:rPr>
          <w:i/>
        </w:rPr>
        <w:t>PnŽ byl přiznán od měsíce října 2018. V měsíci březnu 2019 je doloženo vyúčtování plynu za období od 03.</w:t>
      </w:r>
      <w:r w:rsidR="00890345">
        <w:rPr>
          <w:i/>
        </w:rPr>
        <w:t xml:space="preserve"> </w:t>
      </w:r>
      <w:r w:rsidRPr="00480112">
        <w:rPr>
          <w:i/>
        </w:rPr>
        <w:t>03.</w:t>
      </w:r>
      <w:r w:rsidR="00890345">
        <w:rPr>
          <w:i/>
        </w:rPr>
        <w:t xml:space="preserve"> </w:t>
      </w:r>
      <w:r w:rsidRPr="00480112">
        <w:rPr>
          <w:i/>
        </w:rPr>
        <w:t>2018 do 03.</w:t>
      </w:r>
      <w:r w:rsidR="00890345">
        <w:rPr>
          <w:i/>
        </w:rPr>
        <w:t xml:space="preserve"> </w:t>
      </w:r>
      <w:r w:rsidRPr="00480112">
        <w:rPr>
          <w:i/>
        </w:rPr>
        <w:t>03.</w:t>
      </w:r>
      <w:r w:rsidR="00890345">
        <w:rPr>
          <w:i/>
        </w:rPr>
        <w:t xml:space="preserve"> </w:t>
      </w:r>
      <w:r w:rsidRPr="00480112">
        <w:rPr>
          <w:i/>
        </w:rPr>
        <w:t xml:space="preserve">2019. Do aplikačního programu je zadáno, že vyúčtování se týká měsíců březen 2018 až únor 2019 a současně je zadána celková skutečná výše nákladů. Nehledí se na skutečnost, že PnŽ byl přiznán až od měsíce října 2018. </w:t>
      </w:r>
    </w:p>
    <w:p w:rsidR="00BF6A67" w:rsidRDefault="00BF6A67" w:rsidP="00BF6A67"/>
    <w:p w:rsidR="00BF6A67" w:rsidRPr="004F7A5C" w:rsidRDefault="00BF6A67" w:rsidP="00BF6A67">
      <w:r>
        <w:t>D</w:t>
      </w:r>
      <w:r w:rsidRPr="004F7A5C">
        <w:t>o vyhodnocení přeplatku/doplatku z vyúčtování za energie a služby</w:t>
      </w:r>
      <w:r w:rsidR="00AE6E25">
        <w:t xml:space="preserve"> jsou</w:t>
      </w:r>
      <w:r w:rsidRPr="004F7A5C">
        <w:t xml:space="preserve"> zahrnuty </w:t>
      </w:r>
      <w:r w:rsidR="00832C14">
        <w:br/>
      </w:r>
      <w:r w:rsidRPr="004F7A5C">
        <w:t>i měsíce, ve kterých dle informací o užívaném bytu, nebyla vyúčtovaná energie nebo služba užívána (za tyto měsíce se vyúčtování na výši dávky neprojeví).</w:t>
      </w:r>
    </w:p>
    <w:p w:rsidR="00480112" w:rsidRDefault="00480112" w:rsidP="00480112">
      <w:pPr>
        <w:rPr>
          <w:b/>
        </w:rPr>
      </w:pPr>
    </w:p>
    <w:p w:rsidR="00480112" w:rsidRPr="00480112" w:rsidRDefault="00480112" w:rsidP="00480112">
      <w:pPr>
        <w:pBdr>
          <w:top w:val="single" w:sz="4" w:space="1" w:color="auto"/>
          <w:left w:val="single" w:sz="4" w:space="4" w:color="auto"/>
          <w:bottom w:val="single" w:sz="4" w:space="1" w:color="auto"/>
          <w:right w:val="single" w:sz="4" w:space="4" w:color="auto"/>
        </w:pBdr>
        <w:shd w:val="clear" w:color="auto" w:fill="BDD6EE" w:themeFill="accent1" w:themeFillTint="66"/>
        <w:rPr>
          <w:b/>
          <w:i/>
        </w:rPr>
      </w:pPr>
      <w:r w:rsidRPr="00480112">
        <w:rPr>
          <w:b/>
          <w:i/>
        </w:rPr>
        <w:t>Příklad:</w:t>
      </w:r>
    </w:p>
    <w:p w:rsidR="00480112" w:rsidRPr="00794DD3" w:rsidRDefault="00480112" w:rsidP="00794DD3">
      <w:pPr>
        <w:pBdr>
          <w:top w:val="single" w:sz="4" w:space="1" w:color="auto"/>
          <w:left w:val="single" w:sz="4" w:space="4" w:color="auto"/>
          <w:bottom w:val="single" w:sz="4" w:space="1" w:color="auto"/>
          <w:right w:val="single" w:sz="4" w:space="4" w:color="auto"/>
        </w:pBdr>
        <w:shd w:val="clear" w:color="auto" w:fill="BDD6EE" w:themeFill="accent1" w:themeFillTint="66"/>
        <w:rPr>
          <w:i/>
        </w:rPr>
      </w:pPr>
      <w:r w:rsidRPr="00480112">
        <w:rPr>
          <w:i/>
        </w:rPr>
        <w:t>V tiskopise „Informace o užívaném bytu (obývaném prostoru)“ není zadáno, že by osoba užívala plyn. Dávka je přiznána s tím, že ná</w:t>
      </w:r>
      <w:r w:rsidR="004408B0">
        <w:rPr>
          <w:i/>
        </w:rPr>
        <w:t>klady na plyn nejsou součástí ON</w:t>
      </w:r>
      <w:r w:rsidRPr="00480112">
        <w:rPr>
          <w:i/>
        </w:rPr>
        <w:t xml:space="preserve">B. Následně osoba doloží vyúčtování plynu. Toto vyúčtování je zadáno do aplikačního programu, ale vzhledem k tomu, že dle informací o užívaném bytu plyn není užíván, neprojeví se vyúčtování na výši dávky. </w:t>
      </w:r>
    </w:p>
    <w:p w:rsidR="006C0FC2" w:rsidRDefault="006C0FC2" w:rsidP="00AE6E25"/>
    <w:p w:rsidR="00AE6E25" w:rsidRDefault="00AE6E25" w:rsidP="00AE6E25">
      <w:r w:rsidRPr="004F7A5C">
        <w:t>Do výpočtu přeplatku/doplatku z vyúčtování za energie a služby nejsou zahrnuty měsíce</w:t>
      </w:r>
      <w:r>
        <w:t xml:space="preserve">, které jsou součástí zúčtovacího období, které však nezasahuje do období, </w:t>
      </w:r>
      <w:r w:rsidR="00137E34">
        <w:br/>
      </w:r>
      <w:r>
        <w:t>za které byla dávka přiznána, popř. měsíce, ve kterých byla již dávka „odstěhována“ na jiné kontaktní pracoviště ÚP ČR</w:t>
      </w:r>
      <w:r w:rsidRPr="004F7A5C">
        <w:t>.</w:t>
      </w:r>
      <w:r>
        <w:t xml:space="preserve"> K dávkám, které jsou v době doložení vyúčtování odejmuty, se orgán pomoci v hmotné nouzi při doložení vyúčtování nevrací a nikterak je nepřehodnocuje.</w:t>
      </w:r>
      <w:r w:rsidRPr="003B010D">
        <w:t xml:space="preserve"> </w:t>
      </w:r>
      <w:r>
        <w:t>Současně platí, že pokud je dávka odejmuta po zaevidování vyúčtování, kdy dojde k přeplatku z vyúčtování, který není umořen, nedochází k jeho umořování z později přiznané dávky.</w:t>
      </w:r>
    </w:p>
    <w:p w:rsidR="00480112" w:rsidRPr="00480112" w:rsidRDefault="00480112" w:rsidP="00480112">
      <w:pPr>
        <w:rPr>
          <w:b/>
        </w:rPr>
      </w:pPr>
    </w:p>
    <w:p w:rsidR="00480112" w:rsidRPr="00480112" w:rsidRDefault="00480112" w:rsidP="00480112">
      <w:pPr>
        <w:pBdr>
          <w:top w:val="single" w:sz="4" w:space="1" w:color="auto"/>
          <w:left w:val="single" w:sz="4" w:space="1" w:color="auto"/>
          <w:bottom w:val="single" w:sz="4" w:space="1" w:color="auto"/>
          <w:right w:val="single" w:sz="4" w:space="1" w:color="auto"/>
        </w:pBdr>
        <w:shd w:val="clear" w:color="auto" w:fill="BDD6EE" w:themeFill="accent1" w:themeFillTint="66"/>
        <w:rPr>
          <w:b/>
          <w:i/>
        </w:rPr>
      </w:pPr>
      <w:r w:rsidRPr="00480112">
        <w:rPr>
          <w:b/>
          <w:i/>
        </w:rPr>
        <w:t xml:space="preserve">Příklad: </w:t>
      </w:r>
    </w:p>
    <w:p w:rsidR="00480112" w:rsidRPr="00480112" w:rsidRDefault="00480112" w:rsidP="00480112">
      <w:pPr>
        <w:pBdr>
          <w:top w:val="single" w:sz="4" w:space="1" w:color="auto"/>
          <w:left w:val="single" w:sz="4" w:space="1" w:color="auto"/>
          <w:bottom w:val="single" w:sz="4" w:space="1" w:color="auto"/>
          <w:right w:val="single" w:sz="4" w:space="1" w:color="auto"/>
        </w:pBdr>
        <w:shd w:val="clear" w:color="auto" w:fill="BDD6EE" w:themeFill="accent1" w:themeFillTint="66"/>
        <w:rPr>
          <w:i/>
        </w:rPr>
      </w:pPr>
      <w:r w:rsidRPr="00480112">
        <w:rPr>
          <w:i/>
        </w:rPr>
        <w:t>DnB byl odejmut od března 2018 a následně byl přiznán od dubna 2018. V únoru 2019 je doloženo vyúčtování elektrické energie za období od 28.</w:t>
      </w:r>
      <w:r w:rsidR="00890345">
        <w:rPr>
          <w:i/>
        </w:rPr>
        <w:t xml:space="preserve"> </w:t>
      </w:r>
      <w:r w:rsidRPr="00480112">
        <w:rPr>
          <w:i/>
        </w:rPr>
        <w:t>01.</w:t>
      </w:r>
      <w:r w:rsidR="00890345">
        <w:rPr>
          <w:i/>
        </w:rPr>
        <w:t xml:space="preserve"> </w:t>
      </w:r>
      <w:r w:rsidRPr="00480112">
        <w:rPr>
          <w:i/>
        </w:rPr>
        <w:t>2018 do 28.</w:t>
      </w:r>
      <w:r w:rsidR="00890345">
        <w:rPr>
          <w:i/>
        </w:rPr>
        <w:t xml:space="preserve"> </w:t>
      </w:r>
      <w:r w:rsidRPr="00480112">
        <w:rPr>
          <w:i/>
        </w:rPr>
        <w:t>01.</w:t>
      </w:r>
      <w:r w:rsidR="00890345">
        <w:rPr>
          <w:i/>
        </w:rPr>
        <w:t xml:space="preserve"> </w:t>
      </w:r>
      <w:r w:rsidRPr="00480112">
        <w:rPr>
          <w:i/>
        </w:rPr>
        <w:t xml:space="preserve">2019. Do aplikačního programu jsou zadány skutečné náklady za spotřebu elektrické energie za období únor 2018 až leden 2019. Při výpočtu přeplatku/doplatku z vyúčtování jsou zohledněny měsíce duben 2018 až leden 2019. Na základě vyúčtování byl vyhodnocen přeplatek z vyúčtování. Od měsíce dubna 2019 byl DnB odejmut, přeplatek z vyúčtování nebyl umořen v plné výši. Při opětovném přiznání DnB od června 2019 se orgán pomoci v hmotné nouzi k neumořené výši přeplatku z vyúčtování nevrací. </w:t>
      </w:r>
    </w:p>
    <w:p w:rsidR="00480112" w:rsidRPr="00480112" w:rsidRDefault="00480112" w:rsidP="00480112">
      <w:pPr>
        <w:pBdr>
          <w:top w:val="single" w:sz="4" w:space="1" w:color="auto"/>
          <w:left w:val="single" w:sz="4" w:space="1" w:color="auto"/>
          <w:bottom w:val="single" w:sz="4" w:space="1" w:color="auto"/>
          <w:right w:val="single" w:sz="4" w:space="1" w:color="auto"/>
        </w:pBdr>
        <w:shd w:val="clear" w:color="auto" w:fill="BDD6EE" w:themeFill="accent1" w:themeFillTint="66"/>
        <w:rPr>
          <w:i/>
        </w:rPr>
      </w:pPr>
    </w:p>
    <w:p w:rsidR="00480112" w:rsidRPr="00480112" w:rsidRDefault="00480112" w:rsidP="00480112">
      <w:pPr>
        <w:pBdr>
          <w:top w:val="single" w:sz="4" w:space="1" w:color="auto"/>
          <w:left w:val="single" w:sz="4" w:space="1" w:color="auto"/>
          <w:bottom w:val="single" w:sz="4" w:space="1" w:color="auto"/>
          <w:right w:val="single" w:sz="4" w:space="1" w:color="auto"/>
        </w:pBdr>
        <w:shd w:val="clear" w:color="auto" w:fill="BDD6EE" w:themeFill="accent1" w:themeFillTint="66"/>
        <w:rPr>
          <w:i/>
        </w:rPr>
      </w:pPr>
      <w:r w:rsidRPr="00480112">
        <w:rPr>
          <w:i/>
        </w:rPr>
        <w:lastRenderedPageBreak/>
        <w:t>DnB byl přiznán od dubna 2018. V červenci 2019 je doloženo vyúčtování plynu za období od 20.</w:t>
      </w:r>
      <w:r w:rsidR="00890345">
        <w:rPr>
          <w:i/>
        </w:rPr>
        <w:t xml:space="preserve"> </w:t>
      </w:r>
      <w:r w:rsidRPr="00480112">
        <w:rPr>
          <w:i/>
        </w:rPr>
        <w:t>07.</w:t>
      </w:r>
      <w:r w:rsidR="00890345">
        <w:rPr>
          <w:i/>
        </w:rPr>
        <w:t xml:space="preserve"> </w:t>
      </w:r>
      <w:r w:rsidRPr="00480112">
        <w:rPr>
          <w:i/>
        </w:rPr>
        <w:t>2018 do 20.</w:t>
      </w:r>
      <w:r w:rsidR="00890345">
        <w:rPr>
          <w:i/>
        </w:rPr>
        <w:t xml:space="preserve"> </w:t>
      </w:r>
      <w:r w:rsidRPr="00480112">
        <w:rPr>
          <w:i/>
        </w:rPr>
        <w:t>07.</w:t>
      </w:r>
      <w:r w:rsidR="00890345">
        <w:rPr>
          <w:i/>
        </w:rPr>
        <w:t xml:space="preserve"> </w:t>
      </w:r>
      <w:r w:rsidRPr="00480112">
        <w:rPr>
          <w:i/>
        </w:rPr>
        <w:t xml:space="preserve">2019. Do aplikačního programu jsou zadány skutečné náklady za spotřebu plynu za období srpen 2018 až červenec 2019. </w:t>
      </w:r>
      <w:r w:rsidRPr="00480112">
        <w:rPr>
          <w:b/>
          <w:i/>
        </w:rPr>
        <w:t>Skutečné náklady zjištěné z vyúčtování mohou být zadány do aplikačního programu již v měsíci červenci 2019, avšak k vyhodnocení přeplatku/doplatku z vyúčtování může dojít až v měsíci srpnu 2019 (resp. po výplatě DnB na měsíc červenec 2019, neboť tento měsíc je zahrnut do zúčtovacího období).</w:t>
      </w:r>
      <w:r w:rsidRPr="00480112">
        <w:rPr>
          <w:i/>
        </w:rPr>
        <w:t xml:space="preserve"> Při výpočtu přeplatku/doplatku z vyúčtování jsou zohledněny měsíce srpen 2018 až červenec 2019. </w:t>
      </w:r>
    </w:p>
    <w:p w:rsidR="00480112" w:rsidRPr="004F7A5C" w:rsidRDefault="00480112" w:rsidP="00927530"/>
    <w:p w:rsidR="001B4C70" w:rsidRDefault="001B4C70" w:rsidP="001B4C70">
      <w:r>
        <w:t xml:space="preserve">Skutečné náklady energií a služeb zjištěné z vyúčtování mohou ovlivnit výši obou opakujících se dávek, zadávají se tedy do aplikačního programu a vyhodnocuje </w:t>
      </w:r>
      <w:r w:rsidR="001E11E2">
        <w:br/>
      </w:r>
      <w:r>
        <w:t xml:space="preserve">se přeplatek/doplatek z vyúčtování u PnŽ i DnB. </w:t>
      </w:r>
      <w:r w:rsidRPr="004F7A5C">
        <w:t xml:space="preserve">Vyúčtování za energie a služby, které je zaevidované ve spisu PnŽ lze připojit (obdobně jako informaci o bytu) </w:t>
      </w:r>
      <w:r w:rsidR="001E11E2">
        <w:br/>
      </w:r>
      <w:r w:rsidRPr="004F7A5C">
        <w:t xml:space="preserve">ke </w:t>
      </w:r>
      <w:r w:rsidR="00F329B2">
        <w:t>s</w:t>
      </w:r>
      <w:r w:rsidRPr="004F7A5C">
        <w:t xml:space="preserve">pisu příslušného DnB. </w:t>
      </w:r>
      <w:r>
        <w:rPr>
          <w:b/>
        </w:rPr>
        <w:t xml:space="preserve">Samotný výpočet přeplatku/doplatku z vyúčtování </w:t>
      </w:r>
      <w:r w:rsidR="001E11E2">
        <w:rPr>
          <w:b/>
        </w:rPr>
        <w:br/>
      </w:r>
      <w:r>
        <w:rPr>
          <w:b/>
        </w:rPr>
        <w:t>je nutné provést samostatně jak u PnŽ, tak u DnB.</w:t>
      </w:r>
      <w:r w:rsidRPr="004F7A5C">
        <w:t xml:space="preserve"> U PnŽ </w:t>
      </w:r>
      <w:r>
        <w:t>ve většině případů</w:t>
      </w:r>
      <w:r w:rsidRPr="004F7A5C">
        <w:t xml:space="preserve"> nebude docházet ke vzniku přeplatku</w:t>
      </w:r>
      <w:r>
        <w:t>/doplatku</w:t>
      </w:r>
      <w:r w:rsidRPr="004F7A5C">
        <w:t xml:space="preserve"> z</w:t>
      </w:r>
      <w:r>
        <w:t> </w:t>
      </w:r>
      <w:r w:rsidRPr="004F7A5C">
        <w:t>vyúčtování</w:t>
      </w:r>
      <w:r>
        <w:t>.</w:t>
      </w:r>
      <w:r w:rsidR="001E11E2">
        <w:t xml:space="preserve"> </w:t>
      </w:r>
      <w:r>
        <w:t xml:space="preserve">Pokud k přeplatku/doplatku z vyúčtování dojde, postupuje se stejným způsobem jako </w:t>
      </w:r>
      <w:r w:rsidR="001E11E2">
        <w:br/>
      </w:r>
      <w:r>
        <w:t>u přeplatku/doplatku z vyúčtování u DnB.</w:t>
      </w:r>
    </w:p>
    <w:p w:rsidR="00F329B2" w:rsidRDefault="00F329B2" w:rsidP="001B4C70"/>
    <w:p w:rsidR="001B4C70" w:rsidRPr="004F7A5C" w:rsidRDefault="001B4C70" w:rsidP="001B4C70">
      <w:r>
        <w:t>Pokud je přeplatek z vyúčtování nižší než 100 Kč, doporučuje se, aby k němu v případně PnŽ nebylo přihlíženo (nebyl umořován).</w:t>
      </w:r>
    </w:p>
    <w:p w:rsidR="001B4C70" w:rsidRDefault="001B4C70" w:rsidP="001B4C70"/>
    <w:p w:rsidR="00257029" w:rsidRDefault="001B4C70" w:rsidP="00257029">
      <w:r>
        <w:t>Vyhodnocení přeplatku/doplatku z vyúčtování nemůže být provedeno, pokud existuje  přeplatek/doplatek dávky</w:t>
      </w:r>
      <w:r w:rsidR="00AE6E25">
        <w:t xml:space="preserve"> podle </w:t>
      </w:r>
      <w:r w:rsidR="002D0C6A">
        <w:t xml:space="preserve">ustanovení </w:t>
      </w:r>
      <w:r w:rsidR="00AE6E25">
        <w:t>§ 51 ZPHN</w:t>
      </w:r>
      <w:r>
        <w:t xml:space="preserve">, který není vyřešen (přeplatek/doplatek z důvodu změny výše započitatelných příjmů, počtu osob společně posuzovaných, změny informací o bytě apod.). Proto před vyhodnocením přeplatku/doplatku z vyúčtování musí být provedena kontrola existence a vyřešení přeplatku/doplatku dávky. Tzv. vyčištění od možného přeplatku/doplatku dávky před vyhodnocením přeplatku/doplatku z vyúčtování je nutné provádět z důvodu, aby </w:t>
      </w:r>
      <w:r w:rsidR="00BB7141">
        <w:br/>
      </w:r>
      <w:r>
        <w:t xml:space="preserve">po vyhodnocení přeplatku/doplatku z vyúčtování bylo bez pochybností zřejmé, </w:t>
      </w:r>
      <w:r w:rsidR="00BB7141">
        <w:br/>
      </w:r>
      <w:r>
        <w:t xml:space="preserve">že danou konkrétní výši přeplatku/doplatku z vyúčtování neovlivnily žádné jiné skutečnosti, než pouze skutečné náklady zjištěné z vyúčtování a dále z důvodu, </w:t>
      </w:r>
      <w:r w:rsidR="00BB7141">
        <w:br/>
      </w:r>
      <w:r>
        <w:t xml:space="preserve">že případně vypočtený přeplatek z vyúčtování nelze vymáhat, lze jej buď odečíst z doplatku vyúčtování nebo jím snížit ONB. Ponechává se na zvážení orgánu pomoci v hmotné nouzi, zda před zadáním vyúčtování za zúčtovací období provede kontrolu možného přeplatku/doplatku dávky nebo zda zadá vyúčtování za zúčtovací období </w:t>
      </w:r>
      <w:r w:rsidR="006223AD">
        <w:br/>
      </w:r>
      <w:r>
        <w:t>a ponechá na aplikačním programu, aby provedl kontrolu mo</w:t>
      </w:r>
      <w:r w:rsidR="00FE7E3D">
        <w:t xml:space="preserve">žného přeplatku/doplatku dávky. </w:t>
      </w:r>
      <w:r>
        <w:t xml:space="preserve">Pokud aplikační program zjistí přeplatek/doplatek dávky, neumožní vyhodnocení přeplatku/doplatku z vyúčtování do doby vyřešení doplatku/přeplatku dávky. </w:t>
      </w:r>
      <w:r w:rsidR="00257029">
        <w:t xml:space="preserve">Za vyřešení doplatku/přeplatku dávky se považuje okamžik odsouhlasení (přeplatek je ve stavu ne/vymáhat, doplatek ve stavu ne/vyplácet). </w:t>
      </w:r>
    </w:p>
    <w:p w:rsidR="0089085A" w:rsidRDefault="0089085A" w:rsidP="00864490"/>
    <w:p w:rsidR="005E53E6" w:rsidRDefault="005E53E6" w:rsidP="005E53E6">
      <w:r>
        <w:lastRenderedPageBreak/>
        <w:t xml:space="preserve">V rámci ONB dochází k dokládání vyúčtování za energie (elektrická energie, plyn) </w:t>
      </w:r>
      <w:r w:rsidR="00386AD0">
        <w:br/>
      </w:r>
      <w:r>
        <w:t xml:space="preserve">a služby spojené s užíváním bytu. V praxi budou nastávat situace, kdy osoba </w:t>
      </w:r>
      <w:r w:rsidRPr="004F7A5C">
        <w:t xml:space="preserve">doloží </w:t>
      </w:r>
      <w:r w:rsidR="00386AD0">
        <w:br/>
      </w:r>
      <w:r w:rsidRPr="004F7A5C">
        <w:t>i několik vyúčtování za energie a služby najednou</w:t>
      </w:r>
      <w:r>
        <w:t>, kdy následně dochází k zahrnutí všech doložených vyúčtování do jednoho výpočtu přeplatku/doplatku z vyúčtování, nebo</w:t>
      </w:r>
      <w:r w:rsidRPr="004F7A5C">
        <w:t xml:space="preserve"> bude ÚP ČR </w:t>
      </w:r>
      <w:r>
        <w:t>na základě znalosti místních poměrů vědět</w:t>
      </w:r>
      <w:r w:rsidRPr="004F7A5C">
        <w:t xml:space="preserve">, že osoba doložila prozatím pouze jedno vyúčtování, ale během </w:t>
      </w:r>
      <w:r>
        <w:t>krátké doby</w:t>
      </w:r>
      <w:r w:rsidRPr="004F7A5C">
        <w:t xml:space="preserve"> doloží </w:t>
      </w:r>
      <w:r>
        <w:t xml:space="preserve">vyúčtování </w:t>
      </w:r>
      <w:r w:rsidRPr="004F7A5C">
        <w:t>další</w:t>
      </w:r>
      <w:r>
        <w:t>. Pak se</w:t>
      </w:r>
      <w:r w:rsidRPr="004F7A5C">
        <w:t xml:space="preserve"> </w:t>
      </w:r>
      <w:r>
        <w:t xml:space="preserve">zadává doložené vyúčtování do aplikačního programu, avšak se samotným výpočtem přeplatku/doplatku z vyúčtování je možné počkat na okamžik doložení dalších vyúčtování. Při uvedeném postupu je však nutné si uvědomit, že pokud </w:t>
      </w:r>
      <w:r w:rsidR="00386AD0">
        <w:br/>
      </w:r>
      <w:r>
        <w:t xml:space="preserve">na základě skutečných nákladů zjištěných z vyúčtování dojde k přeplatku z vyúčtování, bude tento umořován z ONB stávající dávky. V této situaci je nutné, aby osoba byla prokazatelně seznámena v aktuálním čase doložení vyúčtování s tímto faktem. Proto se doporučuje doložené vyúčtování zadat do aplikačního programu </w:t>
      </w:r>
      <w:r w:rsidR="00BB7141">
        <w:br/>
      </w:r>
      <w:r>
        <w:t>a vyhodnotit přeplatek/doplatek z vyúčtování. Do doby zadání a vyhodnocení další</w:t>
      </w:r>
      <w:r w:rsidR="004408B0">
        <w:t>ho</w:t>
      </w:r>
      <w:r>
        <w:t xml:space="preserve"> vyúčtování nemusí dojít k samotnému umořování přeplatku z vyúčtování. </w:t>
      </w:r>
    </w:p>
    <w:p w:rsidR="005E53E6" w:rsidRDefault="005E53E6" w:rsidP="005E53E6"/>
    <w:p w:rsidR="005E53E6" w:rsidRDefault="005E53E6" w:rsidP="005E53E6">
      <w:r>
        <w:t xml:space="preserve">Vyúčtování, která se vyberou do výpočtu přeplatku/doplatku z vyúčtování, se nemusí týkat stejného období vyúčtování, období na sebe nemusí navazovat a vyúčtování </w:t>
      </w:r>
      <w:r w:rsidR="009C0090">
        <w:br/>
      </w:r>
      <w:r>
        <w:t>se může týkat různých energií a služeb.</w:t>
      </w:r>
    </w:p>
    <w:p w:rsidR="005E53E6" w:rsidRPr="004F7A5C" w:rsidRDefault="005E53E6" w:rsidP="005E53E6"/>
    <w:p w:rsidR="005E53E6" w:rsidRDefault="005E53E6" w:rsidP="005E53E6">
      <w:r>
        <w:t xml:space="preserve">V rámci doložení vyúčtování za služby vodné a stočné, energie na ohřev teplé vody </w:t>
      </w:r>
      <w:r w:rsidR="009C0090">
        <w:br/>
      </w:r>
      <w:r>
        <w:t xml:space="preserve">a dálkové vytápění jsou dokládány též vyúčtování položek, které jsou do aplikačního programu zadávány do nákladů na ostatní služby. U nákladů na ostatní služby </w:t>
      </w:r>
      <w:r w:rsidR="009C0090">
        <w:br/>
      </w:r>
      <w:r>
        <w:t xml:space="preserve">se skutečná výše nákladů zjištěná z vyúčtování do aplikačního programu nezadává, nedochází ke stanovení přeplatku/doplatku z vyúčtování. Jedná se o služby, které nejsou zúčtovatelné a o služby, které jsou zúčtovatelné (např. výtah, osvětlení společných prostor v domě). Např. skutečná výše nákladů za výtah a osvětlení společných prostor není závislá pouze na osobách v hmotné nouzi, nedochází tedy </w:t>
      </w:r>
      <w:r w:rsidR="00DA0270">
        <w:br/>
      </w:r>
      <w:r>
        <w:t xml:space="preserve">na základě doložení vyúčtování ke zpětnému přepočtu výše dávky. Tak, jak je již výše uvedeno, do nákladů na ostatní služby jsou zadávány skutečné výše nákladů (záloh), max. však ve výši v místě obvyklé. </w:t>
      </w:r>
    </w:p>
    <w:p w:rsidR="00F77603" w:rsidRDefault="00F77603" w:rsidP="005E53E6"/>
    <w:p w:rsidR="005E53E6" w:rsidRDefault="005E53E6" w:rsidP="005E53E6">
      <w:r>
        <w:t>V</w:t>
      </w:r>
      <w:r w:rsidRPr="004F7A5C">
        <w:t xml:space="preserve"> případě doložení vyúčtování za služby </w:t>
      </w:r>
      <w:r>
        <w:t>zadávané do nák</w:t>
      </w:r>
      <w:r w:rsidR="00F77603">
        <w:t xml:space="preserve">ladů na ostatní služby, jako je </w:t>
      </w:r>
      <w:r w:rsidRPr="004F7A5C">
        <w:rPr>
          <w:lang w:eastAsia="cs-CZ"/>
        </w:rPr>
        <w:t xml:space="preserve">lokální plynová kotelna pro celý činžovní dům, je možné při vzniku nedoplatku </w:t>
      </w:r>
      <w:r w:rsidR="0078692B">
        <w:rPr>
          <w:lang w:eastAsia="cs-CZ"/>
        </w:rPr>
        <w:br/>
      </w:r>
      <w:r>
        <w:rPr>
          <w:lang w:eastAsia="cs-CZ"/>
        </w:rPr>
        <w:t>v</w:t>
      </w:r>
      <w:r w:rsidRPr="004F7A5C">
        <w:rPr>
          <w:lang w:eastAsia="cs-CZ"/>
        </w:rPr>
        <w:t xml:space="preserve"> ojedinělých</w:t>
      </w:r>
      <w:r>
        <w:rPr>
          <w:lang w:eastAsia="cs-CZ"/>
        </w:rPr>
        <w:t>, odůvodněných</w:t>
      </w:r>
      <w:r w:rsidRPr="004F7A5C">
        <w:rPr>
          <w:lang w:eastAsia="cs-CZ"/>
        </w:rPr>
        <w:t xml:space="preserve"> a mimořádných případech poskytnout osobě </w:t>
      </w:r>
      <w:r w:rsidRPr="00F77603">
        <w:rPr>
          <w:b/>
        </w:rPr>
        <w:t>dávku MOP</w:t>
      </w:r>
      <w:r w:rsidR="00114B9F">
        <w:rPr>
          <w:b/>
        </w:rPr>
        <w:t xml:space="preserve"> </w:t>
      </w:r>
      <w:r w:rsidR="00114B9F">
        <w:t>k úhradě nezbytného jednorázového výdaje</w:t>
      </w:r>
      <w:r>
        <w:t>.</w:t>
      </w:r>
      <w:r w:rsidRPr="004F7A5C">
        <w:t xml:space="preserve"> </w:t>
      </w:r>
      <w:r>
        <w:t>Účel užití dávky MOP</w:t>
      </w:r>
      <w:r w:rsidRPr="004F7A5C">
        <w:t xml:space="preserve"> je </w:t>
      </w:r>
      <w:r>
        <w:t>v ZPHN</w:t>
      </w:r>
      <w:r w:rsidRPr="004F7A5C">
        <w:t xml:space="preserve"> charakterizován příkladmo, takže umožňuje správnímu orgánu </w:t>
      </w:r>
      <w:r>
        <w:t>její</w:t>
      </w:r>
      <w:r w:rsidRPr="004F7A5C">
        <w:t xml:space="preserve"> využití i v dalších situacích, které js</w:t>
      </w:r>
      <w:r w:rsidR="00114B9F">
        <w:t xml:space="preserve">ou obdobné situacím vyjmenovaných v ZPHN. </w:t>
      </w:r>
      <w:r w:rsidRPr="004F7A5C">
        <w:t xml:space="preserve"> V tomto případě </w:t>
      </w:r>
      <w:r w:rsidR="00114B9F">
        <w:br/>
      </w:r>
      <w:r w:rsidRPr="004F7A5C">
        <w:t>je však nezbytné, aby se správní orgán zabýval celkovými sociálními a majetkovými poměry osoby a jejím příjmem. Dále je důležité, aby se orgán pomoci v hmotné nouzi zaměřil na to, jakým způsobem nedoplatek osobě vznikl,</w:t>
      </w:r>
      <w:r>
        <w:t xml:space="preserve"> např. </w:t>
      </w:r>
      <w:r w:rsidRPr="004F7A5C">
        <w:rPr>
          <w:rFonts w:cs="Arial"/>
          <w:szCs w:val="24"/>
        </w:rPr>
        <w:t>nadměrnou spotřebou (plýtváním), nebo zda na vyšší spotřebu má vliv nějaký objektivní důvod – stáří nemovitosti, zdravotní stav příjemce nebo společně posuzovaných osob, věk, atd.</w:t>
      </w:r>
      <w:r>
        <w:rPr>
          <w:rFonts w:cs="Arial"/>
          <w:szCs w:val="24"/>
        </w:rPr>
        <w:t>, dále</w:t>
      </w:r>
      <w:r w:rsidRPr="004F7A5C">
        <w:t xml:space="preserve"> jaký je podíl osoby na jeho vzniku, a zda poskytnutí MOP je odůvodněné. </w:t>
      </w:r>
    </w:p>
    <w:p w:rsidR="005E53E6" w:rsidRDefault="005E53E6" w:rsidP="005E53E6">
      <w:r>
        <w:lastRenderedPageBreak/>
        <w:t>Dávku MOP je možné v ojedinělých, odůvodněných a mimořádných situacích přiznat též osobě, která je povinna uhradit dodavateli energií, poskytovateli služeb, nedoplatek z</w:t>
      </w:r>
      <w:r w:rsidR="00BB180D">
        <w:t> </w:t>
      </w:r>
      <w:r>
        <w:t>vyúčtování</w:t>
      </w:r>
      <w:r w:rsidR="00BB180D">
        <w:t xml:space="preserve">. </w:t>
      </w:r>
      <w:r w:rsidR="00104518">
        <w:t xml:space="preserve">Bude se jednat o ty případy, kdy skutečné náklady zjištěné z vyúčtování již byly ÚP ČR zohledněny, ale přesto nepostačují na úhradu nedoplatku od dodavatele energií či poskytovatele služeb. </w:t>
      </w:r>
      <w:r>
        <w:t xml:space="preserve">Doplatek z vyúčtování nepostačuje na úhradu nedoplatku </w:t>
      </w:r>
      <w:r w:rsidR="00104518">
        <w:t>od dodavatele energií či poskytovatele služeb</w:t>
      </w:r>
      <w:r>
        <w:t xml:space="preserve"> (nebo není v důsledku vyplacen, protože jím byl ponížen přeplatek z vyúčtování), případně na základě zadání vyúčtování za zúčtovací období nevznikl doplatek z</w:t>
      </w:r>
      <w:r w:rsidR="00106115">
        <w:t> </w:t>
      </w:r>
      <w:r>
        <w:t>vyúčtování</w:t>
      </w:r>
      <w:r w:rsidR="00106115">
        <w:t>, byl vyhodnocen přeplatek z vyúčtování</w:t>
      </w:r>
      <w:r>
        <w:t>. Může se např. jednat o situaci, kdy je zúčtovací období vyúčtování delší než období výplaty dávky, skutečné náklady byly navýšeny z důvodu zdravotního stavu apod.</w:t>
      </w:r>
    </w:p>
    <w:p w:rsidR="00F77603" w:rsidRDefault="00F77603" w:rsidP="005E53E6"/>
    <w:p w:rsidR="005E53E6" w:rsidRDefault="005E53E6" w:rsidP="005E53E6">
      <w:r>
        <w:t xml:space="preserve">Dávku MOP je dále možné přiznat osobě, která není příjemcem opakujících se dávek a je povinna uhradit nedoplatek z vyúčtování, pokud se jedná o osobu, jejíž příjmy </w:t>
      </w:r>
      <w:r w:rsidR="0078692B">
        <w:br/>
      </w:r>
      <w:r>
        <w:t xml:space="preserve">a celkové sociální a majetkové poměry jí neumožňují daný nezbytný jednorázový výdaj uhradit. </w:t>
      </w:r>
    </w:p>
    <w:p w:rsidR="005E53E6" w:rsidRDefault="005E53E6" w:rsidP="005E53E6"/>
    <w:p w:rsidR="005E53E6" w:rsidRDefault="005E53E6" w:rsidP="005E53E6">
      <w:r>
        <w:t xml:space="preserve">Pokud dojde k přeplatku z vyúčtování za zúčtovací období (přeplatku, který dodavatel energií či poskytovatel služeb osobě vyplatí), je možné využít postup dle ustanovení </w:t>
      </w:r>
      <w:r w:rsidR="0078692B">
        <w:br/>
      </w:r>
      <w:r>
        <w:t>§ 3 odst. 4 ZPHN. Je však nutné nejprve zohlednit výši přeplatku z vyúčtování, který bude umořován z ONB a také je nutné mít na zřeteli skutečnost, že postup dle ustanovení § 3 odst. 4 ZPHN se týká současně obou opakujících se dávek.</w:t>
      </w:r>
      <w:r w:rsidR="00346777">
        <w:t xml:space="preserve"> </w:t>
      </w:r>
      <w:r>
        <w:t>Dle ustanovení § 3 odst. 4 ZPHN o</w:t>
      </w:r>
      <w:r w:rsidRPr="00E67072">
        <w:t xml:space="preserve">rgán pomoci v hmotné nouzi může v odůvodněných případech určit, že osobou v hmotné nouzi není osoba, jejíž celkové sociální </w:t>
      </w:r>
      <w:r w:rsidR="0078692B">
        <w:br/>
      </w:r>
      <w:r w:rsidRPr="00E67072">
        <w:t xml:space="preserve">a majetkové poměry </w:t>
      </w:r>
      <w:r w:rsidRPr="00F77603">
        <w:t xml:space="preserve">jsou </w:t>
      </w:r>
      <w:r w:rsidRPr="00E67072">
        <w:t xml:space="preserve">takové, že jí mohou </w:t>
      </w:r>
      <w:r w:rsidRPr="00F65550">
        <w:rPr>
          <w:b/>
        </w:rPr>
        <w:t>i po úhradě odůvodněných nákladů na bydlení</w:t>
      </w:r>
      <w:r w:rsidRPr="00E67072">
        <w:t xml:space="preserve"> zaručit dostatečné zajištění její výživy a ostatních základních osobních potřeb.</w:t>
      </w:r>
    </w:p>
    <w:p w:rsidR="005E53E6" w:rsidRPr="004F7A5C" w:rsidRDefault="005E53E6" w:rsidP="00864490"/>
    <w:p w:rsidR="00C07E51" w:rsidRDefault="00C07E51" w:rsidP="00F81281">
      <w:pPr>
        <w:pStyle w:val="Nadpis4"/>
        <w:ind w:firstLine="708"/>
      </w:pPr>
      <w:bookmarkStart w:id="25" w:name="_Toc25833350"/>
      <w:r w:rsidRPr="00F81281">
        <w:t>V</w:t>
      </w:r>
      <w:r w:rsidR="00890345" w:rsidRPr="00F81281">
        <w:t>yhodnocení</w:t>
      </w:r>
      <w:r w:rsidRPr="00F81281">
        <w:t xml:space="preserve"> přeplatku/doplatku z vyúčtování</w:t>
      </w:r>
      <w:bookmarkEnd w:id="25"/>
    </w:p>
    <w:p w:rsidR="00F77603" w:rsidRDefault="00346777" w:rsidP="00F81281">
      <w:pPr>
        <w:spacing w:before="120"/>
      </w:pPr>
      <w:r>
        <w:t>Za</w:t>
      </w:r>
      <w:r w:rsidR="00F77603">
        <w:t xml:space="preserve"> každý měsíc období výpočtu přeplatku/doplatku z vyúčtování </w:t>
      </w:r>
      <w:r>
        <w:t xml:space="preserve">se </w:t>
      </w:r>
      <w:r w:rsidR="00F77603">
        <w:t xml:space="preserve">vypočte nová výše dávky, a to tak, že se namísto původně zadané zálohy (záloha zohledňovaná při stanovení výše DnB) použije jako výše „zálohy“ za vyúčtovanou energii či služby vypočtená výše skutečných měsíčních nákladů. Pokud výše zálohy byla v konkrétním měsíci stanovena v nulové výši, nebyla vyplněna nebo výše nebyla známa a </w:t>
      </w:r>
      <w:r w:rsidR="00B00300">
        <w:t>orgánem pomoci v hmotné nouzi</w:t>
      </w:r>
      <w:r w:rsidR="00F77603">
        <w:t xml:space="preserve"> byla zvolena možnost „ve výši v místě obvyklé“ a současně dle informací o užívaném bytu byla energie či služba užívána a daný měsíc spadá </w:t>
      </w:r>
      <w:r w:rsidR="00B00300">
        <w:br/>
      </w:r>
      <w:r w:rsidR="00F77603">
        <w:t xml:space="preserve">do období vyúčtování, je namísto „zálohy“ též zohledňována skutečná průměrná výše nákladů zjištěná z vyúčtování. </w:t>
      </w:r>
    </w:p>
    <w:p w:rsidR="00F77603" w:rsidRDefault="00F77603" w:rsidP="00F77603"/>
    <w:p w:rsidR="00F77603" w:rsidRDefault="00F77603" w:rsidP="00F77603">
      <w:r>
        <w:t xml:space="preserve">Odečtením původní měsíční výše dávky od nově vypočtené výše dávky se vypočte měsíční přeplatek/doplatek z vyúčtování. Měsíční přeplatky/doplatky z vyúčtování </w:t>
      </w:r>
      <w:r w:rsidR="00F77D95">
        <w:br/>
      </w:r>
      <w:r>
        <w:t xml:space="preserve">se sečtou. </w:t>
      </w:r>
      <w:r w:rsidRPr="00F77603">
        <w:rPr>
          <w:b/>
        </w:rPr>
        <w:t>Kladný součet = doplatek z daného konkrétního vyúčtování</w:t>
      </w:r>
      <w:r>
        <w:t xml:space="preserve">, </w:t>
      </w:r>
      <w:r w:rsidRPr="00F77603">
        <w:rPr>
          <w:b/>
        </w:rPr>
        <w:t>záporný a nulový součet = přeplatek z daného konkrétního vyúčtování</w:t>
      </w:r>
      <w:r>
        <w:t xml:space="preserve">. </w:t>
      </w:r>
    </w:p>
    <w:p w:rsidR="00E1704F" w:rsidRPr="00F65550" w:rsidRDefault="00E1704F" w:rsidP="00E1704F">
      <w:r w:rsidRPr="00E1704F">
        <w:rPr>
          <w:b/>
        </w:rPr>
        <w:lastRenderedPageBreak/>
        <w:t xml:space="preserve">Upozornění: od okamžiku provedení výpočtu přeplatku/doplatku z vyúčtování </w:t>
      </w:r>
      <w:r w:rsidR="006D2690">
        <w:rPr>
          <w:b/>
        </w:rPr>
        <w:br/>
      </w:r>
      <w:r w:rsidRPr="00E1704F">
        <w:rPr>
          <w:b/>
        </w:rPr>
        <w:t xml:space="preserve">za zadané období se ve výpočtech výše dávky za měsíce tohoto období již nepoužívají částky záloh, započítávají se v rámci výpočtu přeplatku/doplatku z vyúčtování vypočtené průměrné měsíční skutečné náklady, </w:t>
      </w:r>
      <w:r w:rsidR="006D2690">
        <w:rPr>
          <w:b/>
        </w:rPr>
        <w:br/>
      </w:r>
      <w:r w:rsidRPr="00E1704F">
        <w:rPr>
          <w:b/>
        </w:rPr>
        <w:t>a to jak u přehodnocení dávky, tak u výpočtu běžného přeplatku/doplatku dávky.</w:t>
      </w:r>
    </w:p>
    <w:p w:rsidR="00B00FC5" w:rsidRPr="004E6652" w:rsidRDefault="00B00FC5" w:rsidP="00864490">
      <w:pPr>
        <w:rPr>
          <w:color w:val="FF0000"/>
        </w:rPr>
      </w:pPr>
    </w:p>
    <w:p w:rsidR="00864490" w:rsidRPr="004F7A5C" w:rsidRDefault="00822085" w:rsidP="00F81281">
      <w:pPr>
        <w:pStyle w:val="Nadpis4"/>
        <w:ind w:firstLine="708"/>
      </w:pPr>
      <w:bookmarkStart w:id="26" w:name="_Toc25833351"/>
      <w:r w:rsidRPr="004F7A5C">
        <w:t>P</w:t>
      </w:r>
      <w:r w:rsidR="00B00FC5" w:rsidRPr="004F7A5C">
        <w:t>ostup při vzniku přeplatků a doplatků</w:t>
      </w:r>
      <w:r w:rsidRPr="004F7A5C">
        <w:t xml:space="preserve"> z vyúčtování za energie a služby</w:t>
      </w:r>
      <w:bookmarkEnd w:id="26"/>
    </w:p>
    <w:p w:rsidR="00822085" w:rsidRPr="004F7A5C" w:rsidRDefault="00864490" w:rsidP="00864490">
      <w:r w:rsidRPr="004F7A5C">
        <w:t>V případě, kdy na dávce vznikne přeplatek</w:t>
      </w:r>
      <w:r w:rsidR="00822085" w:rsidRPr="004F7A5C">
        <w:t xml:space="preserve"> z vyúčtování za energie a služby bude </w:t>
      </w:r>
      <w:r w:rsidR="00794056">
        <w:br/>
      </w:r>
      <w:r w:rsidR="00822085" w:rsidRPr="004F7A5C">
        <w:t>se postupovat následovně</w:t>
      </w:r>
      <w:r w:rsidRPr="004F7A5C">
        <w:t xml:space="preserve">. </w:t>
      </w:r>
      <w:r w:rsidR="00822085" w:rsidRPr="004F7A5C">
        <w:t>Přeplatek z vyúčtování za energie a služby</w:t>
      </w:r>
      <w:r w:rsidRPr="004F7A5C">
        <w:t xml:space="preserve"> je možné buď postupně </w:t>
      </w:r>
      <w:r w:rsidR="00822085" w:rsidRPr="004F7A5C">
        <w:t xml:space="preserve">„umořovat“ snižováním ONB </w:t>
      </w:r>
      <w:r w:rsidRPr="004F7A5C">
        <w:t>v následujících měsících</w:t>
      </w:r>
      <w:r w:rsidR="00822085" w:rsidRPr="004F7A5C">
        <w:t xml:space="preserve">, </w:t>
      </w:r>
      <w:r w:rsidRPr="004F7A5C">
        <w:t xml:space="preserve">nebo </w:t>
      </w:r>
      <w:r w:rsidR="00DC63CD" w:rsidRPr="004F7A5C">
        <w:t>započíst přeplatek (či jeho část</w:t>
      </w:r>
      <w:r w:rsidRPr="004F7A5C">
        <w:t>)</w:t>
      </w:r>
      <w:r w:rsidR="00DC63CD" w:rsidRPr="004F7A5C">
        <w:t xml:space="preserve"> vůči</w:t>
      </w:r>
      <w:r w:rsidRPr="004F7A5C">
        <w:t xml:space="preserve"> </w:t>
      </w:r>
      <w:r w:rsidR="00DC63CD" w:rsidRPr="004F7A5C">
        <w:t>vzniklému doplat</w:t>
      </w:r>
      <w:r w:rsidRPr="004F7A5C">
        <w:t>k</w:t>
      </w:r>
      <w:r w:rsidR="00DC63CD" w:rsidRPr="004F7A5C">
        <w:t>u</w:t>
      </w:r>
      <w:r w:rsidRPr="004F7A5C">
        <w:t xml:space="preserve"> z vyúčtování, který je vypočten z jiného vyúčtování za energie či služby</w:t>
      </w:r>
      <w:r w:rsidR="00DC63CD" w:rsidRPr="004F7A5C">
        <w:t xml:space="preserve"> nebo tyto postupy vzájemně kombinovat</w:t>
      </w:r>
      <w:r w:rsidRPr="004F7A5C">
        <w:t xml:space="preserve">. </w:t>
      </w:r>
      <w:r w:rsidR="00822085" w:rsidRPr="004F7A5C">
        <w:t xml:space="preserve">Druhý způsob lze však aplikovat pouze za předpokladu, že doplatek z vyúčtování vznikne. </w:t>
      </w:r>
    </w:p>
    <w:p w:rsidR="00822085" w:rsidRPr="004F7A5C" w:rsidRDefault="00822085" w:rsidP="00864490"/>
    <w:p w:rsidR="00822085" w:rsidRPr="004F7A5C" w:rsidRDefault="00822085" w:rsidP="00E7491B">
      <w:pPr>
        <w:pStyle w:val="Odstavecseseznamem"/>
        <w:numPr>
          <w:ilvl w:val="0"/>
          <w:numId w:val="6"/>
        </w:numPr>
        <w:spacing w:before="120"/>
        <w:rPr>
          <w:b/>
        </w:rPr>
      </w:pPr>
      <w:r w:rsidRPr="004F7A5C">
        <w:rPr>
          <w:b/>
        </w:rPr>
        <w:t>„Umořování“ přeplatku</w:t>
      </w:r>
      <w:r w:rsidR="00C65FFD" w:rsidRPr="004F7A5C">
        <w:rPr>
          <w:b/>
        </w:rPr>
        <w:t xml:space="preserve"> z vyúčtování</w:t>
      </w:r>
    </w:p>
    <w:p w:rsidR="00BB7EB9" w:rsidRPr="004F7A5C" w:rsidRDefault="00E1704F" w:rsidP="001851BA">
      <w:pPr>
        <w:spacing w:before="120"/>
      </w:pPr>
      <w:r>
        <w:t xml:space="preserve">Do spisové dokumentace je založen záznam o přeplatku z vyúčtování (nezasílá </w:t>
      </w:r>
      <w:r w:rsidR="00794056">
        <w:br/>
      </w:r>
      <w:r>
        <w:t>se účastníku řízení). V</w:t>
      </w:r>
      <w:r w:rsidR="00BB7EB9" w:rsidRPr="004F7A5C">
        <w:t>znikne</w:t>
      </w:r>
      <w:r>
        <w:t>-li</w:t>
      </w:r>
      <w:r w:rsidR="00BB7EB9" w:rsidRPr="004F7A5C">
        <w:t xml:space="preserve"> přeplatek z vyúčtování za energie a služby</w:t>
      </w:r>
      <w:r w:rsidR="00794056">
        <w:t>,</w:t>
      </w:r>
      <w:r w:rsidR="00BB7EB9" w:rsidRPr="004F7A5C">
        <w:t xml:space="preserve"> je třeba zvážit další postup s ohledem na jeho výši. Vždy je třeba porovnat výši přeplatku z vyúčtování s výší ONB. Pokud by jednorázové „umoření“ přeplatku z vyúčtování zapříčinilo snížení ONB v takové míře, že by následně došlo k </w:t>
      </w:r>
      <w:r w:rsidR="00BB7EB9" w:rsidRPr="0080033F">
        <w:t xml:space="preserve">odejmutí </w:t>
      </w:r>
      <w:r w:rsidR="0080033F">
        <w:t>DnB</w:t>
      </w:r>
      <w:r w:rsidR="00BB7EB9" w:rsidRPr="0080033F">
        <w:t>, doporučujeme „umořovat“ přeplatek z vyúčtování postupně.</w:t>
      </w:r>
      <w:r w:rsidR="005E2C8A" w:rsidRPr="0080033F">
        <w:t xml:space="preserve"> Jinak</w:t>
      </w:r>
      <w:r w:rsidR="007B0FA3" w:rsidRPr="0080033F">
        <w:t xml:space="preserve"> by totiž </w:t>
      </w:r>
      <w:r w:rsidR="005E2C8A" w:rsidRPr="0080033F">
        <w:t>dávka mohla</w:t>
      </w:r>
      <w:r w:rsidR="005E2C8A" w:rsidRPr="004F7A5C">
        <w:t xml:space="preserve"> být </w:t>
      </w:r>
      <w:r w:rsidR="007B0FA3" w:rsidRPr="004F7A5C">
        <w:t xml:space="preserve">v důsledku </w:t>
      </w:r>
      <w:r w:rsidR="00E82ED8" w:rsidRPr="004F7A5C">
        <w:t>jednorázového „umoření“ přeplatku</w:t>
      </w:r>
      <w:r w:rsidR="007B0FA3" w:rsidRPr="004F7A5C">
        <w:t xml:space="preserve"> odejmuta, přeplatek </w:t>
      </w:r>
      <w:r w:rsidR="00E82ED8" w:rsidRPr="004F7A5C">
        <w:t xml:space="preserve">by zanikl </w:t>
      </w:r>
      <w:r w:rsidR="0080033F">
        <w:br/>
      </w:r>
      <w:r w:rsidR="00E82ED8" w:rsidRPr="004F7A5C">
        <w:t>a v budoucnu</w:t>
      </w:r>
      <w:r w:rsidR="007B0FA3" w:rsidRPr="004F7A5C">
        <w:t xml:space="preserve"> by nebylo možné </w:t>
      </w:r>
      <w:r w:rsidR="00E82ED8" w:rsidRPr="004F7A5C">
        <w:t>ho</w:t>
      </w:r>
      <w:r w:rsidR="007B0FA3" w:rsidRPr="004F7A5C">
        <w:t xml:space="preserve"> po osobě vymáhat.</w:t>
      </w:r>
    </w:p>
    <w:p w:rsidR="00BB7EB9" w:rsidRPr="004F7A5C" w:rsidRDefault="00BB7EB9" w:rsidP="00BB7EB9"/>
    <w:p w:rsidR="00BB7EB9" w:rsidRDefault="00C65FFD" w:rsidP="00BB7EB9">
      <w:r w:rsidRPr="004F7A5C">
        <w:t>„Umořováním“ přeplatku</w:t>
      </w:r>
      <w:r w:rsidR="00BB7EB9" w:rsidRPr="004F7A5C">
        <w:t xml:space="preserve"> z vyúčtování za energie a služby se</w:t>
      </w:r>
      <w:r w:rsidRPr="004F7A5C">
        <w:t xml:space="preserve"> rozumí postupné snižování ONB. V praxi se bude jednat o to, že bude nezbytné </w:t>
      </w:r>
      <w:r w:rsidRPr="004F7A5C">
        <w:rPr>
          <w:b/>
        </w:rPr>
        <w:t>každý měsíc v aplikačním programu zadat částku z přeplatku z vyúčtování</w:t>
      </w:r>
      <w:r w:rsidRPr="004F7A5C">
        <w:t>, kterou orgán pomoci v hmotné nouzi vyhodnotí jako adekvátní částku, o kterou se v konkrétním měsíci sníží ONB. Každý následující měsíc je třeba tento postup opakovat a tím postupně snižovat vzniklý přeplatek z vyúčtování až do jeho úplného “umoření“.</w:t>
      </w:r>
    </w:p>
    <w:p w:rsidR="00E1704F" w:rsidRDefault="00E1704F" w:rsidP="00BB7EB9"/>
    <w:p w:rsidR="00E1704F" w:rsidRDefault="00E1704F" w:rsidP="00E1704F">
      <w:r>
        <w:t>Orgán pomoci v hmotné nouzi může, za užití správního uvážení, vyhodnotit, že sníží výši přeplatku z vyúčtování, kterou bude umořovat, případně, že přeplatek z vyúčtování umořovat nebude. Toto rozhodnutí může učinit i tehdy, pokud již začne přeplatek umořovat.</w:t>
      </w:r>
    </w:p>
    <w:p w:rsidR="00E1704F" w:rsidRDefault="00E1704F" w:rsidP="00E1704F"/>
    <w:p w:rsidR="00E1704F" w:rsidRDefault="00E1704F" w:rsidP="00E1704F">
      <w:r>
        <w:t xml:space="preserve">Zároveň orgán pomoci v hmotné nouzi rozhodne, zda začne umořovat přeplatek z vyúčtování bezprostředně po zjištění nebo zda umořování odloží (např. přeplatek z vyúčtování je vyhodnocen v měsíci červnu, k faktické výplatě přeplatku </w:t>
      </w:r>
      <w:r w:rsidR="00A001E9">
        <w:br/>
      </w:r>
      <w:r>
        <w:t>od dodavatele energie má dojít v měsíci červenci, k umořování snižováním ONB dojde od měsíce července).</w:t>
      </w:r>
    </w:p>
    <w:p w:rsidR="00E1704F" w:rsidRDefault="00E1704F" w:rsidP="00E1704F"/>
    <w:p w:rsidR="00E1704F" w:rsidRDefault="00E1704F" w:rsidP="00E1704F">
      <w:r>
        <w:lastRenderedPageBreak/>
        <w:t>Pakliže je umořování přeplatku z vyúčtování odloženo, informuje orgán pomoci v hmotné nouzi příjemce dávky, od jakého měsíce dojde k umořování přeplatku z</w:t>
      </w:r>
      <w:r w:rsidR="00C07E51">
        <w:t> </w:t>
      </w:r>
      <w:r>
        <w:t>vyúčtování</w:t>
      </w:r>
      <w:r w:rsidR="00C07E51">
        <w:t>,</w:t>
      </w:r>
      <w:r>
        <w:t xml:space="preserve"> a to formou zápisu do protokolu o ústním jednání dle ustanovení § 18 správního řádu nebo informačním dopisem.</w:t>
      </w:r>
    </w:p>
    <w:p w:rsidR="00E1704F" w:rsidRDefault="00E1704F" w:rsidP="00E1704F"/>
    <w:p w:rsidR="00E1704F" w:rsidRPr="004F7A5C" w:rsidRDefault="00E1704F" w:rsidP="00E1704F">
      <w:r>
        <w:t xml:space="preserve">V případě že začne orgán pomoci v hmotné nouzi umořovat přeplatek z vyúčtování bezprostředně po jeho zjištění, dochází k zahájení správního řízení z moci úřední </w:t>
      </w:r>
      <w:r w:rsidR="00D65F35">
        <w:br/>
      </w:r>
      <w:r>
        <w:t>ve věci změny výše dávky nebo odejmutí dávky</w:t>
      </w:r>
      <w:r w:rsidR="00C07E51">
        <w:t>,</w:t>
      </w:r>
      <w:r>
        <w:t xml:space="preserve"> a to dle ustanovení § 69 odst. 2 ZPHN a ustanovení § 46 odst. 1 správního řádu a následně k vydání rozhodnutí o snížení dávky nebo odejmutí dávky (za předpokladu, že jediným důvodem změny výše dávky či odejmutí dávky je snížení ONB na základě umořování vzniklého přeplatku z vyúčtování). Pokud změnu výše dávky případně odejmutí dávky ovlivní i jiné skutečnosti rozhodné pro nárok na dávku, její výši či výplatu, vede orgán pomoci v hmotné nouzi správní řízení ve věci, jehož součástí je i snížení ONB z důvodu umořování přeplatku z vyúčtování. Pokud je jediným důvodem pro snížení DnB umořování přeplatku z vyúčtování, nevyrozumívá se příjemce dávky o možnosti vyjádřit se k podkladům rozhodnutí, před jeho vydáním (užití ustanovení § 74 ZPHN) vzhledem k tomu, že podklady pro rozhodnutí předložil sám účastník řízení.</w:t>
      </w:r>
    </w:p>
    <w:p w:rsidR="00C65FFD" w:rsidRDefault="00C65FFD" w:rsidP="00BB7EB9"/>
    <w:p w:rsidR="00822085" w:rsidRPr="004F7A5C" w:rsidRDefault="00C65FFD" w:rsidP="00E7491B">
      <w:pPr>
        <w:pStyle w:val="Odstavecseseznamem"/>
        <w:numPr>
          <w:ilvl w:val="0"/>
          <w:numId w:val="6"/>
        </w:numPr>
        <w:spacing w:before="120"/>
        <w:rPr>
          <w:b/>
        </w:rPr>
      </w:pPr>
      <w:r w:rsidRPr="004F7A5C">
        <w:rPr>
          <w:b/>
        </w:rPr>
        <w:t>Vzájemné započtení doplatku a přeplatku z vyúčtování</w:t>
      </w:r>
    </w:p>
    <w:p w:rsidR="00DC63CD" w:rsidRPr="004F7A5C" w:rsidRDefault="00DC63CD" w:rsidP="001851BA">
      <w:pPr>
        <w:spacing w:before="120"/>
      </w:pPr>
      <w:r w:rsidRPr="004F7A5C">
        <w:t xml:space="preserve">Za předpokladu, že je vyčíslen doplatek z vyúčtování a zároveň i přeplatek z vyúčtování, </w:t>
      </w:r>
      <w:r w:rsidR="00B00FC5" w:rsidRPr="004F7A5C">
        <w:t>doporučuje</w:t>
      </w:r>
      <w:r w:rsidR="006171F0">
        <w:t xml:space="preserve"> se</w:t>
      </w:r>
      <w:r w:rsidRPr="004F7A5C">
        <w:t xml:space="preserve"> tyto částky vzájemně započítat s tím,</w:t>
      </w:r>
      <w:r w:rsidR="00B00FC5" w:rsidRPr="004F7A5C">
        <w:t xml:space="preserve"> že se navzájem </w:t>
      </w:r>
      <w:r w:rsidR="00D233F5" w:rsidRPr="004F7A5C">
        <w:t>zruší</w:t>
      </w:r>
      <w:r w:rsidR="00B00FC5" w:rsidRPr="004F7A5C">
        <w:t xml:space="preserve"> („</w:t>
      </w:r>
      <w:r w:rsidR="00D233F5" w:rsidRPr="004F7A5C">
        <w:t>pohltí</w:t>
      </w:r>
      <w:r w:rsidR="00B00FC5" w:rsidRPr="004F7A5C">
        <w:t>“). V případě, že obě částky nebudou ve stejné výši, aby výsledkem byla nula, vždy zůstane u jedné položky částka, se kterou bude nutné se dále</w:t>
      </w:r>
      <w:r w:rsidRPr="004F7A5C">
        <w:t xml:space="preserve"> </w:t>
      </w:r>
      <w:r w:rsidR="00B00FC5" w:rsidRPr="004F7A5C">
        <w:t>vypořádat.</w:t>
      </w:r>
    </w:p>
    <w:p w:rsidR="00B00FC5" w:rsidRPr="004F7A5C" w:rsidRDefault="00B00FC5" w:rsidP="00864490"/>
    <w:p w:rsidR="00DC63CD" w:rsidRPr="004F7A5C" w:rsidRDefault="00B00FC5" w:rsidP="00864490">
      <w:r w:rsidRPr="004F7A5C">
        <w:t xml:space="preserve">Jestliže </w:t>
      </w:r>
      <w:r w:rsidR="005E2C8A" w:rsidRPr="004F7A5C">
        <w:t xml:space="preserve">po vzájemném započtení doplatku a přeplatku z vyúčtování </w:t>
      </w:r>
      <w:r w:rsidRPr="004F7A5C">
        <w:t xml:space="preserve">zůstane přeplatek z vyúčtování v určité výši, je zapotřebí postupovat dle </w:t>
      </w:r>
      <w:r w:rsidRPr="004F7A5C">
        <w:rPr>
          <w:b/>
        </w:rPr>
        <w:t>„umořování přeplatku z vyúčtování“</w:t>
      </w:r>
      <w:r w:rsidRPr="004F7A5C">
        <w:t>. Bude-li se jednat o zůstatek na straně doplatku z vyúčtování, bude doplatek z vyúčtování vyplacen příjemci dávky.</w:t>
      </w:r>
    </w:p>
    <w:p w:rsidR="00020D8E" w:rsidRDefault="00020D8E" w:rsidP="00864490">
      <w:pPr>
        <w:rPr>
          <w:b/>
        </w:rPr>
      </w:pPr>
    </w:p>
    <w:p w:rsidR="003C5AC0" w:rsidRPr="003C5AC0" w:rsidRDefault="003C5AC0" w:rsidP="00E7491B">
      <w:pPr>
        <w:pStyle w:val="Odstavecseseznamem"/>
        <w:numPr>
          <w:ilvl w:val="0"/>
          <w:numId w:val="6"/>
        </w:numPr>
        <w:spacing w:before="120"/>
        <w:rPr>
          <w:b/>
        </w:rPr>
      </w:pPr>
      <w:r>
        <w:rPr>
          <w:b/>
        </w:rPr>
        <w:t>Doplatek z vyúčtování</w:t>
      </w:r>
    </w:p>
    <w:p w:rsidR="003C5AC0" w:rsidRDefault="003C5AC0" w:rsidP="003C5AC0">
      <w:pPr>
        <w:spacing w:before="120"/>
      </w:pPr>
      <w:r>
        <w:t xml:space="preserve">Pakliže je vyčíslen doplatek z vyúčtování, orgán pomoci v hmotné nouzi zahájí správní řízení z moci úřední dle ustanovení § 69 odst. 2 ZPHN a ustanovení § 46 odst. 1 správního řádu a následně vydá oznámení o doplatku k dávce. Příjemce dávky </w:t>
      </w:r>
      <w:r w:rsidR="00335D18">
        <w:br/>
      </w:r>
      <w:r>
        <w:t>se nevyrozumívá o možnosti vyjádřit se k podkladům rozhodnutí před jeho vydáním (užití ustanovení § 74 ZPHN) vzhledem k tomu, že podklady pro rozhodnutí předložil sám účastník řízení.</w:t>
      </w:r>
    </w:p>
    <w:p w:rsidR="003C5AC0" w:rsidRDefault="003C5AC0" w:rsidP="003C5AC0">
      <w:pPr>
        <w:rPr>
          <w:color w:val="FF0000"/>
        </w:rPr>
      </w:pPr>
    </w:p>
    <w:p w:rsidR="003C5AC0" w:rsidRDefault="003C5AC0" w:rsidP="003C5AC0">
      <w:r w:rsidRPr="00E60A32">
        <w:t xml:space="preserve">V praxi budou nastávat situace, kdy dojde k přeplatku z vyúčtování, který bude postupně umořován snižováním ONB. Před jeho úplným umořením dojde k vyhodnocení doplatku z jiného vyúčtování. Doporučuje se vzniklý doplatek </w:t>
      </w:r>
      <w:r w:rsidRPr="00E60A32">
        <w:lastRenderedPageBreak/>
        <w:t xml:space="preserve">z vyúčtování použít </w:t>
      </w:r>
      <w:r w:rsidRPr="004F7A5C">
        <w:t xml:space="preserve">ke vzájemnému zápočtu </w:t>
      </w:r>
      <w:r>
        <w:t>s neumořeným zůstatkem z</w:t>
      </w:r>
      <w:r w:rsidRPr="004F7A5C">
        <w:t xml:space="preserve"> přeplatk</w:t>
      </w:r>
      <w:r>
        <w:t>u</w:t>
      </w:r>
      <w:r w:rsidRPr="004F7A5C">
        <w:t xml:space="preserve"> z</w:t>
      </w:r>
      <w:r>
        <w:t> </w:t>
      </w:r>
      <w:r w:rsidRPr="004F7A5C">
        <w:t>vyúčtování</w:t>
      </w:r>
      <w:r>
        <w:t>.</w:t>
      </w:r>
      <w:r w:rsidRPr="004F7A5C">
        <w:t xml:space="preserve"> </w:t>
      </w:r>
    </w:p>
    <w:p w:rsidR="003C5AC0" w:rsidRDefault="003C5AC0" w:rsidP="003C5AC0">
      <w:pPr>
        <w:rPr>
          <w:color w:val="FF0000"/>
        </w:rPr>
      </w:pPr>
      <w:r w:rsidRPr="004F7A5C">
        <w:br/>
      </w:r>
      <w:r>
        <w:t xml:space="preserve">Pokud i po vzájemném zápočtu bude výsledkem doplatek k dávce, je doplatek </w:t>
      </w:r>
      <w:r w:rsidR="00335D18">
        <w:br/>
      </w:r>
      <w:r>
        <w:t>z vyúčtování vyplacen (oznámení o doplatku k dávce).</w:t>
      </w:r>
    </w:p>
    <w:p w:rsidR="00F15920" w:rsidRDefault="00F15920" w:rsidP="00864490"/>
    <w:p w:rsidR="00035508" w:rsidRDefault="00035508" w:rsidP="00864490"/>
    <w:p w:rsidR="00EE0095" w:rsidRDefault="00EE0095" w:rsidP="005029E1">
      <w:pPr>
        <w:pStyle w:val="Nadpis1"/>
        <w:spacing w:line="276" w:lineRule="auto"/>
      </w:pPr>
      <w:bookmarkStart w:id="27" w:name="_Toc25833352"/>
      <w:r>
        <w:t>Článek IV.</w:t>
      </w:r>
      <w:bookmarkEnd w:id="27"/>
    </w:p>
    <w:p w:rsidR="007D236F" w:rsidRPr="007D236F" w:rsidRDefault="007D236F" w:rsidP="007D236F"/>
    <w:p w:rsidR="00EE0095" w:rsidRDefault="00EE0095" w:rsidP="005029E1">
      <w:pPr>
        <w:pStyle w:val="Nadpis2"/>
        <w:spacing w:line="276" w:lineRule="auto"/>
      </w:pPr>
      <w:bookmarkStart w:id="28" w:name="_Toc25833353"/>
      <w:r>
        <w:t>ONB u části bytu užívanými osobami, které nejsou společně posuzované</w:t>
      </w:r>
      <w:bookmarkEnd w:id="28"/>
    </w:p>
    <w:p w:rsidR="00D233F5" w:rsidRDefault="00D233F5" w:rsidP="005029E1">
      <w:pPr>
        <w:rPr>
          <w:rFonts w:cs="Arial"/>
          <w:szCs w:val="24"/>
        </w:rPr>
      </w:pPr>
    </w:p>
    <w:p w:rsidR="00D57773" w:rsidRPr="00816A72" w:rsidRDefault="00EE0095" w:rsidP="00035508">
      <w:pPr>
        <w:rPr>
          <w:rFonts w:cs="Arial"/>
          <w:szCs w:val="24"/>
        </w:rPr>
      </w:pPr>
      <w:r w:rsidRPr="00816A72">
        <w:rPr>
          <w:rFonts w:cs="Arial"/>
          <w:szCs w:val="24"/>
        </w:rPr>
        <w:t>Vedle jednotlivých položek ONB</w:t>
      </w:r>
      <w:r w:rsidR="00D233F5" w:rsidRPr="00816A72">
        <w:rPr>
          <w:rFonts w:cs="Arial"/>
          <w:szCs w:val="24"/>
        </w:rPr>
        <w:t xml:space="preserve"> (nájemné a obdobné náklady, </w:t>
      </w:r>
      <w:r w:rsidRPr="00816A72">
        <w:rPr>
          <w:rFonts w:cs="Arial"/>
          <w:szCs w:val="24"/>
        </w:rPr>
        <w:t xml:space="preserve">služby spojené s užíváním </w:t>
      </w:r>
      <w:r w:rsidR="00D233F5" w:rsidRPr="00816A72">
        <w:rPr>
          <w:rFonts w:cs="Arial"/>
          <w:szCs w:val="24"/>
        </w:rPr>
        <w:t xml:space="preserve">bytu a </w:t>
      </w:r>
      <w:r w:rsidRPr="00816A72">
        <w:rPr>
          <w:rFonts w:cs="Arial"/>
          <w:szCs w:val="24"/>
        </w:rPr>
        <w:t xml:space="preserve">energie) ovlivňuje </w:t>
      </w:r>
      <w:r w:rsidR="00D233F5" w:rsidRPr="00816A72">
        <w:rPr>
          <w:rFonts w:cs="Arial"/>
          <w:szCs w:val="24"/>
        </w:rPr>
        <w:t xml:space="preserve">jeho </w:t>
      </w:r>
      <w:r w:rsidRPr="00816A72">
        <w:rPr>
          <w:rFonts w:cs="Arial"/>
          <w:szCs w:val="24"/>
        </w:rPr>
        <w:t xml:space="preserve">konečnou výši skutečnost, zda </w:t>
      </w:r>
      <w:r w:rsidRPr="00816A72">
        <w:rPr>
          <w:rFonts w:cs="Arial"/>
          <w:b/>
          <w:szCs w:val="24"/>
        </w:rPr>
        <w:t>byt, jiný než obytný prostor a ubytovací zařízení</w:t>
      </w:r>
      <w:r w:rsidRPr="00816A72">
        <w:rPr>
          <w:rFonts w:cs="Arial"/>
          <w:szCs w:val="24"/>
        </w:rPr>
        <w:t xml:space="preserve"> společně se žadatelem o dávku (příjemcem dávky) užívají další osoby</w:t>
      </w:r>
      <w:r w:rsidR="00D233F5" w:rsidRPr="00816A72">
        <w:rPr>
          <w:rFonts w:cs="Arial"/>
          <w:szCs w:val="24"/>
        </w:rPr>
        <w:t>, které s ním však nejsou společně posuzované (§ 8 odst. 3 až 6 ZPHN)</w:t>
      </w:r>
      <w:r w:rsidRPr="00816A72">
        <w:rPr>
          <w:rFonts w:cs="Arial"/>
          <w:szCs w:val="24"/>
        </w:rPr>
        <w:t xml:space="preserve">. </w:t>
      </w:r>
      <w:r w:rsidR="00D233F5" w:rsidRPr="00816A72">
        <w:rPr>
          <w:rFonts w:cs="Arial"/>
          <w:szCs w:val="24"/>
        </w:rPr>
        <w:t>V tomto případě se</w:t>
      </w:r>
      <w:r w:rsidRPr="00816A72">
        <w:rPr>
          <w:rFonts w:cs="Arial"/>
          <w:szCs w:val="24"/>
        </w:rPr>
        <w:t xml:space="preserve"> určí výše ONB </w:t>
      </w:r>
      <w:r w:rsidRPr="00816A72">
        <w:rPr>
          <w:rFonts w:cs="Arial"/>
          <w:b/>
          <w:szCs w:val="24"/>
        </w:rPr>
        <w:t>podílem všech</w:t>
      </w:r>
      <w:r w:rsidRPr="00816A72">
        <w:rPr>
          <w:rFonts w:cs="Arial"/>
          <w:szCs w:val="24"/>
        </w:rPr>
        <w:t xml:space="preserve"> </w:t>
      </w:r>
      <w:r w:rsidRPr="00816A72">
        <w:rPr>
          <w:rFonts w:cs="Arial"/>
          <w:b/>
          <w:szCs w:val="24"/>
        </w:rPr>
        <w:t>osob</w:t>
      </w:r>
      <w:r w:rsidRPr="00816A72">
        <w:rPr>
          <w:rFonts w:cs="Arial"/>
          <w:szCs w:val="24"/>
        </w:rPr>
        <w:t xml:space="preserve"> užívajících tentýž byt, jiný než obytný prostor nebo ubytovací zařízení, jako kdyby byly tyto osoby společně posuzované, a to bez ohledu na to, jestli tyto osoby o dávku žádají. </w:t>
      </w:r>
    </w:p>
    <w:p w:rsidR="00E943A6" w:rsidRPr="00816A72" w:rsidRDefault="00E943A6" w:rsidP="00D57773">
      <w:pPr>
        <w:widowControl w:val="0"/>
        <w:autoSpaceDE w:val="0"/>
        <w:autoSpaceDN w:val="0"/>
        <w:adjustRightInd w:val="0"/>
        <w:rPr>
          <w:rFonts w:cs="Arial"/>
          <w:szCs w:val="24"/>
        </w:rPr>
      </w:pPr>
    </w:p>
    <w:p w:rsidR="00D57773" w:rsidRPr="00816A72" w:rsidRDefault="00D57773" w:rsidP="00D57773">
      <w:pPr>
        <w:widowControl w:val="0"/>
        <w:autoSpaceDE w:val="0"/>
        <w:autoSpaceDN w:val="0"/>
        <w:adjustRightInd w:val="0"/>
        <w:rPr>
          <w:rFonts w:cs="Arial"/>
          <w:szCs w:val="24"/>
        </w:rPr>
      </w:pPr>
      <w:r w:rsidRPr="00816A72">
        <w:rPr>
          <w:rFonts w:cs="Arial"/>
          <w:szCs w:val="24"/>
        </w:rPr>
        <w:t xml:space="preserve">V praxi se nejdříve určí skutečné náklady na bydlení za celý byt, jiný než obytný prostor nebo místnost v ubytovacím zařízení (skutečné náklady na bydlení tvoří součet jednotlivých nákladů na bydlení za všechny osoby, které fakticky hradí v tom jednom </w:t>
      </w:r>
      <w:r w:rsidR="00896C04">
        <w:rPr>
          <w:rFonts w:cs="Arial"/>
          <w:szCs w:val="24"/>
        </w:rPr>
        <w:t>b</w:t>
      </w:r>
      <w:r w:rsidRPr="00816A72">
        <w:rPr>
          <w:rFonts w:cs="Arial"/>
          <w:szCs w:val="24"/>
        </w:rPr>
        <w:t xml:space="preserve">ytě, jiném než obytném prostoru nebo v místnosti v ubytovacím zařízení). Poté se zjistí, zdali jsou tyto skutečné náklady na bydlení ONB podle § 34 ZPHN (viz kapitoly výše). V konečné fázi se ONB za ten celý jeden byt, jeden jiný než obytný prostor nebo jednu místnost v ubytovacím zařízení rozpočtou stejným poměrem na jednotlivé osoby (bez ohledu na počet okruhů společně posuzovaných osob). </w:t>
      </w:r>
    </w:p>
    <w:p w:rsidR="00D57773" w:rsidRPr="00816A72" w:rsidRDefault="00D57773" w:rsidP="00D57773">
      <w:pPr>
        <w:widowControl w:val="0"/>
        <w:autoSpaceDE w:val="0"/>
        <w:autoSpaceDN w:val="0"/>
        <w:adjustRightInd w:val="0"/>
        <w:rPr>
          <w:rFonts w:cs="Arial"/>
          <w:szCs w:val="24"/>
        </w:rPr>
      </w:pPr>
    </w:p>
    <w:p w:rsidR="00D57773" w:rsidRPr="00816A72" w:rsidRDefault="00D57773" w:rsidP="00EF4269">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jc w:val="center"/>
        <w:rPr>
          <w:rFonts w:cs="Arial"/>
          <w:szCs w:val="24"/>
        </w:rPr>
      </w:pPr>
      <w:r w:rsidRPr="00816A72">
        <w:rPr>
          <w:rFonts w:cs="Arial"/>
          <w:b/>
          <w:bCs/>
          <w:szCs w:val="24"/>
        </w:rPr>
        <w:t>ONB = ONB(celý byt) * Po</w:t>
      </w:r>
      <w:r w:rsidR="00896C04">
        <w:rPr>
          <w:rFonts w:cs="Arial"/>
          <w:b/>
          <w:bCs/>
          <w:szCs w:val="24"/>
        </w:rPr>
        <w:t xml:space="preserve">čet společně posuzovaných osob </w:t>
      </w:r>
      <w:r w:rsidRPr="00816A72">
        <w:rPr>
          <w:rFonts w:cs="Arial"/>
          <w:b/>
          <w:bCs/>
          <w:szCs w:val="24"/>
        </w:rPr>
        <w:t>/ Počet všech osob užívajících byt</w:t>
      </w:r>
    </w:p>
    <w:p w:rsidR="005029E1" w:rsidRPr="00816A72" w:rsidRDefault="005029E1" w:rsidP="005029E1">
      <w:pPr>
        <w:pBdr>
          <w:top w:val="single" w:sz="4" w:space="1" w:color="auto"/>
          <w:left w:val="single" w:sz="4" w:space="1" w:color="auto"/>
          <w:bottom w:val="single" w:sz="4" w:space="1" w:color="auto"/>
          <w:right w:val="single" w:sz="4" w:space="1" w:color="auto"/>
        </w:pBdr>
        <w:shd w:val="clear" w:color="auto" w:fill="BDD6EE" w:themeFill="accent1" w:themeFillTint="66"/>
        <w:rPr>
          <w:b/>
          <w:i/>
          <w:szCs w:val="24"/>
        </w:rPr>
      </w:pPr>
      <w:r w:rsidRPr="00816A72">
        <w:rPr>
          <w:b/>
          <w:i/>
          <w:szCs w:val="24"/>
        </w:rPr>
        <w:t xml:space="preserve">Příklad: </w:t>
      </w:r>
    </w:p>
    <w:p w:rsidR="002D7AA9" w:rsidRPr="00816A72" w:rsidRDefault="005029E1"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V bytě žijí 3 osoby</w:t>
      </w:r>
      <w:r w:rsidR="002D7AA9" w:rsidRPr="00816A72">
        <w:rPr>
          <w:i/>
          <w:szCs w:val="24"/>
        </w:rPr>
        <w:t xml:space="preserve"> užívající jeho části na základě nájemní smlouvy </w:t>
      </w:r>
    </w:p>
    <w:p w:rsidR="005029E1" w:rsidRPr="00816A72" w:rsidRDefault="005029E1"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1 osoba žádá o dávku a zbylé 2 osoby nežádají o dávku</w:t>
      </w:r>
      <w:r w:rsidR="002D7AA9" w:rsidRPr="00816A72">
        <w:rPr>
          <w:i/>
          <w:szCs w:val="24"/>
        </w:rPr>
        <w:t xml:space="preserve">. </w:t>
      </w:r>
    </w:p>
    <w:p w:rsidR="002D7AA9" w:rsidRPr="00816A72" w:rsidRDefault="002D7AA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 xml:space="preserve">Skutečné náklady pro každou osobu jsou známy a jsou ve výši 5 000 Kč (dohromady za celý byt 15 000 Kč = 3 * 5 000). </w:t>
      </w:r>
    </w:p>
    <w:p w:rsidR="002D7AA9" w:rsidRPr="00816A72" w:rsidRDefault="002D7AA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 xml:space="preserve">ÚP ČR zjistil, že ONB za obdobný byt je v celkové výši 10 000 Kč. </w:t>
      </w:r>
    </w:p>
    <w:p w:rsidR="002D7AA9" w:rsidRPr="00816A72" w:rsidRDefault="002D7AA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p>
    <w:p w:rsidR="002D7AA9" w:rsidRPr="00816A72" w:rsidRDefault="002D7AA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 xml:space="preserve">Výpočet ONB pro tu 1 osobu, která žádá: </w:t>
      </w:r>
    </w:p>
    <w:p w:rsidR="002D7AA9" w:rsidRPr="00816A72" w:rsidRDefault="002D7AA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p>
    <w:p w:rsidR="002D7AA9" w:rsidRPr="00816A72" w:rsidRDefault="002D7AA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ONB = ONB(celý byt) * Počet SPO / Počet všech osob užívajících byt</w:t>
      </w:r>
    </w:p>
    <w:p w:rsidR="002D7AA9" w:rsidRPr="00816A72" w:rsidRDefault="002D7AA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 xml:space="preserve">ONB = 10 000 * 1 / 3 </w:t>
      </w:r>
    </w:p>
    <w:p w:rsidR="002D7AA9" w:rsidRPr="00816A72" w:rsidRDefault="002D7AA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lastRenderedPageBreak/>
        <w:t>ONB = 3 333 Kč</w:t>
      </w:r>
    </w:p>
    <w:p w:rsidR="002D7AA9" w:rsidRPr="00816A72" w:rsidRDefault="002D7AA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p>
    <w:p w:rsidR="002D7AA9" w:rsidRPr="00816A72" w:rsidRDefault="002D7AA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 xml:space="preserve">ÚP ČR uzná této osobě jako ONB částku 3 333 Kč. </w:t>
      </w:r>
    </w:p>
    <w:p w:rsidR="008B5C9B" w:rsidRPr="00816A72" w:rsidRDefault="008B5C9B" w:rsidP="008B5C9B">
      <w:pPr>
        <w:widowControl w:val="0"/>
        <w:autoSpaceDE w:val="0"/>
        <w:autoSpaceDN w:val="0"/>
        <w:adjustRightInd w:val="0"/>
        <w:rPr>
          <w:rFonts w:cs="Arial"/>
          <w:szCs w:val="24"/>
        </w:rPr>
      </w:pPr>
    </w:p>
    <w:p w:rsidR="008B5C9B" w:rsidRPr="00816A72" w:rsidRDefault="008B5C9B" w:rsidP="008B5C9B">
      <w:pPr>
        <w:widowControl w:val="0"/>
        <w:autoSpaceDE w:val="0"/>
        <w:autoSpaceDN w:val="0"/>
        <w:adjustRightInd w:val="0"/>
        <w:spacing w:line="240" w:lineRule="auto"/>
        <w:rPr>
          <w:rFonts w:cs="Arial"/>
          <w:szCs w:val="24"/>
        </w:rPr>
      </w:pPr>
      <w:r w:rsidRPr="00816A72">
        <w:rPr>
          <w:rFonts w:cs="Arial"/>
          <w:szCs w:val="24"/>
        </w:rPr>
        <w:t>Jestliže není možné zjistit celkové skutečné náklady na bydlení pro celý byt, jiný než obytný prostor nebo jednu místnost v ubytovacím zařízení, stanovuje se výše ONB podle obvyklých nákladů na bydlení ze srovnatelného bytu, ze srovnatelného jiného než obytného prostoru nebo ze srovnatelného ubytovacího zařízení nacházející</w:t>
      </w:r>
      <w:r w:rsidR="00106115">
        <w:rPr>
          <w:rFonts w:cs="Arial"/>
          <w:szCs w:val="24"/>
        </w:rPr>
        <w:t>ho</w:t>
      </w:r>
      <w:r w:rsidRPr="00816A72">
        <w:rPr>
          <w:rFonts w:cs="Arial"/>
          <w:szCs w:val="24"/>
        </w:rPr>
        <w:t xml:space="preserve"> </w:t>
      </w:r>
      <w:r w:rsidR="000629DE" w:rsidRPr="00816A72">
        <w:rPr>
          <w:rFonts w:cs="Arial"/>
          <w:szCs w:val="24"/>
        </w:rPr>
        <w:br/>
      </w:r>
      <w:r w:rsidRPr="00816A72">
        <w:rPr>
          <w:rFonts w:cs="Arial"/>
          <w:szCs w:val="24"/>
        </w:rPr>
        <w:t xml:space="preserve">se v dané obci. </w:t>
      </w:r>
    </w:p>
    <w:p w:rsidR="000629DE" w:rsidRPr="00816A72" w:rsidRDefault="000629DE" w:rsidP="008B5C9B">
      <w:pPr>
        <w:widowControl w:val="0"/>
        <w:autoSpaceDE w:val="0"/>
        <w:autoSpaceDN w:val="0"/>
        <w:adjustRightInd w:val="0"/>
        <w:spacing w:line="240" w:lineRule="auto"/>
        <w:rPr>
          <w:rFonts w:cs="Arial"/>
          <w:szCs w:val="24"/>
        </w:rPr>
      </w:pPr>
    </w:p>
    <w:p w:rsidR="000629DE" w:rsidRPr="00816A72" w:rsidRDefault="000629DE" w:rsidP="000629DE">
      <w:pPr>
        <w:widowControl w:val="0"/>
        <w:autoSpaceDE w:val="0"/>
        <w:autoSpaceDN w:val="0"/>
        <w:adjustRightInd w:val="0"/>
        <w:spacing w:after="160"/>
        <w:rPr>
          <w:rFonts w:cs="Arial"/>
          <w:szCs w:val="24"/>
        </w:rPr>
      </w:pPr>
      <w:r w:rsidRPr="00816A72">
        <w:rPr>
          <w:rFonts w:cs="Arial"/>
          <w:szCs w:val="24"/>
        </w:rPr>
        <w:t xml:space="preserve">Pokud se </w:t>
      </w:r>
      <w:r w:rsidR="00ED5524" w:rsidRPr="00816A72">
        <w:rPr>
          <w:rFonts w:cs="Arial"/>
          <w:szCs w:val="24"/>
        </w:rPr>
        <w:t>srovnatelný</w:t>
      </w:r>
      <w:r w:rsidRPr="00816A72">
        <w:rPr>
          <w:rFonts w:cs="Arial"/>
          <w:szCs w:val="24"/>
        </w:rPr>
        <w:t xml:space="preserve"> byt, jiný než obytný prostor nebo ubytovací zařízení v dané obci nenachází, vychází se při určení výše ONB:</w:t>
      </w:r>
    </w:p>
    <w:p w:rsidR="000629DE" w:rsidRPr="00816A72" w:rsidRDefault="000629DE" w:rsidP="000629DE">
      <w:pPr>
        <w:pStyle w:val="Odstavecseseznamem"/>
        <w:widowControl w:val="0"/>
        <w:numPr>
          <w:ilvl w:val="0"/>
          <w:numId w:val="30"/>
        </w:numPr>
        <w:autoSpaceDE w:val="0"/>
        <w:autoSpaceDN w:val="0"/>
        <w:adjustRightInd w:val="0"/>
        <w:spacing w:after="160"/>
        <w:rPr>
          <w:rFonts w:cs="Arial"/>
          <w:szCs w:val="24"/>
        </w:rPr>
      </w:pPr>
      <w:r w:rsidRPr="00816A72">
        <w:rPr>
          <w:rFonts w:cs="Arial"/>
          <w:b/>
          <w:szCs w:val="24"/>
        </w:rPr>
        <w:t>u bytu z normativních nákladů na bydlení</w:t>
      </w:r>
      <w:r w:rsidRPr="00816A72">
        <w:rPr>
          <w:rFonts w:cs="Arial"/>
          <w:szCs w:val="24"/>
        </w:rPr>
        <w:t xml:space="preserve"> podle ustanovení § 26 zákona o státní sociální podpoře (to znamená u nájemního bydlení z normativních nákladů na bydlení pro nájemní byty, u vlastnického nebo družstevního bydlení z normativních nákladů na bydlení pro vlastnické </w:t>
      </w:r>
      <w:r w:rsidRPr="00816A72">
        <w:rPr>
          <w:rFonts w:cs="Arial"/>
          <w:szCs w:val="24"/>
        </w:rPr>
        <w:br/>
        <w:t xml:space="preserve">a družstevní byty), </w:t>
      </w:r>
    </w:p>
    <w:p w:rsidR="000629DE" w:rsidRPr="00816A72" w:rsidRDefault="000629DE" w:rsidP="000629DE">
      <w:pPr>
        <w:pStyle w:val="Odstavecseseznamem"/>
        <w:widowControl w:val="0"/>
        <w:numPr>
          <w:ilvl w:val="0"/>
          <w:numId w:val="30"/>
        </w:numPr>
        <w:autoSpaceDE w:val="0"/>
        <w:autoSpaceDN w:val="0"/>
        <w:adjustRightInd w:val="0"/>
        <w:spacing w:after="160"/>
        <w:rPr>
          <w:rFonts w:cs="Arial"/>
          <w:szCs w:val="24"/>
        </w:rPr>
      </w:pPr>
      <w:r w:rsidRPr="00816A72">
        <w:rPr>
          <w:rFonts w:cs="Arial"/>
          <w:b/>
          <w:szCs w:val="24"/>
        </w:rPr>
        <w:t xml:space="preserve">u jiného než obytného prostoru nebo ubytovacího zařízení z 80 % </w:t>
      </w:r>
      <w:r w:rsidRPr="00816A72">
        <w:rPr>
          <w:rFonts w:cs="Arial"/>
          <w:szCs w:val="24"/>
        </w:rPr>
        <w:t xml:space="preserve">normativních nákladů na bydlení pro nájemní byty. </w:t>
      </w:r>
    </w:p>
    <w:p w:rsidR="005029E1" w:rsidRPr="00816A72" w:rsidRDefault="000629DE" w:rsidP="005029E1">
      <w:pPr>
        <w:spacing w:after="160" w:line="259" w:lineRule="auto"/>
        <w:rPr>
          <w:rFonts w:cs="Arial"/>
          <w:b/>
          <w:szCs w:val="24"/>
        </w:rPr>
      </w:pPr>
      <w:r w:rsidRPr="00816A72">
        <w:rPr>
          <w:rFonts w:cs="Arial"/>
          <w:b/>
          <w:szCs w:val="24"/>
        </w:rPr>
        <w:t xml:space="preserve">Jestliže je skutečná výše nákladů na bydlení nižší než částka </w:t>
      </w:r>
      <w:r w:rsidR="00EE3CCE" w:rsidRPr="00816A72">
        <w:rPr>
          <w:rFonts w:cs="Arial"/>
          <w:b/>
          <w:szCs w:val="24"/>
        </w:rPr>
        <w:t xml:space="preserve">ONB </w:t>
      </w:r>
      <w:r w:rsidRPr="00816A72">
        <w:rPr>
          <w:rFonts w:cs="Arial"/>
          <w:b/>
          <w:szCs w:val="24"/>
        </w:rPr>
        <w:t>určená výše uvedenými výpočty, je za ONB považována skutečná výše nákladů na bydlení.</w:t>
      </w:r>
      <w:r w:rsidR="005029E1" w:rsidRPr="00816A72">
        <w:rPr>
          <w:rFonts w:cs="Arial"/>
          <w:b/>
          <w:szCs w:val="24"/>
        </w:rPr>
        <w:t xml:space="preserve"> Výše uvedené rozpočítávání se neužívá u stanovení výše ONB u pobytových sociálních služeb vyjmenovaných v ustanovení § 33 odst. 6 ZPHN. </w:t>
      </w:r>
    </w:p>
    <w:p w:rsidR="000D6F9D" w:rsidRPr="00816A72" w:rsidRDefault="00B63622" w:rsidP="00816A72">
      <w:pPr>
        <w:widowControl w:val="0"/>
        <w:autoSpaceDE w:val="0"/>
        <w:autoSpaceDN w:val="0"/>
        <w:adjustRightInd w:val="0"/>
        <w:rPr>
          <w:rFonts w:cs="Arial"/>
          <w:szCs w:val="24"/>
        </w:rPr>
      </w:pPr>
      <w:r w:rsidRPr="00816A72">
        <w:rPr>
          <w:rFonts w:cs="Arial"/>
          <w:szCs w:val="24"/>
        </w:rPr>
        <w:t xml:space="preserve">Při stanovení a následném rozpočítávání ONB nelze směšovat vícero forem bydlení, např. vlastnické a nájemní. Vždy záleží na skutečnosti, jakou formu bydlení osoba (společně posuzované osoby) užívá a pro tuto formu se ONB určují. Pokud by např. </w:t>
      </w:r>
      <w:r w:rsidRPr="00816A72">
        <w:rPr>
          <w:rFonts w:cs="Arial"/>
          <w:szCs w:val="24"/>
        </w:rPr>
        <w:br/>
        <w:t xml:space="preserve">v jednom bytě užívalo více osob (více žadatelů o dávku) více forem bydlení, zjišťovaly by se ONB vždy podle formy bydlení, kterou užívá určitý žadatel, a s ním společně posuzované osoby a následně by se tyto náklady rozpočítaly v poměru ostatních osob (i když ty užívají jinou formu bydlení). </w:t>
      </w:r>
    </w:p>
    <w:p w:rsidR="00816A72" w:rsidRPr="00816A72" w:rsidRDefault="00816A72" w:rsidP="00816A72">
      <w:pPr>
        <w:widowControl w:val="0"/>
        <w:autoSpaceDE w:val="0"/>
        <w:autoSpaceDN w:val="0"/>
        <w:adjustRightInd w:val="0"/>
        <w:rPr>
          <w:rFonts w:cs="Arial"/>
          <w:szCs w:val="24"/>
        </w:rPr>
      </w:pPr>
    </w:p>
    <w:p w:rsidR="005029E1" w:rsidRPr="00816A72" w:rsidRDefault="005029E1" w:rsidP="005029E1">
      <w:pPr>
        <w:pBdr>
          <w:top w:val="single" w:sz="4" w:space="1" w:color="auto"/>
          <w:left w:val="single" w:sz="4" w:space="1" w:color="auto"/>
          <w:bottom w:val="single" w:sz="4" w:space="1" w:color="auto"/>
          <w:right w:val="single" w:sz="4" w:space="1" w:color="auto"/>
        </w:pBdr>
        <w:shd w:val="clear" w:color="auto" w:fill="BDD6EE" w:themeFill="accent1" w:themeFillTint="66"/>
        <w:rPr>
          <w:b/>
          <w:i/>
          <w:szCs w:val="24"/>
        </w:rPr>
      </w:pPr>
      <w:r w:rsidRPr="00816A72">
        <w:rPr>
          <w:b/>
          <w:i/>
          <w:szCs w:val="24"/>
        </w:rPr>
        <w:t xml:space="preserve">Příklad: </w:t>
      </w:r>
    </w:p>
    <w:p w:rsidR="005029E1" w:rsidRPr="00816A72" w:rsidRDefault="005029E1"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 xml:space="preserve">V bytě žijí </w:t>
      </w:r>
      <w:r w:rsidR="00B63622" w:rsidRPr="00816A72">
        <w:rPr>
          <w:i/>
          <w:szCs w:val="24"/>
        </w:rPr>
        <w:t xml:space="preserve">2 osoby, vlastník a nájemce části bytu a nejsou osobami společně posuzovanými. Oba dva žádají o dávku. </w:t>
      </w:r>
    </w:p>
    <w:p w:rsidR="00816A72" w:rsidRPr="00816A72" w:rsidRDefault="00816A72" w:rsidP="005029E1">
      <w:pPr>
        <w:pBdr>
          <w:top w:val="single" w:sz="4" w:space="1" w:color="auto"/>
          <w:left w:val="single" w:sz="4" w:space="1" w:color="auto"/>
          <w:bottom w:val="single" w:sz="4" w:space="1" w:color="auto"/>
          <w:right w:val="single" w:sz="4" w:space="1" w:color="auto"/>
        </w:pBdr>
        <w:shd w:val="clear" w:color="auto" w:fill="BDD6EE" w:themeFill="accent1" w:themeFillTint="66"/>
        <w:rPr>
          <w:b/>
          <w:i/>
          <w:szCs w:val="24"/>
        </w:rPr>
      </w:pPr>
    </w:p>
    <w:p w:rsidR="00B63622" w:rsidRPr="00816A72" w:rsidRDefault="00B63622" w:rsidP="005029E1">
      <w:pPr>
        <w:pBdr>
          <w:top w:val="single" w:sz="4" w:space="1" w:color="auto"/>
          <w:left w:val="single" w:sz="4" w:space="1" w:color="auto"/>
          <w:bottom w:val="single" w:sz="4" w:space="1" w:color="auto"/>
          <w:right w:val="single" w:sz="4" w:space="1" w:color="auto"/>
        </w:pBdr>
        <w:shd w:val="clear" w:color="auto" w:fill="BDD6EE" w:themeFill="accent1" w:themeFillTint="66"/>
        <w:rPr>
          <w:b/>
          <w:i/>
          <w:szCs w:val="24"/>
        </w:rPr>
      </w:pPr>
      <w:r w:rsidRPr="00816A72">
        <w:rPr>
          <w:b/>
          <w:i/>
          <w:szCs w:val="24"/>
        </w:rPr>
        <w:t xml:space="preserve">O dávku žádá nájemce: </w:t>
      </w:r>
    </w:p>
    <w:p w:rsidR="00B63622" w:rsidRPr="00816A72" w:rsidRDefault="00B63622"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ONB se počítá pro nájemní bydlení</w:t>
      </w:r>
      <w:r w:rsidR="00473339" w:rsidRPr="00816A72">
        <w:rPr>
          <w:i/>
          <w:szCs w:val="24"/>
        </w:rPr>
        <w:t xml:space="preserve">. </w:t>
      </w:r>
    </w:p>
    <w:p w:rsidR="00473339" w:rsidRPr="00816A72" w:rsidRDefault="00473339"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ONB = ONB(celý byt)nájemní forma * 1 / 2</w:t>
      </w:r>
    </w:p>
    <w:p w:rsidR="00816A72" w:rsidRPr="00816A72" w:rsidRDefault="00816A72" w:rsidP="005029E1">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p>
    <w:p w:rsidR="00816A72" w:rsidRPr="00816A72" w:rsidRDefault="00816A72" w:rsidP="005029E1">
      <w:pPr>
        <w:pBdr>
          <w:top w:val="single" w:sz="4" w:space="1" w:color="auto"/>
          <w:left w:val="single" w:sz="4" w:space="1" w:color="auto"/>
          <w:bottom w:val="single" w:sz="4" w:space="1" w:color="auto"/>
          <w:right w:val="single" w:sz="4" w:space="1" w:color="auto"/>
        </w:pBdr>
        <w:shd w:val="clear" w:color="auto" w:fill="BDD6EE" w:themeFill="accent1" w:themeFillTint="66"/>
        <w:rPr>
          <w:b/>
          <w:i/>
          <w:szCs w:val="24"/>
        </w:rPr>
      </w:pPr>
      <w:r w:rsidRPr="00816A72">
        <w:rPr>
          <w:b/>
          <w:i/>
          <w:szCs w:val="24"/>
        </w:rPr>
        <w:t xml:space="preserve">O dávku žádá vlastník: </w:t>
      </w:r>
    </w:p>
    <w:p w:rsidR="00816A72" w:rsidRPr="00816A72" w:rsidRDefault="00816A72" w:rsidP="00816A72">
      <w:pPr>
        <w:pBdr>
          <w:top w:val="single" w:sz="4" w:space="1" w:color="auto"/>
          <w:left w:val="single" w:sz="4" w:space="1" w:color="auto"/>
          <w:bottom w:val="single" w:sz="4" w:space="1" w:color="auto"/>
          <w:right w:val="single" w:sz="4" w:space="1" w:color="auto"/>
        </w:pBdr>
        <w:shd w:val="clear" w:color="auto" w:fill="BDD6EE" w:themeFill="accent1" w:themeFillTint="66"/>
        <w:rPr>
          <w:i/>
          <w:szCs w:val="24"/>
        </w:rPr>
      </w:pPr>
      <w:r w:rsidRPr="00816A72">
        <w:rPr>
          <w:i/>
          <w:szCs w:val="24"/>
        </w:rPr>
        <w:t xml:space="preserve">ONB se počítá pro vlastnické bydlení. </w:t>
      </w:r>
    </w:p>
    <w:p w:rsidR="00816A72" w:rsidRPr="00816A72" w:rsidRDefault="00816A72" w:rsidP="005029E1">
      <w:pPr>
        <w:pBdr>
          <w:top w:val="single" w:sz="4" w:space="1" w:color="auto"/>
          <w:left w:val="single" w:sz="4" w:space="1" w:color="auto"/>
          <w:bottom w:val="single" w:sz="4" w:space="1" w:color="auto"/>
          <w:right w:val="single" w:sz="4" w:space="1" w:color="auto"/>
        </w:pBdr>
        <w:shd w:val="clear" w:color="auto" w:fill="BDD6EE" w:themeFill="accent1" w:themeFillTint="66"/>
        <w:rPr>
          <w:b/>
          <w:i/>
          <w:szCs w:val="24"/>
        </w:rPr>
      </w:pPr>
      <w:r w:rsidRPr="00816A72">
        <w:rPr>
          <w:i/>
          <w:szCs w:val="24"/>
        </w:rPr>
        <w:t>ONB = ONB(celý byt)vlastnická forma * 1 / 2</w:t>
      </w:r>
    </w:p>
    <w:p w:rsidR="00035508" w:rsidRDefault="00EE0095" w:rsidP="00EF4269">
      <w:pPr>
        <w:spacing w:line="259" w:lineRule="auto"/>
        <w:rPr>
          <w:rFonts w:cs="Arial"/>
          <w:szCs w:val="24"/>
        </w:rPr>
      </w:pPr>
      <w:r w:rsidRPr="00816A72">
        <w:rPr>
          <w:rFonts w:cs="Arial"/>
          <w:szCs w:val="24"/>
        </w:rPr>
        <w:lastRenderedPageBreak/>
        <w:t xml:space="preserve">Při změně počtu osob užívajících byt, jiný než obytný prostor a ubytovací zařízení, může být výše ONB touto změnou ovlivněna až kalendářní měsíc následující </w:t>
      </w:r>
      <w:r w:rsidR="002374BD">
        <w:rPr>
          <w:rFonts w:cs="Arial"/>
          <w:szCs w:val="24"/>
        </w:rPr>
        <w:br/>
      </w:r>
      <w:r w:rsidRPr="00816A72">
        <w:rPr>
          <w:rFonts w:cs="Arial"/>
          <w:szCs w:val="24"/>
        </w:rPr>
        <w:t xml:space="preserve">po měsíci, v němž došlo ke změně. Tento přístup vyplývá z dikce ustanovení § 8 odst. 3 ZPHN, ve kterém je uvedeno, že k osobám obývajícím byt, jiný než obytný prostor </w:t>
      </w:r>
      <w:r w:rsidR="002374BD">
        <w:rPr>
          <w:rFonts w:cs="Arial"/>
          <w:szCs w:val="24"/>
        </w:rPr>
        <w:br/>
      </w:r>
      <w:r w:rsidRPr="00816A72">
        <w:rPr>
          <w:rFonts w:cs="Arial"/>
          <w:szCs w:val="24"/>
        </w:rPr>
        <w:t>a ubytovací zařízení se přistupuje při stanovení ONB jako k osobám společně posuzovaným. Při změně skutečností týkajících se počtu osob v okruhu osob společně posuzovaných tyto ovlivňují nárok a výši opakujících se dávek pomoci v hmotné nouzi v kalendářním měsíci následujícím po změně (např. narození dítěte v měsíci lednu ovlivní nárok a výši dávky v měsíci únoru).</w:t>
      </w:r>
    </w:p>
    <w:p w:rsidR="00EF4269" w:rsidRDefault="00EF4269" w:rsidP="00EF4269">
      <w:pPr>
        <w:spacing w:line="259" w:lineRule="auto"/>
        <w:rPr>
          <w:rFonts w:cs="Arial"/>
          <w:szCs w:val="24"/>
        </w:rPr>
      </w:pPr>
    </w:p>
    <w:p w:rsidR="002374BD" w:rsidRPr="00816A72" w:rsidRDefault="002374BD" w:rsidP="002374BD">
      <w:pPr>
        <w:pBdr>
          <w:top w:val="single" w:sz="4" w:space="1" w:color="auto"/>
          <w:left w:val="single" w:sz="4" w:space="1" w:color="auto"/>
          <w:bottom w:val="single" w:sz="4" w:space="1" w:color="auto"/>
          <w:right w:val="single" w:sz="4" w:space="1" w:color="auto"/>
        </w:pBdr>
        <w:shd w:val="clear" w:color="auto" w:fill="BDD6EE" w:themeFill="accent1" w:themeFillTint="66"/>
        <w:rPr>
          <w:b/>
          <w:i/>
          <w:szCs w:val="24"/>
        </w:rPr>
      </w:pPr>
      <w:r w:rsidRPr="00816A72">
        <w:rPr>
          <w:b/>
          <w:i/>
          <w:szCs w:val="24"/>
        </w:rPr>
        <w:t xml:space="preserve">Příklad: </w:t>
      </w:r>
    </w:p>
    <w:p w:rsidR="002374BD" w:rsidRPr="006D4472" w:rsidRDefault="002374BD" w:rsidP="002374BD">
      <w:pPr>
        <w:pBdr>
          <w:top w:val="single" w:sz="4" w:space="1" w:color="auto"/>
          <w:left w:val="single" w:sz="4" w:space="1" w:color="auto"/>
          <w:bottom w:val="single" w:sz="4" w:space="1" w:color="auto"/>
          <w:right w:val="single" w:sz="4" w:space="1" w:color="auto"/>
        </w:pBdr>
        <w:shd w:val="clear" w:color="auto" w:fill="BDD6EE" w:themeFill="accent1" w:themeFillTint="66"/>
        <w:rPr>
          <w:rFonts w:cs="Arial"/>
          <w:i/>
          <w:szCs w:val="24"/>
        </w:rPr>
      </w:pPr>
      <w:r w:rsidRPr="006D4472">
        <w:rPr>
          <w:rFonts w:cs="Arial"/>
          <w:i/>
          <w:szCs w:val="24"/>
        </w:rPr>
        <w:t>Příjemce opakujících se dávek pomoci v hmotné nouzi bydlí na pokoji v</w:t>
      </w:r>
      <w:r w:rsidR="006D4472" w:rsidRPr="006D4472">
        <w:rPr>
          <w:rFonts w:cs="Arial"/>
          <w:i/>
          <w:szCs w:val="24"/>
        </w:rPr>
        <w:t> </w:t>
      </w:r>
      <w:r w:rsidRPr="006D4472">
        <w:rPr>
          <w:rFonts w:cs="Arial"/>
          <w:i/>
          <w:szCs w:val="24"/>
        </w:rPr>
        <w:t>ubytovacím</w:t>
      </w:r>
      <w:r w:rsidR="006D4472" w:rsidRPr="006D4472">
        <w:rPr>
          <w:rFonts w:cs="Arial"/>
          <w:i/>
          <w:szCs w:val="24"/>
        </w:rPr>
        <w:t xml:space="preserve"> </w:t>
      </w:r>
      <w:r w:rsidRPr="006D4472">
        <w:rPr>
          <w:rFonts w:cs="Arial"/>
          <w:i/>
          <w:szCs w:val="24"/>
        </w:rPr>
        <w:t>zařízení sám. V měsíci lednu začne pokoj obývat další osoba, která není osobou v hmotné nouzi.</w:t>
      </w:r>
    </w:p>
    <w:p w:rsidR="002374BD" w:rsidRPr="006D4472" w:rsidRDefault="002374BD" w:rsidP="002374BD">
      <w:pPr>
        <w:pBdr>
          <w:top w:val="single" w:sz="4" w:space="1" w:color="auto"/>
          <w:left w:val="single" w:sz="4" w:space="1" w:color="auto"/>
          <w:bottom w:val="single" w:sz="4" w:space="1" w:color="auto"/>
          <w:right w:val="single" w:sz="4" w:space="1" w:color="auto"/>
        </w:pBdr>
        <w:shd w:val="clear" w:color="auto" w:fill="BDD6EE" w:themeFill="accent1" w:themeFillTint="66"/>
        <w:rPr>
          <w:rFonts w:cs="Arial"/>
          <w:i/>
          <w:szCs w:val="24"/>
        </w:rPr>
      </w:pPr>
      <w:r w:rsidRPr="006D4472">
        <w:rPr>
          <w:rFonts w:cs="Arial"/>
          <w:i/>
          <w:szCs w:val="24"/>
        </w:rPr>
        <w:t>ONB v měsíci lednu jsou stanoveny max. ve výši 80% normativních nákladů na bydlení pro jednu osobu žijící v obci dané velikosti.</w:t>
      </w:r>
    </w:p>
    <w:p w:rsidR="002374BD" w:rsidRDefault="002374BD" w:rsidP="002374BD">
      <w:pPr>
        <w:pBdr>
          <w:top w:val="single" w:sz="4" w:space="1" w:color="auto"/>
          <w:left w:val="single" w:sz="4" w:space="1" w:color="auto"/>
          <w:bottom w:val="single" w:sz="4" w:space="1" w:color="auto"/>
          <w:right w:val="single" w:sz="4" w:space="1" w:color="auto"/>
        </w:pBdr>
        <w:shd w:val="clear" w:color="auto" w:fill="BDD6EE" w:themeFill="accent1" w:themeFillTint="66"/>
        <w:rPr>
          <w:b/>
          <w:i/>
          <w:szCs w:val="24"/>
        </w:rPr>
      </w:pPr>
      <w:r w:rsidRPr="006D4472">
        <w:rPr>
          <w:rFonts w:cs="Arial"/>
          <w:i/>
          <w:szCs w:val="24"/>
        </w:rPr>
        <w:t>ONB v měsíci únoru jsou stanoveny max. ve výši ½ 80% normativních nákladů na bydlení pro dvě osoby žijící v obci dané velikosti.</w:t>
      </w:r>
    </w:p>
    <w:p w:rsidR="002374BD" w:rsidRPr="00816A72" w:rsidRDefault="002374BD" w:rsidP="00EF4269">
      <w:pPr>
        <w:spacing w:line="259" w:lineRule="auto"/>
        <w:rPr>
          <w:rFonts w:cs="Arial"/>
          <w:szCs w:val="24"/>
        </w:rPr>
      </w:pPr>
    </w:p>
    <w:p w:rsidR="00F15920" w:rsidRDefault="00EE0095" w:rsidP="00EF4269">
      <w:pPr>
        <w:spacing w:line="259" w:lineRule="auto"/>
        <w:rPr>
          <w:rFonts w:cs="Arial"/>
          <w:szCs w:val="24"/>
        </w:rPr>
      </w:pPr>
      <w:r w:rsidRPr="00816A72">
        <w:rPr>
          <w:rFonts w:cs="Arial"/>
          <w:szCs w:val="24"/>
        </w:rPr>
        <w:t xml:space="preserve">Při stanovení výše ONB v ubytovacím zařízení se vychází z fakticity stavu počtu osob obývajících daný pokoj. Tzn., že pokud v pokoji může bydlet vícero osob, ale obývá jej pouze jedna osoba, stanoví se ONB max. ve výši 80% normativních nákladů </w:t>
      </w:r>
      <w:r w:rsidR="006D4472">
        <w:rPr>
          <w:rFonts w:cs="Arial"/>
          <w:szCs w:val="24"/>
        </w:rPr>
        <w:br/>
      </w:r>
      <w:r w:rsidRPr="00816A72">
        <w:rPr>
          <w:rFonts w:cs="Arial"/>
          <w:szCs w:val="24"/>
        </w:rPr>
        <w:t>na bydlení pro jednu osobu žijící v obci dané velikosti.</w:t>
      </w:r>
    </w:p>
    <w:p w:rsidR="00966382" w:rsidRDefault="00966382" w:rsidP="00EF4269">
      <w:pPr>
        <w:spacing w:line="259" w:lineRule="auto"/>
        <w:rPr>
          <w:rFonts w:cs="Arial"/>
          <w:szCs w:val="24"/>
        </w:rPr>
      </w:pPr>
    </w:p>
    <w:p w:rsidR="00966382" w:rsidRDefault="00966382" w:rsidP="00966382">
      <w:pPr>
        <w:spacing w:after="160" w:line="259" w:lineRule="auto"/>
      </w:pPr>
    </w:p>
    <w:p w:rsidR="00675F01" w:rsidRDefault="00EE0095" w:rsidP="00675F01">
      <w:pPr>
        <w:pStyle w:val="Nadpis1"/>
      </w:pPr>
      <w:bookmarkStart w:id="29" w:name="_Toc25833354"/>
      <w:r>
        <w:t xml:space="preserve">Článek </w:t>
      </w:r>
      <w:r w:rsidR="009E13E7">
        <w:t>V</w:t>
      </w:r>
      <w:r w:rsidR="00675F01">
        <w:t>.</w:t>
      </w:r>
      <w:bookmarkEnd w:id="29"/>
    </w:p>
    <w:p w:rsidR="00675F01" w:rsidRDefault="00AC6703" w:rsidP="00675F01">
      <w:pPr>
        <w:pStyle w:val="Nadpis2"/>
      </w:pPr>
      <w:bookmarkStart w:id="30" w:name="_Toc25833355"/>
      <w:r>
        <w:t>Vyčíslení přeplatku/doplatku u přestěhované dáv</w:t>
      </w:r>
      <w:r w:rsidR="00675F01">
        <w:t>k</w:t>
      </w:r>
      <w:r>
        <w:t>y</w:t>
      </w:r>
      <w:bookmarkEnd w:id="30"/>
    </w:p>
    <w:p w:rsidR="00BA74D4" w:rsidRPr="00375222" w:rsidRDefault="00BA74D4" w:rsidP="00BA74D4">
      <w:r w:rsidRPr="00375222">
        <w:t>Byla-li dávka přestěhována na jiné kontaktní pracoviště ÚP ČR a osoba doloží vyúčtování za energie a služby</w:t>
      </w:r>
      <w:r w:rsidR="00375222" w:rsidRPr="00375222">
        <w:t>, které časovým obdobím zasahují</w:t>
      </w:r>
      <w:r w:rsidRPr="00375222">
        <w:t xml:space="preserve"> do poskytování dávky na obou</w:t>
      </w:r>
      <w:r w:rsidR="00A01264" w:rsidRPr="00375222">
        <w:t xml:space="preserve"> kontaktních pracovištích ÚP ČR, musí obě pracoviště </w:t>
      </w:r>
      <w:r w:rsidRPr="00375222">
        <w:t xml:space="preserve">zaevidovat vyúčtování </w:t>
      </w:r>
      <w:r w:rsidR="009E75DF">
        <w:t xml:space="preserve">za energie a služby </w:t>
      </w:r>
      <w:r w:rsidRPr="00375222">
        <w:t xml:space="preserve">a zadat skutečné náklady za celé </w:t>
      </w:r>
      <w:r w:rsidR="00375222" w:rsidRPr="00375222">
        <w:t>zúčtovací</w:t>
      </w:r>
      <w:r w:rsidRPr="00375222">
        <w:t xml:space="preserve"> období. </w:t>
      </w:r>
      <w:r w:rsidR="00375222" w:rsidRPr="00375222">
        <w:t>Vzhledem k</w:t>
      </w:r>
      <w:r w:rsidR="002341D6">
        <w:t> tomu,</w:t>
      </w:r>
      <w:r w:rsidR="00375222" w:rsidRPr="00375222">
        <w:t xml:space="preserve"> že těmito informacemi budou převážně disponovat kontaktní pracoviště ÚP ČR, které dávku momentálně vyplácí, předají předmětná vyúčtování </w:t>
      </w:r>
      <w:r w:rsidR="00874A36">
        <w:br/>
      </w:r>
      <w:r w:rsidR="00375222" w:rsidRPr="00375222">
        <w:t>za energie a služby</w:t>
      </w:r>
      <w:r w:rsidR="00E82ED8">
        <w:t xml:space="preserve"> k zaevidování</w:t>
      </w:r>
      <w:r w:rsidR="00375222" w:rsidRPr="00375222">
        <w:t xml:space="preserve"> na původní kontaktní pracoviště ÚP ČR. Pro vyhodnocení vyúčtování</w:t>
      </w:r>
      <w:r w:rsidR="009E75DF">
        <w:t xml:space="preserve"> </w:t>
      </w:r>
      <w:r w:rsidR="00375222" w:rsidRPr="00375222">
        <w:t>n</w:t>
      </w:r>
      <w:r w:rsidRPr="00375222">
        <w:t>ení nutné rozdělovat poměrnou částí období na časové úseky, kdy dávka byla vyplácena jedním kontaktním pracovištěm ÚP ČR a na období, kdy ji již vyplácelo druhé kontaktní pracoviště ÚP ČR.</w:t>
      </w:r>
    </w:p>
    <w:p w:rsidR="00BA74D4" w:rsidRPr="00375222" w:rsidRDefault="00BA74D4" w:rsidP="00BA74D4"/>
    <w:p w:rsidR="00030707" w:rsidRDefault="00BA74D4" w:rsidP="00BA74D4">
      <w:r w:rsidRPr="00375222">
        <w:t xml:space="preserve">Jestliže </w:t>
      </w:r>
      <w:r w:rsidR="002341D6">
        <w:t>původní</w:t>
      </w:r>
      <w:r w:rsidRPr="00375222">
        <w:t xml:space="preserve"> kontaktní pracoviště ÚP ČR stanoví doplatek z</w:t>
      </w:r>
      <w:r w:rsidR="009E75DF">
        <w:t> </w:t>
      </w:r>
      <w:r w:rsidRPr="00375222">
        <w:t>vyúčtování</w:t>
      </w:r>
      <w:r w:rsidR="002341D6">
        <w:t xml:space="preserve">, vyplatí </w:t>
      </w:r>
      <w:r w:rsidR="002A563D">
        <w:br/>
      </w:r>
      <w:r w:rsidR="002341D6">
        <w:t xml:space="preserve">ho osobě. Původní kontaktní pracoviště ÚP ČR má možnost s dávkou pracovat </w:t>
      </w:r>
      <w:r w:rsidR="00874A36">
        <w:br/>
      </w:r>
      <w:r w:rsidR="002341D6">
        <w:t>a to i přesto, že dávka byla odstěhována. Jedná se však pouze o časové období, kdy</w:t>
      </w:r>
      <w:r w:rsidR="009E75DF">
        <w:t xml:space="preserve"> kontaktní pracoviště ÚP ČR</w:t>
      </w:r>
      <w:r w:rsidR="002341D6">
        <w:t xml:space="preserve"> dávku vyplácelo.</w:t>
      </w:r>
      <w:r w:rsidR="009E75DF">
        <w:t xml:space="preserve"> </w:t>
      </w:r>
    </w:p>
    <w:p w:rsidR="002341D6" w:rsidRDefault="009E75DF" w:rsidP="00BA74D4">
      <w:r>
        <w:lastRenderedPageBreak/>
        <w:t>Vyhodnotí-li původní kontaktní pracoviště ÚP ČR přeplatek z vyúčtování, přeplatek bude „umořovat“ nové kontaktní pracoviště ÚP ČR, tzn. kontaktní pracoviště ÚP ČR, které dávku momentálně vyplácí. Přeplatek bude „umořován“ novým kontaktním pracoviště</w:t>
      </w:r>
      <w:r w:rsidR="00106115">
        <w:t>m</w:t>
      </w:r>
      <w:r>
        <w:t xml:space="preserve"> proto, že přeplatek z vyúčtování nelze vymáhat a snižovat ONB může pouze kontaktní pracoviště ÚP ČR, které dávku vyplácí.</w:t>
      </w:r>
    </w:p>
    <w:p w:rsidR="00F51109" w:rsidRDefault="00F51109" w:rsidP="00BA74D4"/>
    <w:p w:rsidR="00F51109" w:rsidRDefault="00F51109" w:rsidP="00BA74D4">
      <w:r>
        <w:t>Pokud nastane situace, kdy původní kontaktní pracoviště ÚP ČR vyhodnotí doplatek z vyúčtování a zároveň nové pracoviště ÚP ČR vyhodnotí přeplatek z vyúčtování</w:t>
      </w:r>
      <w:r w:rsidR="00F21F00">
        <w:t>, doporučuje se</w:t>
      </w:r>
      <w:r>
        <w:t>, aby byl přeplatek z vyúčtování ponížen o doplatek z vyúčtování.</w:t>
      </w:r>
    </w:p>
    <w:p w:rsidR="0098769F" w:rsidRDefault="0098769F">
      <w:pPr>
        <w:spacing w:after="160" w:line="259" w:lineRule="auto"/>
        <w:jc w:val="left"/>
      </w:pPr>
    </w:p>
    <w:p w:rsidR="00F15920" w:rsidRDefault="00F15920">
      <w:pPr>
        <w:spacing w:after="160" w:line="259" w:lineRule="auto"/>
        <w:jc w:val="left"/>
      </w:pPr>
    </w:p>
    <w:p w:rsidR="00F15920" w:rsidRDefault="00F15920">
      <w:pPr>
        <w:spacing w:after="160" w:line="259" w:lineRule="auto"/>
        <w:jc w:val="left"/>
      </w:pPr>
    </w:p>
    <w:p w:rsidR="007D236F" w:rsidRPr="00ED550A" w:rsidRDefault="007D236F" w:rsidP="007D236F">
      <w:pPr>
        <w:ind w:left="4956" w:firstLine="708"/>
        <w:rPr>
          <w:rFonts w:eastAsiaTheme="minorHAnsi" w:cs="Arial"/>
          <w:b/>
          <w:szCs w:val="24"/>
        </w:rPr>
      </w:pPr>
      <w:r w:rsidRPr="00ED550A">
        <w:rPr>
          <w:rFonts w:eastAsia="MS Mincho" w:cs="Arial"/>
          <w:b/>
          <w:szCs w:val="24"/>
        </w:rPr>
        <w:t>Mgr. Kateřina Jirková</w:t>
      </w:r>
    </w:p>
    <w:p w:rsidR="007D236F" w:rsidRDefault="007D236F" w:rsidP="00035508">
      <w:pPr>
        <w:ind w:left="4713"/>
        <w:jc w:val="center"/>
        <w:rPr>
          <w:rFonts w:eastAsiaTheme="minorHAnsi" w:cs="Arial"/>
          <w:szCs w:val="24"/>
        </w:rPr>
      </w:pPr>
      <w:r>
        <w:rPr>
          <w:rFonts w:eastAsiaTheme="minorHAnsi" w:cs="Arial"/>
          <w:szCs w:val="24"/>
        </w:rPr>
        <w:t>náměst</w:t>
      </w:r>
      <w:r w:rsidRPr="00404F0A">
        <w:rPr>
          <w:rFonts w:eastAsiaTheme="minorHAnsi" w:cs="Arial"/>
          <w:szCs w:val="24"/>
        </w:rPr>
        <w:t>k</w:t>
      </w:r>
      <w:r>
        <w:rPr>
          <w:rFonts w:eastAsiaTheme="minorHAnsi" w:cs="Arial"/>
          <w:szCs w:val="24"/>
        </w:rPr>
        <w:t>yně</w:t>
      </w:r>
      <w:r w:rsidR="00CF40AF">
        <w:rPr>
          <w:rFonts w:eastAsiaTheme="minorHAnsi" w:cs="Arial"/>
          <w:szCs w:val="24"/>
        </w:rPr>
        <w:t xml:space="preserve"> pro řízení sekce sociálně</w:t>
      </w:r>
      <w:r w:rsidR="00035508">
        <w:rPr>
          <w:rFonts w:eastAsiaTheme="minorHAnsi" w:cs="Arial"/>
          <w:szCs w:val="24"/>
        </w:rPr>
        <w:t xml:space="preserve"> </w:t>
      </w:r>
      <w:r w:rsidRPr="00404F0A">
        <w:rPr>
          <w:rFonts w:eastAsiaTheme="minorHAnsi" w:cs="Arial"/>
          <w:szCs w:val="24"/>
        </w:rPr>
        <w:t>pojistných</w:t>
      </w:r>
      <w:r>
        <w:rPr>
          <w:rFonts w:eastAsiaTheme="minorHAnsi" w:cs="Arial"/>
          <w:szCs w:val="24"/>
        </w:rPr>
        <w:t xml:space="preserve"> systémů a nepojistných dávek</w:t>
      </w:r>
    </w:p>
    <w:p w:rsidR="00CE175E" w:rsidRDefault="00CE175E">
      <w:pPr>
        <w:spacing w:after="160" w:line="259" w:lineRule="auto"/>
        <w:jc w:val="left"/>
      </w:pPr>
    </w:p>
    <w:sectPr w:rsidR="00CE175E" w:rsidSect="0039750E">
      <w:footerReference w:type="default" r:id="rId10"/>
      <w:footerReference w:type="firs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6B4" w:rsidRDefault="00A656B4" w:rsidP="00927530">
      <w:pPr>
        <w:spacing w:line="240" w:lineRule="auto"/>
      </w:pPr>
      <w:r>
        <w:separator/>
      </w:r>
    </w:p>
  </w:endnote>
  <w:endnote w:type="continuationSeparator" w:id="0">
    <w:p w:rsidR="00A656B4" w:rsidRDefault="00A656B4" w:rsidP="00927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NewRomanPSM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34" w:rsidRDefault="00762634">
    <w:pPr>
      <w:pStyle w:val="Zpat"/>
      <w:jc w:val="center"/>
    </w:pPr>
  </w:p>
  <w:p w:rsidR="00762634" w:rsidRDefault="007626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34" w:rsidRDefault="00762634">
    <w:pPr>
      <w:pStyle w:val="Zpat"/>
      <w:jc w:val="center"/>
    </w:pPr>
  </w:p>
  <w:p w:rsidR="00762634" w:rsidRDefault="0076263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24215"/>
      <w:docPartObj>
        <w:docPartGallery w:val="Page Numbers (Bottom of Page)"/>
        <w:docPartUnique/>
      </w:docPartObj>
    </w:sdtPr>
    <w:sdtEndPr/>
    <w:sdtContent>
      <w:p w:rsidR="00762634" w:rsidRDefault="00762634">
        <w:pPr>
          <w:pStyle w:val="Zpat"/>
          <w:jc w:val="center"/>
        </w:pPr>
        <w:r>
          <w:fldChar w:fldCharType="begin"/>
        </w:r>
        <w:r>
          <w:instrText>PAGE   \* MERGEFORMAT</w:instrText>
        </w:r>
        <w:r>
          <w:fldChar w:fldCharType="separate"/>
        </w:r>
        <w:r w:rsidR="00670C8E">
          <w:rPr>
            <w:noProof/>
          </w:rPr>
          <w:t>18</w:t>
        </w:r>
        <w:r>
          <w:fldChar w:fldCharType="end"/>
        </w:r>
      </w:p>
    </w:sdtContent>
  </w:sdt>
  <w:p w:rsidR="00762634" w:rsidRDefault="0076263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371862"/>
      <w:docPartObj>
        <w:docPartGallery w:val="Page Numbers (Bottom of Page)"/>
        <w:docPartUnique/>
      </w:docPartObj>
    </w:sdtPr>
    <w:sdtEndPr/>
    <w:sdtContent>
      <w:p w:rsidR="00762634" w:rsidRDefault="00762634">
        <w:pPr>
          <w:pStyle w:val="Zpat"/>
          <w:jc w:val="center"/>
        </w:pPr>
        <w:r>
          <w:fldChar w:fldCharType="begin"/>
        </w:r>
        <w:r>
          <w:instrText>PAGE   \* MERGEFORMAT</w:instrText>
        </w:r>
        <w:r>
          <w:fldChar w:fldCharType="separate"/>
        </w:r>
        <w:r>
          <w:rPr>
            <w:noProof/>
          </w:rPr>
          <w:t>1</w:t>
        </w:r>
        <w:r>
          <w:fldChar w:fldCharType="end"/>
        </w:r>
      </w:p>
    </w:sdtContent>
  </w:sdt>
  <w:p w:rsidR="00762634" w:rsidRDefault="007626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6B4" w:rsidRDefault="00A656B4" w:rsidP="00927530">
      <w:pPr>
        <w:spacing w:line="240" w:lineRule="auto"/>
      </w:pPr>
      <w:r>
        <w:separator/>
      </w:r>
    </w:p>
  </w:footnote>
  <w:footnote w:type="continuationSeparator" w:id="0">
    <w:p w:rsidR="00A656B4" w:rsidRDefault="00A656B4" w:rsidP="00927530">
      <w:pPr>
        <w:spacing w:line="240" w:lineRule="auto"/>
      </w:pPr>
      <w:r>
        <w:continuationSeparator/>
      </w:r>
    </w:p>
  </w:footnote>
  <w:footnote w:id="1">
    <w:p w:rsidR="00762634" w:rsidRDefault="00762634" w:rsidP="00067A33">
      <w:pPr>
        <w:pStyle w:val="Textpoznpodarou"/>
      </w:pPr>
      <w:r>
        <w:rPr>
          <w:rStyle w:val="Znakapoznpodarou"/>
        </w:rPr>
        <w:footnoteRef/>
      </w:r>
      <w:r>
        <w:t xml:space="preserve"> Viz </w:t>
      </w:r>
      <w:r w:rsidRPr="00DB22FA">
        <w:rPr>
          <w:rFonts w:cs="Arial"/>
          <w:color w:val="000000"/>
        </w:rPr>
        <w:t xml:space="preserve">§ 25 odst. 1 písm. b) zákona č. 117/1995 Sb., </w:t>
      </w:r>
      <w:r>
        <w:rPr>
          <w:rFonts w:cs="Arial"/>
          <w:color w:val="000000"/>
        </w:rPr>
        <w:t xml:space="preserve">o státní sociální podpoře, </w:t>
      </w:r>
      <w:r w:rsidRPr="00DB22FA">
        <w:rPr>
          <w:rFonts w:cs="Arial"/>
          <w:color w:val="000000"/>
        </w:rPr>
        <w:t>ve znění pozdějších předpisů.</w:t>
      </w:r>
    </w:p>
  </w:footnote>
  <w:footnote w:id="2">
    <w:p w:rsidR="00762634" w:rsidRDefault="00762634" w:rsidP="00067A33">
      <w:pPr>
        <w:pStyle w:val="Textpoznpodarou"/>
      </w:pPr>
      <w:r>
        <w:rPr>
          <w:rStyle w:val="Znakapoznpodarou"/>
        </w:rPr>
        <w:footnoteRef/>
      </w:r>
      <w:r>
        <w:t xml:space="preserve"> Viz </w:t>
      </w:r>
      <w:r w:rsidRPr="00DB22FA">
        <w:rPr>
          <w:rFonts w:cs="Arial"/>
          <w:color w:val="000000"/>
        </w:rPr>
        <w:t xml:space="preserve">§ 26 odst. 1 písm. a) zákona č. 117/1995 Sb., </w:t>
      </w:r>
      <w:r>
        <w:rPr>
          <w:rFonts w:cs="Arial"/>
          <w:color w:val="000000"/>
        </w:rPr>
        <w:t xml:space="preserve">o státní sociální podpoře, </w:t>
      </w:r>
      <w:r w:rsidRPr="00DB22FA">
        <w:rPr>
          <w:rFonts w:cs="Arial"/>
          <w:color w:val="000000"/>
        </w:rPr>
        <w:t>ve znění pozdějších předpisů.</w:t>
      </w:r>
    </w:p>
  </w:footnote>
  <w:footnote w:id="3">
    <w:p w:rsidR="00762634" w:rsidRDefault="00762634" w:rsidP="00067A33">
      <w:pPr>
        <w:pStyle w:val="Textpoznpodarou"/>
      </w:pPr>
      <w:r>
        <w:rPr>
          <w:rStyle w:val="Znakapoznpodarou"/>
        </w:rPr>
        <w:footnoteRef/>
      </w:r>
      <w:r>
        <w:t xml:space="preserve"> Viz </w:t>
      </w:r>
      <w:r w:rsidRPr="00DB22FA">
        <w:rPr>
          <w:rFonts w:cs="Arial"/>
          <w:color w:val="000000"/>
        </w:rPr>
        <w:t xml:space="preserve">§ 26 odst. 1 písm. b) zákona č. 117/1995 Sb., </w:t>
      </w:r>
      <w:r>
        <w:rPr>
          <w:rFonts w:cs="Arial"/>
          <w:color w:val="000000"/>
        </w:rPr>
        <w:t xml:space="preserve">o státní sociální podpoře, </w:t>
      </w:r>
      <w:r w:rsidRPr="00DB22FA">
        <w:rPr>
          <w:rFonts w:cs="Arial"/>
          <w:color w:val="000000"/>
        </w:rPr>
        <w:t>ve znění pozdějších předpisů.</w:t>
      </w:r>
    </w:p>
  </w:footnote>
  <w:footnote w:id="4">
    <w:p w:rsidR="00762634" w:rsidRDefault="00762634">
      <w:pPr>
        <w:pStyle w:val="Textpoznpodarou"/>
      </w:pPr>
      <w:r>
        <w:rPr>
          <w:rStyle w:val="Znakapoznpodarou"/>
        </w:rPr>
        <w:footnoteRef/>
      </w:r>
      <w:r>
        <w:t xml:space="preserve"> Zákon č. </w:t>
      </w:r>
      <w:r w:rsidRPr="00DB22FA">
        <w:rPr>
          <w:rFonts w:cs="Arial"/>
          <w:color w:val="000000"/>
        </w:rPr>
        <w:t xml:space="preserve">117/1995 Sb., </w:t>
      </w:r>
      <w:r>
        <w:rPr>
          <w:rFonts w:cs="Arial"/>
          <w:color w:val="000000"/>
        </w:rPr>
        <w:t xml:space="preserve">o státní sociální podpoře, </w:t>
      </w:r>
      <w:r w:rsidRPr="00DB22FA">
        <w:rPr>
          <w:rFonts w:cs="Arial"/>
          <w:color w:val="000000"/>
        </w:rPr>
        <w:t>ve znění pozdějších předpisů</w:t>
      </w:r>
      <w:r>
        <w:rPr>
          <w:rFonts w:cs="Arial"/>
          <w:color w:val="000000"/>
        </w:rPr>
        <w:t xml:space="preserve">. </w:t>
      </w:r>
    </w:p>
  </w:footnote>
  <w:footnote w:id="5">
    <w:p w:rsidR="00762634" w:rsidRPr="00E11AEB" w:rsidRDefault="00762634" w:rsidP="00C44C5F">
      <w:pPr>
        <w:pStyle w:val="Textpoznpodarou"/>
        <w:spacing w:line="240" w:lineRule="auto"/>
      </w:pPr>
      <w:r w:rsidRPr="00E11AEB">
        <w:rPr>
          <w:rStyle w:val="Znakapoznpodarou"/>
        </w:rPr>
        <w:footnoteRef/>
      </w:r>
      <w:r w:rsidRPr="00E11AEB">
        <w:t xml:space="preserve"> V souladu s</w:t>
      </w:r>
      <w:r>
        <w:t> ust.</w:t>
      </w:r>
      <w:r w:rsidRPr="00E11AEB">
        <w:t xml:space="preserve"> § 4 zákona č. 348/2005 Sb., </w:t>
      </w:r>
      <w:r w:rsidRPr="00E11AEB">
        <w:rPr>
          <w:rFonts w:cs="Arial"/>
          <w:bCs/>
        </w:rPr>
        <w:t>o rozhlasových a televizních poplatcích a o změně některých zákonů, ve znění pozdějších předpisů.</w:t>
      </w:r>
    </w:p>
  </w:footnote>
  <w:footnote w:id="6">
    <w:p w:rsidR="00762634" w:rsidRPr="00E11AEB" w:rsidRDefault="00762634" w:rsidP="00C44C5F">
      <w:pPr>
        <w:pStyle w:val="Textpoznpodarou"/>
        <w:spacing w:line="240" w:lineRule="auto"/>
      </w:pPr>
      <w:r w:rsidRPr="00E11AEB">
        <w:rPr>
          <w:rStyle w:val="Znakapoznpodarou"/>
        </w:rPr>
        <w:footnoteRef/>
      </w:r>
      <w:r w:rsidRPr="00E11AEB">
        <w:t xml:space="preserve"> </w:t>
      </w:r>
      <w:r w:rsidRPr="00E11AEB">
        <w:rPr>
          <w:rFonts w:cs="Arial"/>
        </w:rPr>
        <w:t>Od 01. 02. 2019 se za užití poštovní poukázky A při zaslání částky do 5 000 Kč hradí 36 Kč, při zaslání finanční částky od 5 001 Kč do 50 000 Kč se hradí 44 Kč.</w:t>
      </w:r>
    </w:p>
  </w:footnote>
  <w:footnote w:id="7">
    <w:p w:rsidR="00762634" w:rsidRPr="0032438C" w:rsidRDefault="00762634" w:rsidP="0032627C">
      <w:pPr>
        <w:spacing w:line="240" w:lineRule="auto"/>
        <w:rPr>
          <w:rFonts w:eastAsia="Arial" w:cs="Arial"/>
          <w:i/>
          <w:iCs/>
          <w:color w:val="000000"/>
          <w:sz w:val="20"/>
          <w:szCs w:val="20"/>
          <w:lang w:eastAsia="cs-CZ"/>
        </w:rPr>
      </w:pPr>
      <w:r>
        <w:rPr>
          <w:rStyle w:val="Znakapoznpodarou"/>
        </w:rPr>
        <w:footnoteRef/>
      </w:r>
      <w:r>
        <w:t xml:space="preserve"> </w:t>
      </w:r>
      <w:r w:rsidRPr="0032438C">
        <w:rPr>
          <w:rFonts w:cs="Arial"/>
          <w:sz w:val="20"/>
          <w:szCs w:val="20"/>
        </w:rPr>
        <w:t xml:space="preserve">V souladu s § 2 písm. a) zákona č. 67/2013 Sb., </w:t>
      </w:r>
      <w:r>
        <w:rPr>
          <w:rFonts w:cs="Arial"/>
          <w:sz w:val="20"/>
          <w:szCs w:val="20"/>
        </w:rPr>
        <w:t>„</w:t>
      </w:r>
      <w:r w:rsidRPr="0032438C">
        <w:rPr>
          <w:rFonts w:eastAsia="Arial" w:cs="Arial"/>
          <w:i/>
          <w:iCs/>
          <w:color w:val="000000"/>
          <w:sz w:val="20"/>
          <w:szCs w:val="20"/>
          <w:lang w:eastAsia="cs-CZ"/>
        </w:rPr>
        <w:t xml:space="preserve">poskytovatelem služeb je </w:t>
      </w:r>
      <w:r w:rsidRPr="0032438C">
        <w:rPr>
          <w:rFonts w:eastAsia="Arial" w:cs="Arial"/>
          <w:b/>
          <w:i/>
          <w:iCs/>
          <w:color w:val="000000"/>
          <w:sz w:val="20"/>
          <w:szCs w:val="20"/>
          <w:lang w:eastAsia="cs-CZ"/>
        </w:rPr>
        <w:t>vlastník nemovitosti</w:t>
      </w:r>
      <w:r w:rsidRPr="0032438C">
        <w:rPr>
          <w:rFonts w:eastAsia="Arial" w:cs="Arial"/>
          <w:i/>
          <w:iCs/>
          <w:color w:val="000000"/>
          <w:sz w:val="20"/>
          <w:szCs w:val="20"/>
          <w:lang w:eastAsia="cs-CZ"/>
        </w:rPr>
        <w:t xml:space="preserve"> nebo vlastník jednotky v domě rozděleném na jednotky v případě, že je byt užíván na základě nájemní smlouvy, nebo </w:t>
      </w:r>
      <w:r w:rsidRPr="0032438C">
        <w:rPr>
          <w:rFonts w:eastAsia="Arial" w:cs="Arial"/>
          <w:b/>
          <w:i/>
          <w:iCs/>
          <w:color w:val="000000"/>
          <w:sz w:val="20"/>
          <w:szCs w:val="20"/>
          <w:lang w:eastAsia="cs-CZ"/>
        </w:rPr>
        <w:t>společenství vlastníků jednotek</w:t>
      </w:r>
      <w:r w:rsidRPr="0032438C">
        <w:rPr>
          <w:rFonts w:eastAsia="Arial" w:cs="Arial"/>
          <w:i/>
          <w:iCs/>
          <w:color w:val="000000"/>
          <w:sz w:val="20"/>
          <w:szCs w:val="20"/>
          <w:lang w:eastAsia="cs-CZ"/>
        </w:rPr>
        <w:t xml:space="preserve"> (dále jen „společenství“) podle zákona uprav</w:t>
      </w:r>
      <w:r w:rsidRPr="0032438C">
        <w:rPr>
          <w:rFonts w:eastAsia="Arial" w:cs="Arial"/>
          <w:bCs/>
          <w:i/>
          <w:iCs/>
          <w:color w:val="000000"/>
          <w:sz w:val="20"/>
          <w:szCs w:val="20"/>
          <w:lang w:eastAsia="cs-CZ"/>
        </w:rPr>
        <w:t>ujícího bytové spoluvlastnictví</w:t>
      </w:r>
      <w:r>
        <w:rPr>
          <w:rFonts w:eastAsia="Arial" w:cs="Arial"/>
          <w:bCs/>
          <w:i/>
          <w:iCs/>
          <w:color w:val="000000"/>
          <w:sz w:val="20"/>
          <w:szCs w:val="20"/>
          <w:lang w:eastAsia="cs-CZ"/>
        </w:rPr>
        <w:t>“.</w:t>
      </w:r>
    </w:p>
  </w:footnote>
  <w:footnote w:id="8">
    <w:p w:rsidR="00762634" w:rsidRPr="00506AE3" w:rsidRDefault="00762634" w:rsidP="00C44C5F">
      <w:pPr>
        <w:pStyle w:val="Textpoznpodarou"/>
        <w:spacing w:line="240" w:lineRule="auto"/>
        <w:rPr>
          <w:rFonts w:cs="Arial"/>
        </w:rPr>
      </w:pPr>
      <w:r w:rsidRPr="00691209">
        <w:rPr>
          <w:rStyle w:val="Znakapoznpodarou"/>
          <w:rFonts w:cs="Arial"/>
        </w:rPr>
        <w:footnoteRef/>
      </w:r>
      <w:r w:rsidRPr="00691209">
        <w:rPr>
          <w:rFonts w:cs="Arial"/>
        </w:rPr>
        <w:t xml:space="preserve"> </w:t>
      </w:r>
      <w:r w:rsidRPr="00506AE3">
        <w:rPr>
          <w:rFonts w:cs="Arial"/>
        </w:rPr>
        <w:t xml:space="preserve">V souladu s § </w:t>
      </w:r>
      <w:r>
        <w:rPr>
          <w:rFonts w:cs="Arial"/>
        </w:rPr>
        <w:t>7 zákona č. 67/2013 Sb</w:t>
      </w:r>
      <w:r w:rsidRPr="00506AE3">
        <w:rPr>
          <w:rStyle w:val="h1a2"/>
          <w:rFonts w:cs="Arial"/>
          <w:sz w:val="20"/>
          <w:szCs w:val="20"/>
          <w:specVanish w:val="0"/>
        </w:rPr>
        <w:t>.</w:t>
      </w:r>
    </w:p>
  </w:footnote>
  <w:footnote w:id="9">
    <w:p w:rsidR="00762634" w:rsidRDefault="00762634" w:rsidP="007F3E18">
      <w:pPr>
        <w:pStyle w:val="Textpoznpodarou"/>
        <w:spacing w:line="240" w:lineRule="auto"/>
      </w:pPr>
      <w:r>
        <w:rPr>
          <w:rStyle w:val="Znakapoznpodarou"/>
        </w:rPr>
        <w:footnoteRef/>
      </w:r>
      <w:r>
        <w:t xml:space="preserve"> </w:t>
      </w:r>
      <w:r>
        <w:rPr>
          <w:rFonts w:cs="Arial"/>
          <w:szCs w:val="24"/>
          <w:lang w:eastAsia="cs-CZ"/>
        </w:rPr>
        <w:t>Odvoz tuhého komunálního odpadu se v aplikačním programu při stanovení ONB zadává do části, která není stropována měsíčním podílem výší v místě obvyklé (tzv. náklady na ostatní služby).</w:t>
      </w:r>
    </w:p>
  </w:footnote>
  <w:footnote w:id="10">
    <w:p w:rsidR="00762634" w:rsidRDefault="00762634" w:rsidP="00E67891">
      <w:pPr>
        <w:pStyle w:val="Textpoznpodarou"/>
        <w:spacing w:line="240" w:lineRule="auto"/>
      </w:pPr>
      <w:r>
        <w:rPr>
          <w:rStyle w:val="Znakapoznpodarou"/>
        </w:rPr>
        <w:footnoteRef/>
      </w:r>
      <w:r>
        <w:t xml:space="preserve"> </w:t>
      </w:r>
      <w:r>
        <w:rPr>
          <w:rFonts w:cs="Arial"/>
          <w:szCs w:val="24"/>
        </w:rPr>
        <w:t>Seznam cen dálkového tepla včetně vyrobeného množství poskytuje ERÚ a po ověření Generálním ředitelstvím ÚP ČR se údaje vkládají do aplikačního programu.</w:t>
      </w:r>
    </w:p>
  </w:footnote>
  <w:footnote w:id="11">
    <w:p w:rsidR="00762634" w:rsidRDefault="00762634" w:rsidP="00D13662">
      <w:pPr>
        <w:pStyle w:val="Textpoznpodarou"/>
        <w:spacing w:line="240" w:lineRule="auto"/>
      </w:pPr>
      <w:r>
        <w:rPr>
          <w:rStyle w:val="Znakapoznpodarou"/>
        </w:rPr>
        <w:footnoteRef/>
      </w:r>
      <w:r>
        <w:t xml:space="preserve"> Je upraveno v aplikačním programu, ve kterém se používá tabulka vztahu lokality, teplotního pásma a měrného ukazatele, kterou poskytl ERÚ.</w:t>
      </w:r>
    </w:p>
  </w:footnote>
  <w:footnote w:id="12">
    <w:p w:rsidR="00762634" w:rsidRDefault="00762634" w:rsidP="0094061E">
      <w:pPr>
        <w:pStyle w:val="Textpoznpodarou"/>
        <w:spacing w:line="240" w:lineRule="auto"/>
      </w:pPr>
      <w:r>
        <w:rPr>
          <w:rStyle w:val="Znakapoznpodarou"/>
        </w:rPr>
        <w:footnoteRef/>
      </w:r>
      <w:r>
        <w:t xml:space="preserve"> Příloha č. 12 vyhlášky Ministerstva zemědělství č.48/2014 Sb., kterou se provádí zákon č. 274/2001 Sb., o vodovodech a kanalizacích pro veřejnou potřebu a o změně některých zákonů, ve znění pozdějších předpisů.</w:t>
      </w:r>
    </w:p>
  </w:footnote>
  <w:footnote w:id="13">
    <w:p w:rsidR="00762634" w:rsidRDefault="00762634" w:rsidP="0094061E">
      <w:pPr>
        <w:pStyle w:val="Textpoznpodarou"/>
        <w:spacing w:line="240" w:lineRule="auto"/>
      </w:pPr>
      <w:r>
        <w:rPr>
          <w:rStyle w:val="Znakapoznpodarou"/>
        </w:rPr>
        <w:footnoteRef/>
      </w:r>
      <w:r>
        <w:t xml:space="preserve"> Ceny vodného a stočného v jednotlivých obcích jsou ověřovány Generálním ředitelstvím ÚP ČR </w:t>
      </w:r>
      <w:r>
        <w:br/>
        <w:t>a poté se vkládají do aplikačního programu.</w:t>
      </w:r>
    </w:p>
  </w:footnote>
  <w:footnote w:id="14">
    <w:p w:rsidR="00762634" w:rsidRDefault="00762634" w:rsidP="0094061E">
      <w:pPr>
        <w:pStyle w:val="Textpoznpodarou"/>
        <w:spacing w:line="240" w:lineRule="auto"/>
      </w:pPr>
      <w:r>
        <w:rPr>
          <w:rStyle w:val="Znakapoznpodarou"/>
        </w:rPr>
        <w:footnoteRef/>
      </w:r>
      <w:r>
        <w:t xml:space="preserve"> Je upraveno v aplikačním programu. </w:t>
      </w:r>
    </w:p>
  </w:footnote>
  <w:footnote w:id="15">
    <w:p w:rsidR="00762634" w:rsidRDefault="00762634" w:rsidP="00484220">
      <w:pPr>
        <w:pStyle w:val="Textpoznpodarou"/>
        <w:spacing w:line="240" w:lineRule="auto"/>
      </w:pPr>
      <w:r>
        <w:rPr>
          <w:rStyle w:val="Znakapoznpodarou"/>
        </w:rPr>
        <w:footnoteRef/>
      </w:r>
      <w:r>
        <w:t xml:space="preserve"> </w:t>
      </w:r>
      <w:r>
        <w:rPr>
          <w:lang w:eastAsia="cs-CZ"/>
        </w:rPr>
        <w:t>V aplikačním programu se záloha na teplou vodu eviduje ve sloupci „záloha na TUV“. Aplikační program při výpočtu automaticky připočte 35% zálohy na TUV k záloze na vodné/stočné a 65% částky započítá jako zálohu na ohřev TUV.</w:t>
      </w:r>
    </w:p>
  </w:footnote>
  <w:footnote w:id="16">
    <w:p w:rsidR="00762634" w:rsidRDefault="00762634" w:rsidP="002E5D68">
      <w:pPr>
        <w:pStyle w:val="Textpoznpodarou"/>
        <w:spacing w:line="240" w:lineRule="auto"/>
      </w:pPr>
      <w:r>
        <w:rPr>
          <w:rStyle w:val="Znakapoznpodarou"/>
        </w:rPr>
        <w:footnoteRef/>
      </w:r>
      <w:r>
        <w:t xml:space="preserve"> Koeficient předpokládá účinnost ohřevu 63% a je převzat z postupu pro energetickou certifikaci budov platného pro celé území ČR.</w:t>
      </w:r>
    </w:p>
  </w:footnote>
  <w:footnote w:id="17">
    <w:p w:rsidR="00762634" w:rsidRDefault="00762634">
      <w:pPr>
        <w:pStyle w:val="Textpoznpodarou"/>
      </w:pPr>
      <w:r>
        <w:rPr>
          <w:rStyle w:val="Znakapoznpodarou"/>
        </w:rPr>
        <w:footnoteRef/>
      </w:r>
      <w:r>
        <w:t xml:space="preserve"> </w:t>
      </w:r>
      <w:r>
        <w:rPr>
          <w:lang w:eastAsia="cs-CZ"/>
        </w:rPr>
        <w:t>V aplikačním programu se záloha na teplou vodu eviduje ve sloupci „záloha na TUV“. Aplikační program při výpočtu automaticky připočte 35% zálohy na TUV k záloze na vodné/stočné a 65% částky započítá jako zálohu na ohřev TUV.</w:t>
      </w:r>
    </w:p>
  </w:footnote>
  <w:footnote w:id="18">
    <w:p w:rsidR="00762634" w:rsidRDefault="00762634" w:rsidP="00D84100">
      <w:pPr>
        <w:pStyle w:val="Textpoznpodarou"/>
        <w:spacing w:line="240" w:lineRule="auto"/>
      </w:pPr>
      <w:r>
        <w:rPr>
          <w:rStyle w:val="Znakapoznpodarou"/>
        </w:rPr>
        <w:footnoteRef/>
      </w:r>
      <w:r>
        <w:t xml:space="preserve"> V aplikačním programu se úhrady za tzv. ostatní služby zadávají </w:t>
      </w:r>
      <w:r>
        <w:rPr>
          <w:rFonts w:cs="Arial"/>
          <w:color w:val="000000"/>
          <w:szCs w:val="24"/>
        </w:rPr>
        <w:t xml:space="preserve">do části „náklady na ostatní služby“. </w:t>
      </w:r>
    </w:p>
  </w:footnote>
  <w:footnote w:id="19">
    <w:p w:rsidR="00762634" w:rsidRDefault="00762634" w:rsidP="004E5AF1">
      <w:pPr>
        <w:pStyle w:val="Textpoznpodarou"/>
        <w:spacing w:line="240" w:lineRule="auto"/>
      </w:pPr>
      <w:r>
        <w:rPr>
          <w:rStyle w:val="Znakapoznpodarou"/>
        </w:rPr>
        <w:footnoteRef/>
      </w:r>
      <w:r>
        <w:t xml:space="preserve"> </w:t>
      </w:r>
      <w:r>
        <w:rPr>
          <w:rFonts w:cs="Arial"/>
          <w:spacing w:val="-1"/>
          <w:szCs w:val="24"/>
        </w:rPr>
        <w:t xml:space="preserve">Celková výše nákladů na ostatní služby se v aplikačním programu zadává do sloupce „náklady </w:t>
      </w:r>
      <w:r>
        <w:rPr>
          <w:rFonts w:cs="Arial"/>
          <w:spacing w:val="-1"/>
          <w:szCs w:val="24"/>
        </w:rPr>
        <w:br/>
        <w:t>na ostatní služby“; výše nákladů max. do výše v místě obvyklé se zadává do sloupce „započítané náklady na ostatní služby“.</w:t>
      </w:r>
    </w:p>
  </w:footnote>
  <w:footnote w:id="20">
    <w:p w:rsidR="00762634" w:rsidRDefault="00762634">
      <w:pPr>
        <w:pStyle w:val="Textpoznpodarou"/>
      </w:pPr>
      <w:r>
        <w:rPr>
          <w:rStyle w:val="Znakapoznpodarou"/>
        </w:rPr>
        <w:footnoteRef/>
      </w:r>
      <w:r>
        <w:t xml:space="preserve"> V</w:t>
      </w:r>
      <w:r>
        <w:rPr>
          <w:lang w:eastAsia="cs-CZ"/>
        </w:rPr>
        <w:t> aplikačním programu je potřeba tuto úhradu uvést v položce „náklady na ostatní služby“.</w:t>
      </w:r>
    </w:p>
  </w:footnote>
  <w:footnote w:id="21">
    <w:p w:rsidR="00762634" w:rsidRDefault="00762634" w:rsidP="0095396C">
      <w:pPr>
        <w:pStyle w:val="Textpoznpodarou"/>
        <w:spacing w:line="240" w:lineRule="auto"/>
      </w:pPr>
      <w:r>
        <w:rPr>
          <w:rStyle w:val="Znakapoznpodarou"/>
        </w:rPr>
        <w:footnoteRef/>
      </w:r>
      <w:r>
        <w:t xml:space="preserve"> U vaření je možné zadat do aplikačního programu a při určení výše ONB zohledňovat užívání pouze jednoho zdroje energie. </w:t>
      </w:r>
    </w:p>
  </w:footnote>
  <w:footnote w:id="22">
    <w:p w:rsidR="00762634" w:rsidRPr="00245F7F" w:rsidRDefault="00762634" w:rsidP="00245F7F">
      <w:pPr>
        <w:spacing w:line="240" w:lineRule="auto"/>
        <w:rPr>
          <w:sz w:val="20"/>
          <w:szCs w:val="20"/>
        </w:rPr>
      </w:pPr>
      <w:r w:rsidRPr="00F2643E">
        <w:rPr>
          <w:rStyle w:val="Znakapoznpodarou"/>
        </w:rPr>
        <w:footnoteRef/>
      </w:r>
      <w:r w:rsidRPr="00F2643E">
        <w:t xml:space="preserve"> </w:t>
      </w:r>
      <w:r w:rsidRPr="00245F7F">
        <w:rPr>
          <w:sz w:val="20"/>
          <w:szCs w:val="20"/>
        </w:rPr>
        <w:t>Příklad je teoretický a platí jen pro typ bydlení „byt“. V případě jiných typů bydlení je výše ONB limitována normativními náklady, a proto doplatek nebo přeplatek nemusí být ve výši rozdílu mezi součtem záloh započítaných max. do výše v místě obvyklé a vyúčtovanými skutečnými náklady započítanými max. do výše v místě obvyklé.</w:t>
      </w:r>
    </w:p>
    <w:p w:rsidR="00762634" w:rsidRPr="00245F7F" w:rsidRDefault="00762634" w:rsidP="00245F7F">
      <w:pPr>
        <w:pStyle w:val="Textpoznpodarou"/>
        <w:spacing w:line="240" w:lineRule="auto"/>
      </w:pPr>
    </w:p>
  </w:footnote>
  <w:footnote w:id="23">
    <w:p w:rsidR="00762634" w:rsidRPr="00E63B7C" w:rsidRDefault="00762634" w:rsidP="008E5C9F">
      <w:pPr>
        <w:autoSpaceDE w:val="0"/>
        <w:spacing w:line="240" w:lineRule="auto"/>
        <w:rPr>
          <w:rFonts w:cs="Arial"/>
          <w:sz w:val="20"/>
          <w:szCs w:val="20"/>
        </w:rPr>
      </w:pPr>
      <w:r>
        <w:rPr>
          <w:rStyle w:val="Znakapoznpodarou"/>
        </w:rPr>
        <w:footnoteRef/>
      </w:r>
      <w:r>
        <w:t xml:space="preserve"> </w:t>
      </w:r>
      <w:r w:rsidRPr="00E63B7C">
        <w:rPr>
          <w:rFonts w:cs="Arial"/>
          <w:sz w:val="20"/>
          <w:szCs w:val="20"/>
        </w:rPr>
        <w:t xml:space="preserve">Průměrná celková měsíční spotřeba elektřiny domácnostmi v sazbě D 02d je poskytována ERÚ </w:t>
      </w:r>
      <w:r>
        <w:rPr>
          <w:rFonts w:cs="Arial"/>
          <w:sz w:val="20"/>
          <w:szCs w:val="20"/>
        </w:rPr>
        <w:br/>
      </w:r>
      <w:r w:rsidRPr="00E63B7C">
        <w:rPr>
          <w:rFonts w:cs="Arial"/>
          <w:sz w:val="20"/>
          <w:szCs w:val="20"/>
        </w:rPr>
        <w:t>a je uložena v aplikaci.</w:t>
      </w:r>
    </w:p>
    <w:p w:rsidR="00762634" w:rsidRDefault="00762634" w:rsidP="008E5C9F">
      <w:pPr>
        <w:pStyle w:val="Textpoznpodarou"/>
        <w:spacing w:line="240" w:lineRule="auto"/>
      </w:pPr>
    </w:p>
  </w:footnote>
  <w:footnote w:id="24">
    <w:p w:rsidR="00762634" w:rsidRDefault="00762634" w:rsidP="00610773">
      <w:pPr>
        <w:pStyle w:val="Textpoznpodarou"/>
        <w:spacing w:line="240" w:lineRule="auto"/>
      </w:pPr>
      <w:r>
        <w:rPr>
          <w:rStyle w:val="Znakapoznpodarou"/>
        </w:rPr>
        <w:footnoteRef/>
      </w:r>
      <w:r>
        <w:t xml:space="preserve"> Je upraveno v aplikačním programu, ve kterém se používá tabulka vztahu lokality, teplotního pásma a měrného ukazatele, kterou poskytl ERÚ.</w:t>
      </w:r>
    </w:p>
  </w:footnote>
  <w:footnote w:id="25">
    <w:p w:rsidR="00762634" w:rsidRDefault="00762634" w:rsidP="000F28A3">
      <w:pPr>
        <w:pStyle w:val="Textpoznpodarou"/>
        <w:spacing w:line="240" w:lineRule="auto"/>
      </w:pPr>
      <w:r>
        <w:rPr>
          <w:rStyle w:val="Znakapoznpodarou"/>
        </w:rPr>
        <w:footnoteRef/>
      </w:r>
      <w:r>
        <w:t xml:space="preserve"> Je upraveno v aplikačním programu, ve kterém se používá tabulka vztahu lokality, teplotního pásma a měrného ukazatele, kterou poskytl ERÚ.</w:t>
      </w:r>
    </w:p>
  </w:footnote>
  <w:footnote w:id="26">
    <w:p w:rsidR="00762634" w:rsidRDefault="00762634" w:rsidP="00160472">
      <w:pPr>
        <w:pStyle w:val="Textpoznpodarou"/>
        <w:spacing w:line="240" w:lineRule="auto"/>
      </w:pPr>
      <w:r>
        <w:rPr>
          <w:rStyle w:val="Znakapoznpodarou"/>
        </w:rPr>
        <w:footnoteRef/>
      </w:r>
      <w:r>
        <w:t xml:space="preserve"> Výhřevnost je zadána v aplikačním programu s možností úpravy. </w:t>
      </w:r>
    </w:p>
  </w:footnote>
  <w:footnote w:id="27">
    <w:p w:rsidR="00762634" w:rsidRDefault="00762634" w:rsidP="00160472">
      <w:pPr>
        <w:pStyle w:val="Textpoznpodarou"/>
        <w:spacing w:line="240" w:lineRule="auto"/>
      </w:pPr>
      <w:r>
        <w:rPr>
          <w:rStyle w:val="Znakapoznpodarou"/>
        </w:rPr>
        <w:footnoteRef/>
      </w:r>
      <w:r>
        <w:t xml:space="preserve"> Ověřuje a do aplikačního programu zadává orgán pomoci v hmotné nouzi.</w:t>
      </w:r>
    </w:p>
  </w:footnote>
  <w:footnote w:id="28">
    <w:p w:rsidR="00762634" w:rsidRDefault="00762634" w:rsidP="00B65559">
      <w:pPr>
        <w:pStyle w:val="Textpoznpodarou"/>
        <w:spacing w:line="240" w:lineRule="auto"/>
      </w:pPr>
      <w:r>
        <w:rPr>
          <w:rStyle w:val="Znakapoznpodarou"/>
        </w:rPr>
        <w:footnoteRef/>
      </w:r>
      <w:r>
        <w:t xml:space="preserve"> Do aplikačního programu se zadává „jiný typ – samosběr“ s cenou 0 Kč za jednotku.</w:t>
      </w:r>
    </w:p>
  </w:footnote>
  <w:footnote w:id="29">
    <w:p w:rsidR="00762634" w:rsidRPr="00043932" w:rsidRDefault="00762634" w:rsidP="00B65559">
      <w:pPr>
        <w:pStyle w:val="Textpoznpodarou"/>
        <w:spacing w:line="240" w:lineRule="auto"/>
      </w:pPr>
      <w:r>
        <w:rPr>
          <w:rStyle w:val="Znakapoznpodarou"/>
        </w:rPr>
        <w:footnoteRef/>
      </w:r>
      <w:r>
        <w:t xml:space="preserve"> </w:t>
      </w:r>
      <w:r w:rsidRPr="00043932">
        <w:t xml:space="preserve">Viz </w:t>
      </w:r>
      <w:r w:rsidRPr="00043932">
        <w:rPr>
          <w:rFonts w:cs="Arial"/>
          <w:color w:val="000000"/>
        </w:rPr>
        <w:t xml:space="preserve">§ 26 odst. 1 písm. a) </w:t>
      </w:r>
      <w:r w:rsidRPr="00DB22FA">
        <w:rPr>
          <w:rFonts w:cs="Arial"/>
          <w:color w:val="000000"/>
        </w:rPr>
        <w:t xml:space="preserve">zákona č. 117/1995 Sb., </w:t>
      </w:r>
      <w:r>
        <w:rPr>
          <w:rFonts w:cs="Arial"/>
          <w:color w:val="000000"/>
        </w:rPr>
        <w:t xml:space="preserve">o státní sociální podpoře, </w:t>
      </w:r>
      <w:r w:rsidRPr="00DB22FA">
        <w:rPr>
          <w:rFonts w:cs="Arial"/>
          <w:color w:val="000000"/>
        </w:rPr>
        <w:t>ve znění pozdějších předpisů.</w:t>
      </w:r>
    </w:p>
  </w:footnote>
  <w:footnote w:id="30">
    <w:p w:rsidR="00762634" w:rsidRPr="00043932" w:rsidRDefault="00762634" w:rsidP="00B65559">
      <w:pPr>
        <w:pStyle w:val="Textpoznpodarou"/>
        <w:spacing w:line="240" w:lineRule="auto"/>
      </w:pPr>
      <w:r w:rsidRPr="00043932">
        <w:rPr>
          <w:rStyle w:val="Znakapoznpodarou"/>
        </w:rPr>
        <w:footnoteRef/>
      </w:r>
      <w:r w:rsidRPr="00043932">
        <w:t xml:space="preserve"> Viz </w:t>
      </w:r>
      <w:r w:rsidRPr="00043932">
        <w:rPr>
          <w:rFonts w:cs="Arial"/>
          <w:color w:val="000000"/>
        </w:rPr>
        <w:t xml:space="preserve">§ 26 odst. 1 písm. b) </w:t>
      </w:r>
      <w:r w:rsidRPr="00DB22FA">
        <w:rPr>
          <w:rFonts w:cs="Arial"/>
          <w:color w:val="000000"/>
        </w:rPr>
        <w:t xml:space="preserve">zákona č. 117/1995 Sb., </w:t>
      </w:r>
      <w:r>
        <w:rPr>
          <w:rFonts w:cs="Arial"/>
          <w:color w:val="000000"/>
        </w:rPr>
        <w:t xml:space="preserve">o státní sociální podpoře, </w:t>
      </w:r>
      <w:r w:rsidRPr="00DB22FA">
        <w:rPr>
          <w:rFonts w:cs="Arial"/>
          <w:color w:val="000000"/>
        </w:rPr>
        <w:t>ve znění pozdějších předpisů.</w:t>
      </w:r>
    </w:p>
  </w:footnote>
  <w:footnote w:id="31">
    <w:p w:rsidR="00762634" w:rsidRDefault="00762634" w:rsidP="007A2E06">
      <w:pPr>
        <w:pStyle w:val="Textpoznpodarou"/>
        <w:spacing w:line="240" w:lineRule="auto"/>
      </w:pPr>
      <w:r>
        <w:rPr>
          <w:rStyle w:val="Znakapoznpodarou"/>
        </w:rPr>
        <w:footnoteRef/>
      </w:r>
      <w:r>
        <w:t xml:space="preserve"> Uvedená terminologie je zavedena v rámci aplikačního programu.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1FC899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706A8D"/>
    <w:multiLevelType w:val="hybridMultilevel"/>
    <w:tmpl w:val="DD0A8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976EA3"/>
    <w:multiLevelType w:val="hybridMultilevel"/>
    <w:tmpl w:val="447824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8D4A6E"/>
    <w:multiLevelType w:val="hybridMultilevel"/>
    <w:tmpl w:val="0554B8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315CF"/>
    <w:multiLevelType w:val="hybridMultilevel"/>
    <w:tmpl w:val="B3B49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EC41D9"/>
    <w:multiLevelType w:val="hybridMultilevel"/>
    <w:tmpl w:val="8E6AD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C17AD1"/>
    <w:multiLevelType w:val="hybridMultilevel"/>
    <w:tmpl w:val="0F8CB1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DE589D"/>
    <w:multiLevelType w:val="hybridMultilevel"/>
    <w:tmpl w:val="A7448A8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D18CE"/>
    <w:multiLevelType w:val="hybridMultilevel"/>
    <w:tmpl w:val="A2B8019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2F753E"/>
    <w:multiLevelType w:val="hybridMultilevel"/>
    <w:tmpl w:val="180A9D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791437"/>
    <w:multiLevelType w:val="hybridMultilevel"/>
    <w:tmpl w:val="32C29A6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9D7CA9"/>
    <w:multiLevelType w:val="hybridMultilevel"/>
    <w:tmpl w:val="89D2DBC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51D3736"/>
    <w:multiLevelType w:val="hybridMultilevel"/>
    <w:tmpl w:val="382E97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7768DA"/>
    <w:multiLevelType w:val="hybridMultilevel"/>
    <w:tmpl w:val="70086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585977"/>
    <w:multiLevelType w:val="hybridMultilevel"/>
    <w:tmpl w:val="F55C894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25BF3AF7"/>
    <w:multiLevelType w:val="hybridMultilevel"/>
    <w:tmpl w:val="9752C05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4D24EB"/>
    <w:multiLevelType w:val="hybridMultilevel"/>
    <w:tmpl w:val="FE1660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5774AC"/>
    <w:multiLevelType w:val="hybridMultilevel"/>
    <w:tmpl w:val="BCAA5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F252C2"/>
    <w:multiLevelType w:val="hybridMultilevel"/>
    <w:tmpl w:val="37C27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7F435F"/>
    <w:multiLevelType w:val="hybridMultilevel"/>
    <w:tmpl w:val="DB9215D0"/>
    <w:lvl w:ilvl="0" w:tplc="06E02C6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203CDF"/>
    <w:multiLevelType w:val="hybridMultilevel"/>
    <w:tmpl w:val="F28A3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2A5772"/>
    <w:multiLevelType w:val="hybridMultilevel"/>
    <w:tmpl w:val="312238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3454611"/>
    <w:multiLevelType w:val="hybridMultilevel"/>
    <w:tmpl w:val="72A80D3A"/>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35D626A"/>
    <w:multiLevelType w:val="hybridMultilevel"/>
    <w:tmpl w:val="92AE8E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FE637C"/>
    <w:multiLevelType w:val="hybridMultilevel"/>
    <w:tmpl w:val="AC26D99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5836C8"/>
    <w:multiLevelType w:val="hybridMultilevel"/>
    <w:tmpl w:val="BAD29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FF6543"/>
    <w:multiLevelType w:val="hybridMultilevel"/>
    <w:tmpl w:val="03AC243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64521A8"/>
    <w:multiLevelType w:val="hybridMultilevel"/>
    <w:tmpl w:val="D5C47438"/>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15:restartNumberingAfterBreak="0">
    <w:nsid w:val="6D702FC2"/>
    <w:multiLevelType w:val="hybridMultilevel"/>
    <w:tmpl w:val="1C88F99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9D7EEE"/>
    <w:multiLevelType w:val="hybridMultilevel"/>
    <w:tmpl w:val="7E4CBD8A"/>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9E343AC"/>
    <w:multiLevelType w:val="hybridMultilevel"/>
    <w:tmpl w:val="C15A23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897E24"/>
    <w:multiLevelType w:val="hybridMultilevel"/>
    <w:tmpl w:val="B0C284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3"/>
  </w:num>
  <w:num w:numId="3">
    <w:abstractNumId w:val="3"/>
  </w:num>
  <w:num w:numId="4">
    <w:abstractNumId w:val="4"/>
  </w:num>
  <w:num w:numId="5">
    <w:abstractNumId w:val="2"/>
  </w:num>
  <w:num w:numId="6">
    <w:abstractNumId w:val="10"/>
  </w:num>
  <w:num w:numId="7">
    <w:abstractNumId w:val="5"/>
  </w:num>
  <w:num w:numId="8">
    <w:abstractNumId w:val="6"/>
  </w:num>
  <w:num w:numId="9">
    <w:abstractNumId w:val="15"/>
  </w:num>
  <w:num w:numId="10">
    <w:abstractNumId w:val="7"/>
  </w:num>
  <w:num w:numId="11">
    <w:abstractNumId w:val="26"/>
  </w:num>
  <w:num w:numId="12">
    <w:abstractNumId w:val="8"/>
  </w:num>
  <w:num w:numId="13">
    <w:abstractNumId w:val="30"/>
  </w:num>
  <w:num w:numId="14">
    <w:abstractNumId w:val="31"/>
  </w:num>
  <w:num w:numId="15">
    <w:abstractNumId w:val="28"/>
  </w:num>
  <w:num w:numId="16">
    <w:abstractNumId w:val="22"/>
  </w:num>
  <w:num w:numId="17">
    <w:abstractNumId w:val="20"/>
  </w:num>
  <w:num w:numId="18">
    <w:abstractNumId w:val="1"/>
  </w:num>
  <w:num w:numId="19">
    <w:abstractNumId w:val="13"/>
  </w:num>
  <w:num w:numId="20">
    <w:abstractNumId w:val="29"/>
  </w:num>
  <w:num w:numId="21">
    <w:abstractNumId w:val="27"/>
  </w:num>
  <w:num w:numId="22">
    <w:abstractNumId w:val="18"/>
  </w:num>
  <w:num w:numId="23">
    <w:abstractNumId w:val="24"/>
  </w:num>
  <w:num w:numId="24">
    <w:abstractNumId w:val="9"/>
  </w:num>
  <w:num w:numId="25">
    <w:abstractNumId w:val="25"/>
  </w:num>
  <w:num w:numId="26">
    <w:abstractNumId w:val="11"/>
  </w:num>
  <w:num w:numId="27">
    <w:abstractNumId w:val="16"/>
  </w:num>
  <w:num w:numId="28">
    <w:abstractNumId w:val="12"/>
  </w:num>
  <w:num w:numId="29">
    <w:abstractNumId w:val="17"/>
  </w:num>
  <w:num w:numId="30">
    <w:abstractNumId w:val="14"/>
  </w:num>
  <w:num w:numId="31">
    <w:abstractNumId w:val="21"/>
  </w:num>
  <w:num w:numId="3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E1"/>
    <w:rsid w:val="00006A5C"/>
    <w:rsid w:val="00015641"/>
    <w:rsid w:val="000178AB"/>
    <w:rsid w:val="00020D8E"/>
    <w:rsid w:val="00022F6A"/>
    <w:rsid w:val="000253C1"/>
    <w:rsid w:val="00025C80"/>
    <w:rsid w:val="00027676"/>
    <w:rsid w:val="00030707"/>
    <w:rsid w:val="0003115B"/>
    <w:rsid w:val="00031881"/>
    <w:rsid w:val="00031C33"/>
    <w:rsid w:val="00035508"/>
    <w:rsid w:val="0004431A"/>
    <w:rsid w:val="00044C32"/>
    <w:rsid w:val="00047B07"/>
    <w:rsid w:val="00051246"/>
    <w:rsid w:val="00052CDD"/>
    <w:rsid w:val="00053682"/>
    <w:rsid w:val="0005531C"/>
    <w:rsid w:val="0005619E"/>
    <w:rsid w:val="00056CC4"/>
    <w:rsid w:val="00057734"/>
    <w:rsid w:val="0006217E"/>
    <w:rsid w:val="000629DE"/>
    <w:rsid w:val="000675B0"/>
    <w:rsid w:val="0006797E"/>
    <w:rsid w:val="00067A33"/>
    <w:rsid w:val="0007014E"/>
    <w:rsid w:val="00071310"/>
    <w:rsid w:val="000717FE"/>
    <w:rsid w:val="0007275F"/>
    <w:rsid w:val="00075468"/>
    <w:rsid w:val="00077246"/>
    <w:rsid w:val="000773CA"/>
    <w:rsid w:val="00080E02"/>
    <w:rsid w:val="00082A25"/>
    <w:rsid w:val="000877E6"/>
    <w:rsid w:val="00090FB8"/>
    <w:rsid w:val="000A034C"/>
    <w:rsid w:val="000A3A49"/>
    <w:rsid w:val="000A4BBE"/>
    <w:rsid w:val="000A6023"/>
    <w:rsid w:val="000B1F04"/>
    <w:rsid w:val="000B3550"/>
    <w:rsid w:val="000B573C"/>
    <w:rsid w:val="000D3155"/>
    <w:rsid w:val="000D33B6"/>
    <w:rsid w:val="000D47C3"/>
    <w:rsid w:val="000D6F9D"/>
    <w:rsid w:val="000D7A15"/>
    <w:rsid w:val="000E0415"/>
    <w:rsid w:val="000E0C73"/>
    <w:rsid w:val="000E27D0"/>
    <w:rsid w:val="000E5647"/>
    <w:rsid w:val="000F28A3"/>
    <w:rsid w:val="000F6009"/>
    <w:rsid w:val="000F7F4F"/>
    <w:rsid w:val="00103F6F"/>
    <w:rsid w:val="00104518"/>
    <w:rsid w:val="00106115"/>
    <w:rsid w:val="00111811"/>
    <w:rsid w:val="00113CB2"/>
    <w:rsid w:val="00114B9F"/>
    <w:rsid w:val="00115F70"/>
    <w:rsid w:val="00117B00"/>
    <w:rsid w:val="00121138"/>
    <w:rsid w:val="0012345D"/>
    <w:rsid w:val="0012567C"/>
    <w:rsid w:val="00125DB1"/>
    <w:rsid w:val="00127CC5"/>
    <w:rsid w:val="00130E49"/>
    <w:rsid w:val="0013168D"/>
    <w:rsid w:val="0013214C"/>
    <w:rsid w:val="00135A46"/>
    <w:rsid w:val="00137E34"/>
    <w:rsid w:val="00143D5C"/>
    <w:rsid w:val="0015055E"/>
    <w:rsid w:val="00150C90"/>
    <w:rsid w:val="001511A7"/>
    <w:rsid w:val="0015292F"/>
    <w:rsid w:val="00157140"/>
    <w:rsid w:val="00160472"/>
    <w:rsid w:val="00161ECF"/>
    <w:rsid w:val="00164C0D"/>
    <w:rsid w:val="00166F22"/>
    <w:rsid w:val="00172730"/>
    <w:rsid w:val="001728D2"/>
    <w:rsid w:val="00173B02"/>
    <w:rsid w:val="00183FAA"/>
    <w:rsid w:val="001851BA"/>
    <w:rsid w:val="001855DE"/>
    <w:rsid w:val="001A2546"/>
    <w:rsid w:val="001A2B62"/>
    <w:rsid w:val="001A5E25"/>
    <w:rsid w:val="001B0521"/>
    <w:rsid w:val="001B1B1D"/>
    <w:rsid w:val="001B4C70"/>
    <w:rsid w:val="001C05A2"/>
    <w:rsid w:val="001C07D5"/>
    <w:rsid w:val="001C2EDB"/>
    <w:rsid w:val="001C51DE"/>
    <w:rsid w:val="001C52EA"/>
    <w:rsid w:val="001D3E03"/>
    <w:rsid w:val="001E11E2"/>
    <w:rsid w:val="001E2ED3"/>
    <w:rsid w:val="001E34D4"/>
    <w:rsid w:val="001E45B0"/>
    <w:rsid w:val="001E47E4"/>
    <w:rsid w:val="001E77AF"/>
    <w:rsid w:val="001F0443"/>
    <w:rsid w:val="001F0FAB"/>
    <w:rsid w:val="001F1F2F"/>
    <w:rsid w:val="0021322F"/>
    <w:rsid w:val="00215842"/>
    <w:rsid w:val="00215F32"/>
    <w:rsid w:val="002269D4"/>
    <w:rsid w:val="002321AD"/>
    <w:rsid w:val="002341D6"/>
    <w:rsid w:val="00235EEC"/>
    <w:rsid w:val="002374BD"/>
    <w:rsid w:val="00240CD9"/>
    <w:rsid w:val="00245F7F"/>
    <w:rsid w:val="00246194"/>
    <w:rsid w:val="00247BE3"/>
    <w:rsid w:val="00250648"/>
    <w:rsid w:val="00253BA4"/>
    <w:rsid w:val="00256926"/>
    <w:rsid w:val="00257029"/>
    <w:rsid w:val="00262081"/>
    <w:rsid w:val="002633C4"/>
    <w:rsid w:val="00263D02"/>
    <w:rsid w:val="002645E6"/>
    <w:rsid w:val="002745DD"/>
    <w:rsid w:val="00283C6D"/>
    <w:rsid w:val="002849AE"/>
    <w:rsid w:val="002A3283"/>
    <w:rsid w:val="002A563D"/>
    <w:rsid w:val="002A6631"/>
    <w:rsid w:val="002A712B"/>
    <w:rsid w:val="002B25DD"/>
    <w:rsid w:val="002B38A5"/>
    <w:rsid w:val="002C05E9"/>
    <w:rsid w:val="002C0E50"/>
    <w:rsid w:val="002C67CD"/>
    <w:rsid w:val="002D0C6A"/>
    <w:rsid w:val="002D1AA2"/>
    <w:rsid w:val="002D60F9"/>
    <w:rsid w:val="002D65C9"/>
    <w:rsid w:val="002D700C"/>
    <w:rsid w:val="002D7AA9"/>
    <w:rsid w:val="002D7F26"/>
    <w:rsid w:val="002E3BBC"/>
    <w:rsid w:val="002E5D68"/>
    <w:rsid w:val="0030175A"/>
    <w:rsid w:val="003120C6"/>
    <w:rsid w:val="00313D0C"/>
    <w:rsid w:val="00314F71"/>
    <w:rsid w:val="00316214"/>
    <w:rsid w:val="0032438C"/>
    <w:rsid w:val="00324C82"/>
    <w:rsid w:val="0032627C"/>
    <w:rsid w:val="003352BF"/>
    <w:rsid w:val="00335D18"/>
    <w:rsid w:val="00345977"/>
    <w:rsid w:val="00346777"/>
    <w:rsid w:val="00351CD2"/>
    <w:rsid w:val="0035206C"/>
    <w:rsid w:val="0035643F"/>
    <w:rsid w:val="003612FC"/>
    <w:rsid w:val="00362202"/>
    <w:rsid w:val="00364892"/>
    <w:rsid w:val="00373650"/>
    <w:rsid w:val="00375222"/>
    <w:rsid w:val="003779C6"/>
    <w:rsid w:val="00380EB9"/>
    <w:rsid w:val="00383EB3"/>
    <w:rsid w:val="00384519"/>
    <w:rsid w:val="003866DF"/>
    <w:rsid w:val="00386AD0"/>
    <w:rsid w:val="00386F9E"/>
    <w:rsid w:val="003878AB"/>
    <w:rsid w:val="00390FE9"/>
    <w:rsid w:val="0039223D"/>
    <w:rsid w:val="0039750E"/>
    <w:rsid w:val="00397651"/>
    <w:rsid w:val="003A6E91"/>
    <w:rsid w:val="003B1D9C"/>
    <w:rsid w:val="003B3BFE"/>
    <w:rsid w:val="003B604B"/>
    <w:rsid w:val="003B702A"/>
    <w:rsid w:val="003B7CBD"/>
    <w:rsid w:val="003C126E"/>
    <w:rsid w:val="003C25E8"/>
    <w:rsid w:val="003C2975"/>
    <w:rsid w:val="003C3008"/>
    <w:rsid w:val="003C327C"/>
    <w:rsid w:val="003C5AC0"/>
    <w:rsid w:val="003C7226"/>
    <w:rsid w:val="003C76FC"/>
    <w:rsid w:val="003D0499"/>
    <w:rsid w:val="003D04F1"/>
    <w:rsid w:val="003D4B08"/>
    <w:rsid w:val="003E275C"/>
    <w:rsid w:val="003E3C56"/>
    <w:rsid w:val="003E6BDD"/>
    <w:rsid w:val="003F5C50"/>
    <w:rsid w:val="003F7506"/>
    <w:rsid w:val="00402D65"/>
    <w:rsid w:val="0040428F"/>
    <w:rsid w:val="00405DA2"/>
    <w:rsid w:val="00410943"/>
    <w:rsid w:val="00414598"/>
    <w:rsid w:val="0041755C"/>
    <w:rsid w:val="004203B4"/>
    <w:rsid w:val="004226B3"/>
    <w:rsid w:val="00423323"/>
    <w:rsid w:val="004251B6"/>
    <w:rsid w:val="00433C54"/>
    <w:rsid w:val="004340B1"/>
    <w:rsid w:val="004371E6"/>
    <w:rsid w:val="00437A26"/>
    <w:rsid w:val="004408B0"/>
    <w:rsid w:val="004457B9"/>
    <w:rsid w:val="00446532"/>
    <w:rsid w:val="004534C3"/>
    <w:rsid w:val="004541C4"/>
    <w:rsid w:val="00455986"/>
    <w:rsid w:val="0045786D"/>
    <w:rsid w:val="00461EA7"/>
    <w:rsid w:val="00465C53"/>
    <w:rsid w:val="0046715B"/>
    <w:rsid w:val="00470641"/>
    <w:rsid w:val="00473339"/>
    <w:rsid w:val="00480112"/>
    <w:rsid w:val="00482086"/>
    <w:rsid w:val="00484220"/>
    <w:rsid w:val="00484B7D"/>
    <w:rsid w:val="004861E6"/>
    <w:rsid w:val="00487762"/>
    <w:rsid w:val="00487BBD"/>
    <w:rsid w:val="00497BC4"/>
    <w:rsid w:val="00497D50"/>
    <w:rsid w:val="004A31BF"/>
    <w:rsid w:val="004A5513"/>
    <w:rsid w:val="004A5548"/>
    <w:rsid w:val="004A56DF"/>
    <w:rsid w:val="004B3247"/>
    <w:rsid w:val="004B398B"/>
    <w:rsid w:val="004B60F6"/>
    <w:rsid w:val="004C1EBD"/>
    <w:rsid w:val="004C48C6"/>
    <w:rsid w:val="004C7B6E"/>
    <w:rsid w:val="004D1016"/>
    <w:rsid w:val="004D1C84"/>
    <w:rsid w:val="004D2F33"/>
    <w:rsid w:val="004D3F0C"/>
    <w:rsid w:val="004D3F61"/>
    <w:rsid w:val="004D48A2"/>
    <w:rsid w:val="004D746E"/>
    <w:rsid w:val="004E1D57"/>
    <w:rsid w:val="004E3833"/>
    <w:rsid w:val="004E5539"/>
    <w:rsid w:val="004E5AF1"/>
    <w:rsid w:val="004E6652"/>
    <w:rsid w:val="004F134C"/>
    <w:rsid w:val="004F1BB3"/>
    <w:rsid w:val="004F1C5C"/>
    <w:rsid w:val="004F2A2A"/>
    <w:rsid w:val="004F3C97"/>
    <w:rsid w:val="004F5A20"/>
    <w:rsid w:val="004F5F68"/>
    <w:rsid w:val="004F7A5C"/>
    <w:rsid w:val="00500E18"/>
    <w:rsid w:val="0050234F"/>
    <w:rsid w:val="005029E1"/>
    <w:rsid w:val="00505805"/>
    <w:rsid w:val="005059DC"/>
    <w:rsid w:val="00506AE3"/>
    <w:rsid w:val="00507486"/>
    <w:rsid w:val="00510638"/>
    <w:rsid w:val="005138FA"/>
    <w:rsid w:val="00520888"/>
    <w:rsid w:val="0052166F"/>
    <w:rsid w:val="00530232"/>
    <w:rsid w:val="00537EE3"/>
    <w:rsid w:val="0054051C"/>
    <w:rsid w:val="00540593"/>
    <w:rsid w:val="00540AEE"/>
    <w:rsid w:val="0054761C"/>
    <w:rsid w:val="005541EA"/>
    <w:rsid w:val="005552B5"/>
    <w:rsid w:val="005601C4"/>
    <w:rsid w:val="005610B1"/>
    <w:rsid w:val="00565A12"/>
    <w:rsid w:val="00566D89"/>
    <w:rsid w:val="00567B39"/>
    <w:rsid w:val="00574FAA"/>
    <w:rsid w:val="00580C59"/>
    <w:rsid w:val="00581DDA"/>
    <w:rsid w:val="00582CBA"/>
    <w:rsid w:val="00584541"/>
    <w:rsid w:val="00584F73"/>
    <w:rsid w:val="005A1774"/>
    <w:rsid w:val="005A51BF"/>
    <w:rsid w:val="005A57EA"/>
    <w:rsid w:val="005A5B69"/>
    <w:rsid w:val="005B1E69"/>
    <w:rsid w:val="005B2503"/>
    <w:rsid w:val="005B36AE"/>
    <w:rsid w:val="005B5A4D"/>
    <w:rsid w:val="005C29D1"/>
    <w:rsid w:val="005C2EE7"/>
    <w:rsid w:val="005C3645"/>
    <w:rsid w:val="005C63C2"/>
    <w:rsid w:val="005D327C"/>
    <w:rsid w:val="005E07FB"/>
    <w:rsid w:val="005E2C8A"/>
    <w:rsid w:val="005E53E6"/>
    <w:rsid w:val="005F43A8"/>
    <w:rsid w:val="005F48D7"/>
    <w:rsid w:val="005F5A74"/>
    <w:rsid w:val="00603E09"/>
    <w:rsid w:val="00610773"/>
    <w:rsid w:val="00615070"/>
    <w:rsid w:val="006171F0"/>
    <w:rsid w:val="006223AD"/>
    <w:rsid w:val="00623BC2"/>
    <w:rsid w:val="00624EDD"/>
    <w:rsid w:val="006258EA"/>
    <w:rsid w:val="00625C8D"/>
    <w:rsid w:val="00631817"/>
    <w:rsid w:val="0063186F"/>
    <w:rsid w:val="00641E2F"/>
    <w:rsid w:val="006425F2"/>
    <w:rsid w:val="006434DA"/>
    <w:rsid w:val="00643ABF"/>
    <w:rsid w:val="00644B8D"/>
    <w:rsid w:val="00645C81"/>
    <w:rsid w:val="0065043D"/>
    <w:rsid w:val="00652123"/>
    <w:rsid w:val="00654B1E"/>
    <w:rsid w:val="006611CE"/>
    <w:rsid w:val="0066557A"/>
    <w:rsid w:val="00670C8E"/>
    <w:rsid w:val="00672BA8"/>
    <w:rsid w:val="00675F01"/>
    <w:rsid w:val="00676A93"/>
    <w:rsid w:val="00677621"/>
    <w:rsid w:val="006807D6"/>
    <w:rsid w:val="006815CE"/>
    <w:rsid w:val="0068289D"/>
    <w:rsid w:val="00684464"/>
    <w:rsid w:val="00684AF2"/>
    <w:rsid w:val="00692FA5"/>
    <w:rsid w:val="006A3977"/>
    <w:rsid w:val="006A55CE"/>
    <w:rsid w:val="006A612C"/>
    <w:rsid w:val="006B58C2"/>
    <w:rsid w:val="006B7704"/>
    <w:rsid w:val="006C0FC2"/>
    <w:rsid w:val="006C7092"/>
    <w:rsid w:val="006D2690"/>
    <w:rsid w:val="006D3544"/>
    <w:rsid w:val="006D4472"/>
    <w:rsid w:val="006D5A1E"/>
    <w:rsid w:val="006D5F53"/>
    <w:rsid w:val="006D67CC"/>
    <w:rsid w:val="006E163E"/>
    <w:rsid w:val="006E19E1"/>
    <w:rsid w:val="006E1D3A"/>
    <w:rsid w:val="006E374D"/>
    <w:rsid w:val="006E7B27"/>
    <w:rsid w:val="006F3637"/>
    <w:rsid w:val="006F65E5"/>
    <w:rsid w:val="007010B9"/>
    <w:rsid w:val="007077A2"/>
    <w:rsid w:val="007117BD"/>
    <w:rsid w:val="00714DFD"/>
    <w:rsid w:val="007168D7"/>
    <w:rsid w:val="0071766E"/>
    <w:rsid w:val="00717747"/>
    <w:rsid w:val="00724BE3"/>
    <w:rsid w:val="00730FA7"/>
    <w:rsid w:val="00733863"/>
    <w:rsid w:val="00734D69"/>
    <w:rsid w:val="007404EF"/>
    <w:rsid w:val="00746FF0"/>
    <w:rsid w:val="007477E4"/>
    <w:rsid w:val="00757A00"/>
    <w:rsid w:val="00762634"/>
    <w:rsid w:val="00762696"/>
    <w:rsid w:val="007637A8"/>
    <w:rsid w:val="007647F5"/>
    <w:rsid w:val="007848B1"/>
    <w:rsid w:val="0078500D"/>
    <w:rsid w:val="007855F7"/>
    <w:rsid w:val="0078692B"/>
    <w:rsid w:val="007905C4"/>
    <w:rsid w:val="007915EA"/>
    <w:rsid w:val="00791F51"/>
    <w:rsid w:val="00794056"/>
    <w:rsid w:val="00794634"/>
    <w:rsid w:val="0079479F"/>
    <w:rsid w:val="00794DD3"/>
    <w:rsid w:val="00796B36"/>
    <w:rsid w:val="00796BC8"/>
    <w:rsid w:val="007A2E06"/>
    <w:rsid w:val="007A358B"/>
    <w:rsid w:val="007A39A6"/>
    <w:rsid w:val="007A41E2"/>
    <w:rsid w:val="007B0FA3"/>
    <w:rsid w:val="007B4DEA"/>
    <w:rsid w:val="007B7F96"/>
    <w:rsid w:val="007C0DEB"/>
    <w:rsid w:val="007C1116"/>
    <w:rsid w:val="007C212F"/>
    <w:rsid w:val="007C4BDE"/>
    <w:rsid w:val="007C594F"/>
    <w:rsid w:val="007C6E3E"/>
    <w:rsid w:val="007C742C"/>
    <w:rsid w:val="007D0169"/>
    <w:rsid w:val="007D041C"/>
    <w:rsid w:val="007D2368"/>
    <w:rsid w:val="007D236F"/>
    <w:rsid w:val="007D496E"/>
    <w:rsid w:val="007D61E8"/>
    <w:rsid w:val="007E607B"/>
    <w:rsid w:val="007E7ED3"/>
    <w:rsid w:val="007F12C6"/>
    <w:rsid w:val="007F3E18"/>
    <w:rsid w:val="007F4EBC"/>
    <w:rsid w:val="0080033F"/>
    <w:rsid w:val="00805C22"/>
    <w:rsid w:val="008109AA"/>
    <w:rsid w:val="00811042"/>
    <w:rsid w:val="0081171A"/>
    <w:rsid w:val="00815A83"/>
    <w:rsid w:val="00816A72"/>
    <w:rsid w:val="00817B71"/>
    <w:rsid w:val="00817DA6"/>
    <w:rsid w:val="00822085"/>
    <w:rsid w:val="00825C0C"/>
    <w:rsid w:val="008329CE"/>
    <w:rsid w:val="00832C14"/>
    <w:rsid w:val="00836F56"/>
    <w:rsid w:val="008423AD"/>
    <w:rsid w:val="008458B7"/>
    <w:rsid w:val="00847298"/>
    <w:rsid w:val="00850396"/>
    <w:rsid w:val="0085184A"/>
    <w:rsid w:val="0085641D"/>
    <w:rsid w:val="008627EA"/>
    <w:rsid w:val="008637A7"/>
    <w:rsid w:val="00864490"/>
    <w:rsid w:val="0086614E"/>
    <w:rsid w:val="00874A36"/>
    <w:rsid w:val="0088101A"/>
    <w:rsid w:val="008811DB"/>
    <w:rsid w:val="00884365"/>
    <w:rsid w:val="008857DF"/>
    <w:rsid w:val="00886CAE"/>
    <w:rsid w:val="008900C9"/>
    <w:rsid w:val="008901EF"/>
    <w:rsid w:val="00890345"/>
    <w:rsid w:val="0089085A"/>
    <w:rsid w:val="00893312"/>
    <w:rsid w:val="0089689E"/>
    <w:rsid w:val="00896C04"/>
    <w:rsid w:val="00896FB8"/>
    <w:rsid w:val="008A0C2D"/>
    <w:rsid w:val="008A2DB9"/>
    <w:rsid w:val="008A2E54"/>
    <w:rsid w:val="008A453B"/>
    <w:rsid w:val="008B28E4"/>
    <w:rsid w:val="008B3DE5"/>
    <w:rsid w:val="008B3F15"/>
    <w:rsid w:val="008B5C9B"/>
    <w:rsid w:val="008C10A2"/>
    <w:rsid w:val="008C45E6"/>
    <w:rsid w:val="008C4D1F"/>
    <w:rsid w:val="008C6834"/>
    <w:rsid w:val="008C69C2"/>
    <w:rsid w:val="008E4817"/>
    <w:rsid w:val="008E5C9F"/>
    <w:rsid w:val="008E702F"/>
    <w:rsid w:val="008F3774"/>
    <w:rsid w:val="008F3EF4"/>
    <w:rsid w:val="00903202"/>
    <w:rsid w:val="0090357D"/>
    <w:rsid w:val="00905761"/>
    <w:rsid w:val="00906A3E"/>
    <w:rsid w:val="00907EE2"/>
    <w:rsid w:val="009117CF"/>
    <w:rsid w:val="00911B41"/>
    <w:rsid w:val="009124EC"/>
    <w:rsid w:val="00914220"/>
    <w:rsid w:val="009178A1"/>
    <w:rsid w:val="00927530"/>
    <w:rsid w:val="0094061E"/>
    <w:rsid w:val="00950D0F"/>
    <w:rsid w:val="00950DF9"/>
    <w:rsid w:val="00953604"/>
    <w:rsid w:val="0095396C"/>
    <w:rsid w:val="009544CF"/>
    <w:rsid w:val="00954DC3"/>
    <w:rsid w:val="00956EB2"/>
    <w:rsid w:val="009603E4"/>
    <w:rsid w:val="00962CB9"/>
    <w:rsid w:val="00965416"/>
    <w:rsid w:val="00966382"/>
    <w:rsid w:val="00976759"/>
    <w:rsid w:val="00977305"/>
    <w:rsid w:val="009817E2"/>
    <w:rsid w:val="0098417F"/>
    <w:rsid w:val="00986703"/>
    <w:rsid w:val="009869D5"/>
    <w:rsid w:val="0098769F"/>
    <w:rsid w:val="009929B0"/>
    <w:rsid w:val="00992DCE"/>
    <w:rsid w:val="009931E2"/>
    <w:rsid w:val="009A02B9"/>
    <w:rsid w:val="009A7573"/>
    <w:rsid w:val="009A7C8F"/>
    <w:rsid w:val="009B434D"/>
    <w:rsid w:val="009B50D9"/>
    <w:rsid w:val="009B665D"/>
    <w:rsid w:val="009B7303"/>
    <w:rsid w:val="009B7409"/>
    <w:rsid w:val="009B7ED4"/>
    <w:rsid w:val="009C0090"/>
    <w:rsid w:val="009C48B1"/>
    <w:rsid w:val="009D1818"/>
    <w:rsid w:val="009D3155"/>
    <w:rsid w:val="009D556D"/>
    <w:rsid w:val="009D7EB8"/>
    <w:rsid w:val="009E11C0"/>
    <w:rsid w:val="009E13E7"/>
    <w:rsid w:val="009E4BB0"/>
    <w:rsid w:val="009E4EA7"/>
    <w:rsid w:val="009E51AA"/>
    <w:rsid w:val="009E5390"/>
    <w:rsid w:val="009E75DF"/>
    <w:rsid w:val="00A001E9"/>
    <w:rsid w:val="00A00D8F"/>
    <w:rsid w:val="00A01264"/>
    <w:rsid w:val="00A019FA"/>
    <w:rsid w:val="00A01E05"/>
    <w:rsid w:val="00A032E5"/>
    <w:rsid w:val="00A04D86"/>
    <w:rsid w:val="00A1305F"/>
    <w:rsid w:val="00A16B93"/>
    <w:rsid w:val="00A2163A"/>
    <w:rsid w:val="00A230F7"/>
    <w:rsid w:val="00A243D6"/>
    <w:rsid w:val="00A3185C"/>
    <w:rsid w:val="00A33616"/>
    <w:rsid w:val="00A40435"/>
    <w:rsid w:val="00A41459"/>
    <w:rsid w:val="00A4270E"/>
    <w:rsid w:val="00A42860"/>
    <w:rsid w:val="00A42F0A"/>
    <w:rsid w:val="00A43684"/>
    <w:rsid w:val="00A51145"/>
    <w:rsid w:val="00A53DF2"/>
    <w:rsid w:val="00A651D9"/>
    <w:rsid w:val="00A652B7"/>
    <w:rsid w:val="00A656B4"/>
    <w:rsid w:val="00A66A53"/>
    <w:rsid w:val="00A728F3"/>
    <w:rsid w:val="00A72FF5"/>
    <w:rsid w:val="00A73B25"/>
    <w:rsid w:val="00A74584"/>
    <w:rsid w:val="00A756B4"/>
    <w:rsid w:val="00A75F6F"/>
    <w:rsid w:val="00A76111"/>
    <w:rsid w:val="00A76D4D"/>
    <w:rsid w:val="00A8078C"/>
    <w:rsid w:val="00A83CEE"/>
    <w:rsid w:val="00A87E04"/>
    <w:rsid w:val="00A924B4"/>
    <w:rsid w:val="00A96F2D"/>
    <w:rsid w:val="00AB0193"/>
    <w:rsid w:val="00AB0837"/>
    <w:rsid w:val="00AB09BA"/>
    <w:rsid w:val="00AB0AA0"/>
    <w:rsid w:val="00AB4F6D"/>
    <w:rsid w:val="00AB7984"/>
    <w:rsid w:val="00AC3233"/>
    <w:rsid w:val="00AC5162"/>
    <w:rsid w:val="00AC6703"/>
    <w:rsid w:val="00AD1E89"/>
    <w:rsid w:val="00AD2692"/>
    <w:rsid w:val="00AD5C5C"/>
    <w:rsid w:val="00AE2889"/>
    <w:rsid w:val="00AE516C"/>
    <w:rsid w:val="00AE6410"/>
    <w:rsid w:val="00AE6E25"/>
    <w:rsid w:val="00AF0A4F"/>
    <w:rsid w:val="00AF21E1"/>
    <w:rsid w:val="00AF5C04"/>
    <w:rsid w:val="00B00300"/>
    <w:rsid w:val="00B00997"/>
    <w:rsid w:val="00B00FC5"/>
    <w:rsid w:val="00B013BE"/>
    <w:rsid w:val="00B01CC3"/>
    <w:rsid w:val="00B01E13"/>
    <w:rsid w:val="00B05E1E"/>
    <w:rsid w:val="00B13EC2"/>
    <w:rsid w:val="00B155FC"/>
    <w:rsid w:val="00B2049A"/>
    <w:rsid w:val="00B2365B"/>
    <w:rsid w:val="00B31F42"/>
    <w:rsid w:val="00B328DA"/>
    <w:rsid w:val="00B33091"/>
    <w:rsid w:val="00B3329A"/>
    <w:rsid w:val="00B4066F"/>
    <w:rsid w:val="00B414F2"/>
    <w:rsid w:val="00B41901"/>
    <w:rsid w:val="00B508DB"/>
    <w:rsid w:val="00B50CD3"/>
    <w:rsid w:val="00B518E2"/>
    <w:rsid w:val="00B53DBB"/>
    <w:rsid w:val="00B63622"/>
    <w:rsid w:val="00B63970"/>
    <w:rsid w:val="00B65559"/>
    <w:rsid w:val="00B7249D"/>
    <w:rsid w:val="00B8719E"/>
    <w:rsid w:val="00B91886"/>
    <w:rsid w:val="00B91D28"/>
    <w:rsid w:val="00B9437F"/>
    <w:rsid w:val="00B947A7"/>
    <w:rsid w:val="00BA241D"/>
    <w:rsid w:val="00BA3A6B"/>
    <w:rsid w:val="00BA6E9F"/>
    <w:rsid w:val="00BA74D4"/>
    <w:rsid w:val="00BB180D"/>
    <w:rsid w:val="00BB253B"/>
    <w:rsid w:val="00BB49E4"/>
    <w:rsid w:val="00BB4D93"/>
    <w:rsid w:val="00BB7141"/>
    <w:rsid w:val="00BB76AB"/>
    <w:rsid w:val="00BB787C"/>
    <w:rsid w:val="00BB7EB9"/>
    <w:rsid w:val="00BC70B4"/>
    <w:rsid w:val="00BD3023"/>
    <w:rsid w:val="00BD482C"/>
    <w:rsid w:val="00BD4831"/>
    <w:rsid w:val="00BD647B"/>
    <w:rsid w:val="00BF6A67"/>
    <w:rsid w:val="00C00E38"/>
    <w:rsid w:val="00C01E5D"/>
    <w:rsid w:val="00C025E3"/>
    <w:rsid w:val="00C06651"/>
    <w:rsid w:val="00C07BAA"/>
    <w:rsid w:val="00C07E51"/>
    <w:rsid w:val="00C156E4"/>
    <w:rsid w:val="00C1665D"/>
    <w:rsid w:val="00C200DD"/>
    <w:rsid w:val="00C239CD"/>
    <w:rsid w:val="00C270EA"/>
    <w:rsid w:val="00C36E6C"/>
    <w:rsid w:val="00C4013C"/>
    <w:rsid w:val="00C44C5F"/>
    <w:rsid w:val="00C4623E"/>
    <w:rsid w:val="00C47076"/>
    <w:rsid w:val="00C521CB"/>
    <w:rsid w:val="00C57794"/>
    <w:rsid w:val="00C65FFD"/>
    <w:rsid w:val="00C72EA9"/>
    <w:rsid w:val="00C77F95"/>
    <w:rsid w:val="00C80A8C"/>
    <w:rsid w:val="00C81007"/>
    <w:rsid w:val="00C81862"/>
    <w:rsid w:val="00C829F5"/>
    <w:rsid w:val="00C866F7"/>
    <w:rsid w:val="00C87103"/>
    <w:rsid w:val="00C907F6"/>
    <w:rsid w:val="00C955A2"/>
    <w:rsid w:val="00CA14FD"/>
    <w:rsid w:val="00CA3D7B"/>
    <w:rsid w:val="00CA70E5"/>
    <w:rsid w:val="00CA7B47"/>
    <w:rsid w:val="00CB0C4C"/>
    <w:rsid w:val="00CB4599"/>
    <w:rsid w:val="00CB7033"/>
    <w:rsid w:val="00CB71A9"/>
    <w:rsid w:val="00CC5319"/>
    <w:rsid w:val="00CC7574"/>
    <w:rsid w:val="00CD1C93"/>
    <w:rsid w:val="00CD68A6"/>
    <w:rsid w:val="00CE175E"/>
    <w:rsid w:val="00CE7BFC"/>
    <w:rsid w:val="00CF149F"/>
    <w:rsid w:val="00CF271C"/>
    <w:rsid w:val="00CF40AF"/>
    <w:rsid w:val="00CF5AA1"/>
    <w:rsid w:val="00CF7A0D"/>
    <w:rsid w:val="00CF7C42"/>
    <w:rsid w:val="00CF7E7B"/>
    <w:rsid w:val="00D01B2D"/>
    <w:rsid w:val="00D03B1B"/>
    <w:rsid w:val="00D12BCA"/>
    <w:rsid w:val="00D13662"/>
    <w:rsid w:val="00D13AD5"/>
    <w:rsid w:val="00D141FA"/>
    <w:rsid w:val="00D1469D"/>
    <w:rsid w:val="00D22248"/>
    <w:rsid w:val="00D233F5"/>
    <w:rsid w:val="00D25219"/>
    <w:rsid w:val="00D30D3F"/>
    <w:rsid w:val="00D464EF"/>
    <w:rsid w:val="00D54932"/>
    <w:rsid w:val="00D57773"/>
    <w:rsid w:val="00D64F0F"/>
    <w:rsid w:val="00D65E08"/>
    <w:rsid w:val="00D65F35"/>
    <w:rsid w:val="00D66A20"/>
    <w:rsid w:val="00D66A3C"/>
    <w:rsid w:val="00D7514B"/>
    <w:rsid w:val="00D76517"/>
    <w:rsid w:val="00D77115"/>
    <w:rsid w:val="00D779B2"/>
    <w:rsid w:val="00D77E3A"/>
    <w:rsid w:val="00D804D0"/>
    <w:rsid w:val="00D84100"/>
    <w:rsid w:val="00D876AF"/>
    <w:rsid w:val="00D9363E"/>
    <w:rsid w:val="00D936DA"/>
    <w:rsid w:val="00D96260"/>
    <w:rsid w:val="00D979F1"/>
    <w:rsid w:val="00DA0270"/>
    <w:rsid w:val="00DA0A41"/>
    <w:rsid w:val="00DA7E60"/>
    <w:rsid w:val="00DB0553"/>
    <w:rsid w:val="00DB2F2D"/>
    <w:rsid w:val="00DB4B45"/>
    <w:rsid w:val="00DB793E"/>
    <w:rsid w:val="00DC0EA0"/>
    <w:rsid w:val="00DC2E49"/>
    <w:rsid w:val="00DC63C4"/>
    <w:rsid w:val="00DC63CD"/>
    <w:rsid w:val="00DC736F"/>
    <w:rsid w:val="00DD0392"/>
    <w:rsid w:val="00DD12DB"/>
    <w:rsid w:val="00DD41E6"/>
    <w:rsid w:val="00DD7876"/>
    <w:rsid w:val="00DE2B34"/>
    <w:rsid w:val="00DE2E2F"/>
    <w:rsid w:val="00DE3175"/>
    <w:rsid w:val="00DE6B1B"/>
    <w:rsid w:val="00DF056A"/>
    <w:rsid w:val="00DF12C1"/>
    <w:rsid w:val="00DF48F0"/>
    <w:rsid w:val="00DF60D1"/>
    <w:rsid w:val="00E00636"/>
    <w:rsid w:val="00E007EB"/>
    <w:rsid w:val="00E05355"/>
    <w:rsid w:val="00E06104"/>
    <w:rsid w:val="00E105F2"/>
    <w:rsid w:val="00E11AEB"/>
    <w:rsid w:val="00E163DE"/>
    <w:rsid w:val="00E169E6"/>
    <w:rsid w:val="00E1704F"/>
    <w:rsid w:val="00E17B9B"/>
    <w:rsid w:val="00E24AC7"/>
    <w:rsid w:val="00E27851"/>
    <w:rsid w:val="00E27FB0"/>
    <w:rsid w:val="00E31773"/>
    <w:rsid w:val="00E31C5B"/>
    <w:rsid w:val="00E36274"/>
    <w:rsid w:val="00E41181"/>
    <w:rsid w:val="00E44D42"/>
    <w:rsid w:val="00E4788C"/>
    <w:rsid w:val="00E522D2"/>
    <w:rsid w:val="00E54C24"/>
    <w:rsid w:val="00E563D0"/>
    <w:rsid w:val="00E62F93"/>
    <w:rsid w:val="00E63B7C"/>
    <w:rsid w:val="00E664E6"/>
    <w:rsid w:val="00E67891"/>
    <w:rsid w:val="00E70F9D"/>
    <w:rsid w:val="00E73AC6"/>
    <w:rsid w:val="00E7491B"/>
    <w:rsid w:val="00E81304"/>
    <w:rsid w:val="00E817D2"/>
    <w:rsid w:val="00E82ED8"/>
    <w:rsid w:val="00E844A7"/>
    <w:rsid w:val="00E84AD8"/>
    <w:rsid w:val="00E84F64"/>
    <w:rsid w:val="00E87994"/>
    <w:rsid w:val="00E932E3"/>
    <w:rsid w:val="00E943A6"/>
    <w:rsid w:val="00E94765"/>
    <w:rsid w:val="00E95DC7"/>
    <w:rsid w:val="00E9601E"/>
    <w:rsid w:val="00EA401E"/>
    <w:rsid w:val="00EA6A9E"/>
    <w:rsid w:val="00EB04FA"/>
    <w:rsid w:val="00EB0977"/>
    <w:rsid w:val="00EB3BC0"/>
    <w:rsid w:val="00EC0DBC"/>
    <w:rsid w:val="00EC2DD4"/>
    <w:rsid w:val="00ED1009"/>
    <w:rsid w:val="00ED21C2"/>
    <w:rsid w:val="00ED3C48"/>
    <w:rsid w:val="00ED506E"/>
    <w:rsid w:val="00ED5524"/>
    <w:rsid w:val="00ED77D7"/>
    <w:rsid w:val="00EE0095"/>
    <w:rsid w:val="00EE3CCE"/>
    <w:rsid w:val="00EE4F0D"/>
    <w:rsid w:val="00EF2567"/>
    <w:rsid w:val="00EF38A9"/>
    <w:rsid w:val="00EF4269"/>
    <w:rsid w:val="00F00B7D"/>
    <w:rsid w:val="00F01EDE"/>
    <w:rsid w:val="00F0246B"/>
    <w:rsid w:val="00F10465"/>
    <w:rsid w:val="00F11788"/>
    <w:rsid w:val="00F15920"/>
    <w:rsid w:val="00F2025D"/>
    <w:rsid w:val="00F21384"/>
    <w:rsid w:val="00F21F00"/>
    <w:rsid w:val="00F245DE"/>
    <w:rsid w:val="00F25C3C"/>
    <w:rsid w:val="00F2643E"/>
    <w:rsid w:val="00F30F47"/>
    <w:rsid w:val="00F329B2"/>
    <w:rsid w:val="00F35B6D"/>
    <w:rsid w:val="00F36835"/>
    <w:rsid w:val="00F40183"/>
    <w:rsid w:val="00F45634"/>
    <w:rsid w:val="00F4740C"/>
    <w:rsid w:val="00F51109"/>
    <w:rsid w:val="00F53367"/>
    <w:rsid w:val="00F545A2"/>
    <w:rsid w:val="00F70B34"/>
    <w:rsid w:val="00F764EE"/>
    <w:rsid w:val="00F77603"/>
    <w:rsid w:val="00F77D95"/>
    <w:rsid w:val="00F81281"/>
    <w:rsid w:val="00F853E6"/>
    <w:rsid w:val="00F856A7"/>
    <w:rsid w:val="00F87D17"/>
    <w:rsid w:val="00F941CE"/>
    <w:rsid w:val="00F95494"/>
    <w:rsid w:val="00FA2E9D"/>
    <w:rsid w:val="00FA38DC"/>
    <w:rsid w:val="00FA69A0"/>
    <w:rsid w:val="00FA69D0"/>
    <w:rsid w:val="00FA7EDD"/>
    <w:rsid w:val="00FC0789"/>
    <w:rsid w:val="00FC2311"/>
    <w:rsid w:val="00FC7D8F"/>
    <w:rsid w:val="00FD18EA"/>
    <w:rsid w:val="00FD3181"/>
    <w:rsid w:val="00FD3330"/>
    <w:rsid w:val="00FD339F"/>
    <w:rsid w:val="00FD7113"/>
    <w:rsid w:val="00FD7402"/>
    <w:rsid w:val="00FE1CBB"/>
    <w:rsid w:val="00FE3D97"/>
    <w:rsid w:val="00FE41AE"/>
    <w:rsid w:val="00FE5B64"/>
    <w:rsid w:val="00FE7E3D"/>
    <w:rsid w:val="00FE7E92"/>
    <w:rsid w:val="00FF2ACC"/>
    <w:rsid w:val="00FF3EC6"/>
    <w:rsid w:val="00FF66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266D02-389B-4FC4-B8F7-ECBA43D2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236F"/>
    <w:pPr>
      <w:spacing w:after="0" w:line="276" w:lineRule="auto"/>
      <w:jc w:val="both"/>
    </w:pPr>
    <w:rPr>
      <w:rFonts w:ascii="Arial" w:eastAsia="Calibri" w:hAnsi="Arial" w:cs="Times New Roman"/>
      <w:sz w:val="24"/>
    </w:rPr>
  </w:style>
  <w:style w:type="paragraph" w:styleId="Nadpis1">
    <w:name w:val="heading 1"/>
    <w:basedOn w:val="Normln"/>
    <w:next w:val="Normln"/>
    <w:link w:val="Nadpis1Char"/>
    <w:uiPriority w:val="9"/>
    <w:qFormat/>
    <w:rsid w:val="005D327C"/>
    <w:pPr>
      <w:keepNext/>
      <w:keepLines/>
      <w:spacing w:before="240" w:line="360" w:lineRule="auto"/>
      <w:jc w:val="center"/>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5D327C"/>
    <w:pPr>
      <w:keepNext/>
      <w:keepLines/>
      <w:spacing w:line="360" w:lineRule="auto"/>
      <w:jc w:val="center"/>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FE7E92"/>
    <w:pPr>
      <w:keepNext/>
      <w:keepLines/>
      <w:spacing w:before="40" w:line="360" w:lineRule="auto"/>
      <w:outlineLvl w:val="2"/>
    </w:pPr>
    <w:rPr>
      <w:rFonts w:eastAsiaTheme="majorEastAsia" w:cstheme="majorBidi"/>
      <w:b/>
      <w:sz w:val="28"/>
      <w:szCs w:val="24"/>
    </w:rPr>
  </w:style>
  <w:style w:type="paragraph" w:styleId="Nadpis4">
    <w:name w:val="heading 4"/>
    <w:basedOn w:val="Normln"/>
    <w:next w:val="Normln"/>
    <w:link w:val="Nadpis4Char"/>
    <w:uiPriority w:val="9"/>
    <w:unhideWhenUsed/>
    <w:qFormat/>
    <w:rsid w:val="00F81281"/>
    <w:pPr>
      <w:keepNext/>
      <w:keepLines/>
      <w:spacing w:before="40" w:after="120" w:line="360" w:lineRule="auto"/>
      <w:jc w:val="left"/>
      <w:outlineLvl w:val="3"/>
    </w:pPr>
    <w:rPr>
      <w:rFonts w:eastAsiaTheme="majorEastAsia" w:cstheme="majorBidi"/>
      <w:b/>
      <w:iCs/>
    </w:rPr>
  </w:style>
  <w:style w:type="paragraph" w:styleId="Nadpis5">
    <w:name w:val="heading 5"/>
    <w:basedOn w:val="Normln"/>
    <w:next w:val="Normln"/>
    <w:link w:val="Nadpis5Char"/>
    <w:uiPriority w:val="9"/>
    <w:unhideWhenUsed/>
    <w:qFormat/>
    <w:rsid w:val="005D327C"/>
    <w:pPr>
      <w:keepNext/>
      <w:keepLines/>
      <w:spacing w:before="200" w:line="360" w:lineRule="auto"/>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5D327C"/>
    <w:rPr>
      <w:rFonts w:ascii="Arial" w:eastAsiaTheme="majorEastAsia" w:hAnsi="Arial" w:cstheme="majorBidi"/>
      <w:b/>
      <w:sz w:val="24"/>
    </w:rPr>
  </w:style>
  <w:style w:type="paragraph" w:styleId="Odstavecseseznamem">
    <w:name w:val="List Paragraph"/>
    <w:basedOn w:val="Normln"/>
    <w:uiPriority w:val="34"/>
    <w:qFormat/>
    <w:rsid w:val="006E19E1"/>
    <w:pPr>
      <w:ind w:left="720"/>
      <w:contextualSpacing/>
    </w:pPr>
  </w:style>
  <w:style w:type="paragraph" w:styleId="Zhlav">
    <w:name w:val="header"/>
    <w:basedOn w:val="Normln"/>
    <w:link w:val="ZhlavChar"/>
    <w:unhideWhenUsed/>
    <w:rsid w:val="006E19E1"/>
    <w:pPr>
      <w:tabs>
        <w:tab w:val="center" w:pos="4536"/>
        <w:tab w:val="right" w:pos="9072"/>
      </w:tabs>
    </w:pPr>
  </w:style>
  <w:style w:type="character" w:customStyle="1" w:styleId="ZhlavChar">
    <w:name w:val="Záhlaví Char"/>
    <w:basedOn w:val="Standardnpsmoodstavce"/>
    <w:link w:val="Zhlav"/>
    <w:uiPriority w:val="99"/>
    <w:rsid w:val="006E19E1"/>
    <w:rPr>
      <w:rFonts w:ascii="Arial" w:eastAsia="Calibri" w:hAnsi="Arial" w:cs="Times New Roman"/>
      <w:sz w:val="24"/>
    </w:rPr>
  </w:style>
  <w:style w:type="paragraph" w:styleId="Prosttext">
    <w:name w:val="Plain Text"/>
    <w:basedOn w:val="Normln"/>
    <w:link w:val="ProsttextChar"/>
    <w:rsid w:val="006E19E1"/>
    <w:pPr>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rsid w:val="006E19E1"/>
    <w:rPr>
      <w:rFonts w:ascii="Courier New" w:eastAsia="Times New Roman" w:hAnsi="Courier New" w:cs="Courier New"/>
      <w:sz w:val="20"/>
      <w:szCs w:val="20"/>
      <w:lang w:eastAsia="cs-CZ"/>
    </w:rPr>
  </w:style>
  <w:style w:type="paragraph" w:styleId="Textpoznpodarou">
    <w:name w:val="footnote text"/>
    <w:basedOn w:val="Normln"/>
    <w:link w:val="TextpoznpodarouChar"/>
    <w:uiPriority w:val="99"/>
    <w:unhideWhenUsed/>
    <w:qFormat/>
    <w:rsid w:val="006E19E1"/>
    <w:rPr>
      <w:sz w:val="20"/>
      <w:szCs w:val="20"/>
    </w:rPr>
  </w:style>
  <w:style w:type="character" w:customStyle="1" w:styleId="TextpoznpodarouChar">
    <w:name w:val="Text pozn. pod čarou Char"/>
    <w:basedOn w:val="Standardnpsmoodstavce"/>
    <w:link w:val="Textpoznpodarou"/>
    <w:uiPriority w:val="99"/>
    <w:rsid w:val="006E19E1"/>
    <w:rPr>
      <w:rFonts w:ascii="Arial" w:eastAsia="Calibri" w:hAnsi="Arial" w:cs="Times New Roman"/>
      <w:sz w:val="20"/>
      <w:szCs w:val="20"/>
    </w:rPr>
  </w:style>
  <w:style w:type="character" w:customStyle="1" w:styleId="Nadpis1Char">
    <w:name w:val="Nadpis 1 Char"/>
    <w:basedOn w:val="Standardnpsmoodstavce"/>
    <w:link w:val="Nadpis1"/>
    <w:uiPriority w:val="9"/>
    <w:rsid w:val="005D327C"/>
    <w:rPr>
      <w:rFonts w:ascii="Arial" w:eastAsiaTheme="majorEastAsia" w:hAnsi="Arial" w:cstheme="majorBidi"/>
      <w:b/>
      <w:sz w:val="32"/>
      <w:szCs w:val="32"/>
    </w:rPr>
  </w:style>
  <w:style w:type="character" w:customStyle="1" w:styleId="Nadpis2Char">
    <w:name w:val="Nadpis 2 Char"/>
    <w:basedOn w:val="Standardnpsmoodstavce"/>
    <w:link w:val="Nadpis2"/>
    <w:uiPriority w:val="9"/>
    <w:rsid w:val="005D327C"/>
    <w:rPr>
      <w:rFonts w:ascii="Arial" w:eastAsiaTheme="majorEastAsia" w:hAnsi="Arial" w:cstheme="majorBidi"/>
      <w:b/>
      <w:sz w:val="28"/>
      <w:szCs w:val="26"/>
    </w:rPr>
  </w:style>
  <w:style w:type="paragraph" w:styleId="Nadpisobsahu">
    <w:name w:val="TOC Heading"/>
    <w:basedOn w:val="Nadpis1"/>
    <w:next w:val="Normln"/>
    <w:uiPriority w:val="39"/>
    <w:unhideWhenUsed/>
    <w:qFormat/>
    <w:rsid w:val="009B7303"/>
    <w:p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50234F"/>
    <w:pPr>
      <w:tabs>
        <w:tab w:val="right" w:leader="dot" w:pos="9062"/>
      </w:tabs>
      <w:spacing w:after="100"/>
    </w:pPr>
  </w:style>
  <w:style w:type="paragraph" w:styleId="Obsah2">
    <w:name w:val="toc 2"/>
    <w:basedOn w:val="Normln"/>
    <w:next w:val="Normln"/>
    <w:autoRedefine/>
    <w:uiPriority w:val="39"/>
    <w:unhideWhenUsed/>
    <w:rsid w:val="009B7303"/>
    <w:pPr>
      <w:spacing w:after="100"/>
      <w:ind w:left="240"/>
    </w:pPr>
  </w:style>
  <w:style w:type="character" w:styleId="Hypertextovodkaz">
    <w:name w:val="Hyperlink"/>
    <w:basedOn w:val="Standardnpsmoodstavce"/>
    <w:uiPriority w:val="99"/>
    <w:unhideWhenUsed/>
    <w:rsid w:val="009B7303"/>
    <w:rPr>
      <w:color w:val="0563C1" w:themeColor="hyperlink"/>
      <w:u w:val="single"/>
    </w:rPr>
  </w:style>
  <w:style w:type="character" w:styleId="Znakapoznpodarou">
    <w:name w:val="footnote reference"/>
    <w:basedOn w:val="Standardnpsmoodstavce"/>
    <w:uiPriority w:val="99"/>
    <w:unhideWhenUsed/>
    <w:rsid w:val="00927530"/>
    <w:rPr>
      <w:vertAlign w:val="superscript"/>
    </w:rPr>
  </w:style>
  <w:style w:type="character" w:customStyle="1" w:styleId="Nadpis4Char">
    <w:name w:val="Nadpis 4 Char"/>
    <w:basedOn w:val="Standardnpsmoodstavce"/>
    <w:link w:val="Nadpis4"/>
    <w:uiPriority w:val="9"/>
    <w:rsid w:val="00F81281"/>
    <w:rPr>
      <w:rFonts w:ascii="Arial" w:eastAsiaTheme="majorEastAsia" w:hAnsi="Arial" w:cstheme="majorBidi"/>
      <w:b/>
      <w:iCs/>
      <w:sz w:val="24"/>
    </w:rPr>
  </w:style>
  <w:style w:type="character" w:customStyle="1" w:styleId="Nadpis3Char">
    <w:name w:val="Nadpis 3 Char"/>
    <w:basedOn w:val="Standardnpsmoodstavce"/>
    <w:link w:val="Nadpis3"/>
    <w:uiPriority w:val="9"/>
    <w:rsid w:val="00FE7E92"/>
    <w:rPr>
      <w:rFonts w:ascii="Arial" w:eastAsiaTheme="majorEastAsia" w:hAnsi="Arial" w:cstheme="majorBidi"/>
      <w:b/>
      <w:sz w:val="28"/>
      <w:szCs w:val="24"/>
    </w:rPr>
  </w:style>
  <w:style w:type="paragraph" w:styleId="Obsah3">
    <w:name w:val="toc 3"/>
    <w:basedOn w:val="Normln"/>
    <w:next w:val="Normln"/>
    <w:autoRedefine/>
    <w:uiPriority w:val="39"/>
    <w:unhideWhenUsed/>
    <w:rsid w:val="007404EF"/>
    <w:pPr>
      <w:spacing w:after="100"/>
      <w:ind w:left="480"/>
    </w:pPr>
  </w:style>
  <w:style w:type="paragraph" w:styleId="Zpat">
    <w:name w:val="footer"/>
    <w:basedOn w:val="Normln"/>
    <w:link w:val="ZpatChar"/>
    <w:uiPriority w:val="99"/>
    <w:unhideWhenUsed/>
    <w:rsid w:val="007404EF"/>
    <w:pPr>
      <w:tabs>
        <w:tab w:val="center" w:pos="4536"/>
        <w:tab w:val="right" w:pos="9072"/>
      </w:tabs>
      <w:spacing w:line="240" w:lineRule="auto"/>
    </w:pPr>
  </w:style>
  <w:style w:type="character" w:customStyle="1" w:styleId="ZpatChar">
    <w:name w:val="Zápatí Char"/>
    <w:basedOn w:val="Standardnpsmoodstavce"/>
    <w:link w:val="Zpat"/>
    <w:uiPriority w:val="99"/>
    <w:rsid w:val="007404EF"/>
    <w:rPr>
      <w:rFonts w:ascii="Arial" w:eastAsia="Calibri" w:hAnsi="Arial" w:cs="Times New Roman"/>
      <w:sz w:val="24"/>
    </w:rPr>
  </w:style>
  <w:style w:type="paragraph" w:styleId="Textbubliny">
    <w:name w:val="Balloon Text"/>
    <w:basedOn w:val="Normln"/>
    <w:link w:val="TextbublinyChar"/>
    <w:uiPriority w:val="99"/>
    <w:semiHidden/>
    <w:unhideWhenUsed/>
    <w:rsid w:val="00F10465"/>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0465"/>
    <w:rPr>
      <w:rFonts w:ascii="Segoe UI" w:eastAsia="Calibri" w:hAnsi="Segoe UI" w:cs="Segoe UI"/>
      <w:sz w:val="18"/>
      <w:szCs w:val="18"/>
    </w:rPr>
  </w:style>
  <w:style w:type="character" w:customStyle="1" w:styleId="h1a2">
    <w:name w:val="h1a2"/>
    <w:basedOn w:val="Standardnpsmoodstavce"/>
    <w:rsid w:val="00D12BCA"/>
    <w:rPr>
      <w:vanish w:val="0"/>
      <w:webHidden w:val="0"/>
      <w:sz w:val="24"/>
      <w:szCs w:val="24"/>
      <w:specVanish w:val="0"/>
    </w:rPr>
  </w:style>
  <w:style w:type="paragraph" w:styleId="Normlnweb">
    <w:name w:val="Normal (Web)"/>
    <w:basedOn w:val="Normln"/>
    <w:uiPriority w:val="99"/>
    <w:unhideWhenUsed/>
    <w:rsid w:val="00235EEC"/>
    <w:pPr>
      <w:spacing w:before="100" w:beforeAutospacing="1" w:after="100" w:afterAutospacing="1" w:line="240" w:lineRule="auto"/>
      <w:jc w:val="left"/>
    </w:pPr>
    <w:rPr>
      <w:rFonts w:ascii="Times New Roman" w:eastAsia="Times New Roman" w:hAnsi="Times New Roman"/>
      <w:szCs w:val="24"/>
      <w:lang w:eastAsia="cs-CZ"/>
    </w:rPr>
  </w:style>
  <w:style w:type="table" w:styleId="Mkatabulky">
    <w:name w:val="Table Grid"/>
    <w:basedOn w:val="Normlntabulka"/>
    <w:uiPriority w:val="39"/>
    <w:rsid w:val="0023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0">
    <w:name w:val="styl10"/>
    <w:basedOn w:val="Normln"/>
    <w:rsid w:val="00235EEC"/>
    <w:pPr>
      <w:spacing w:before="100" w:beforeAutospacing="1" w:after="100" w:afterAutospacing="1" w:line="240" w:lineRule="auto"/>
      <w:jc w:val="left"/>
    </w:pPr>
    <w:rPr>
      <w:rFonts w:ascii="Times New Roman" w:eastAsiaTheme="minorHAnsi" w:hAnsi="Times New Roman"/>
      <w:szCs w:val="24"/>
      <w:lang w:eastAsia="cs-CZ"/>
    </w:rPr>
  </w:style>
  <w:style w:type="character" w:styleId="Odkaznakoment">
    <w:name w:val="annotation reference"/>
    <w:basedOn w:val="Standardnpsmoodstavce"/>
    <w:uiPriority w:val="99"/>
    <w:semiHidden/>
    <w:unhideWhenUsed/>
    <w:rsid w:val="007D0169"/>
    <w:rPr>
      <w:sz w:val="16"/>
      <w:szCs w:val="16"/>
    </w:rPr>
  </w:style>
  <w:style w:type="paragraph" w:styleId="Textkomente">
    <w:name w:val="annotation text"/>
    <w:basedOn w:val="Normln"/>
    <w:link w:val="TextkomenteChar"/>
    <w:uiPriority w:val="99"/>
    <w:semiHidden/>
    <w:unhideWhenUsed/>
    <w:rsid w:val="007D0169"/>
    <w:pPr>
      <w:spacing w:line="240" w:lineRule="auto"/>
    </w:pPr>
    <w:rPr>
      <w:sz w:val="20"/>
      <w:szCs w:val="20"/>
    </w:rPr>
  </w:style>
  <w:style w:type="character" w:customStyle="1" w:styleId="TextkomenteChar">
    <w:name w:val="Text komentáře Char"/>
    <w:basedOn w:val="Standardnpsmoodstavce"/>
    <w:link w:val="Textkomente"/>
    <w:uiPriority w:val="99"/>
    <w:semiHidden/>
    <w:rsid w:val="007D0169"/>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7D0169"/>
    <w:rPr>
      <w:b/>
      <w:bCs/>
    </w:rPr>
  </w:style>
  <w:style w:type="character" w:customStyle="1" w:styleId="PedmtkomenteChar">
    <w:name w:val="Předmět komentáře Char"/>
    <w:basedOn w:val="TextkomenteChar"/>
    <w:link w:val="Pedmtkomente"/>
    <w:uiPriority w:val="99"/>
    <w:semiHidden/>
    <w:rsid w:val="007D0169"/>
    <w:rPr>
      <w:rFonts w:ascii="Arial" w:eastAsia="Calibri" w:hAnsi="Arial" w:cs="Times New Roman"/>
      <w:b/>
      <w:bCs/>
      <w:sz w:val="20"/>
      <w:szCs w:val="20"/>
    </w:rPr>
  </w:style>
  <w:style w:type="paragraph" w:styleId="Obsah5">
    <w:name w:val="toc 5"/>
    <w:basedOn w:val="Normln"/>
    <w:next w:val="Normln"/>
    <w:autoRedefine/>
    <w:uiPriority w:val="39"/>
    <w:unhideWhenUsed/>
    <w:rsid w:val="005D327C"/>
    <w:pPr>
      <w:spacing w:after="100"/>
      <w:ind w:left="960"/>
    </w:pPr>
  </w:style>
  <w:style w:type="paragraph" w:styleId="Obsah4">
    <w:name w:val="toc 4"/>
    <w:basedOn w:val="Normln"/>
    <w:next w:val="Normln"/>
    <w:autoRedefine/>
    <w:uiPriority w:val="39"/>
    <w:unhideWhenUsed/>
    <w:rsid w:val="005D327C"/>
    <w:pPr>
      <w:spacing w:after="100"/>
      <w:ind w:left="720"/>
    </w:pPr>
  </w:style>
  <w:style w:type="paragraph" w:customStyle="1" w:styleId="Default">
    <w:name w:val="Default"/>
    <w:rsid w:val="005A1774"/>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8900C9"/>
    <w:rPr>
      <w:color w:val="954F72" w:themeColor="followedHyperlink"/>
      <w:u w:val="single"/>
    </w:rPr>
  </w:style>
  <w:style w:type="paragraph" w:styleId="Revize">
    <w:name w:val="Revision"/>
    <w:hidden/>
    <w:uiPriority w:val="99"/>
    <w:semiHidden/>
    <w:rsid w:val="000A6023"/>
    <w:pPr>
      <w:spacing w:after="0" w:line="240" w:lineRule="auto"/>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6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F95F-0705-4A18-B010-7C19AA44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13940</Words>
  <Characters>82249</Characters>
  <Application>Microsoft Office Word</Application>
  <DocSecurity>0</DocSecurity>
  <Lines>685</Lines>
  <Paragraphs>191</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95998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Petr Mgr. (MPSV)</dc:creator>
  <cp:keywords/>
  <dc:description/>
  <cp:lastModifiedBy>Klinská Šárka Ing. (MPSV)</cp:lastModifiedBy>
  <cp:revision>2</cp:revision>
  <cp:lastPrinted>2019-12-09T11:51:00Z</cp:lastPrinted>
  <dcterms:created xsi:type="dcterms:W3CDTF">2020-03-06T10:10:00Z</dcterms:created>
  <dcterms:modified xsi:type="dcterms:W3CDTF">2020-03-06T10:10:00Z</dcterms:modified>
</cp:coreProperties>
</file>