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83BF" w14:textId="77777777" w:rsidR="00AD47E7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</w:p>
    <w:p w14:paraId="1DF8AFE3" w14:textId="3DB61272" w:rsidR="00AD47E7" w:rsidRPr="00147466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46"/>
          <w:szCs w:val="24"/>
          <w:lang w:eastAsia="cs-CZ" w:bidi="cs-CZ"/>
        </w:rPr>
      </w:pPr>
      <w:r w:rsidRPr="00147466">
        <w:rPr>
          <w:rFonts w:eastAsia="Cambria" w:cstheme="minorHAnsi"/>
          <w:sz w:val="46"/>
          <w:szCs w:val="24"/>
          <w:lang w:eastAsia="cs-CZ" w:bidi="cs-CZ"/>
        </w:rPr>
        <w:t>NÁRODNÍ PLÁN OBNOVY</w:t>
      </w:r>
    </w:p>
    <w:p w14:paraId="68805461" w14:textId="77777777" w:rsidR="00AD47E7" w:rsidRPr="00147466" w:rsidRDefault="00AD47E7" w:rsidP="00AD47E7">
      <w:pPr>
        <w:widowControl w:val="0"/>
        <w:tabs>
          <w:tab w:val="left" w:pos="7880"/>
        </w:tabs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4"/>
          <w:lang w:eastAsia="cs-CZ" w:bidi="cs-CZ"/>
        </w:rPr>
      </w:pPr>
      <w:r w:rsidRPr="00147466">
        <w:rPr>
          <w:rFonts w:eastAsia="Cambria" w:cstheme="minorHAnsi"/>
          <w:sz w:val="20"/>
          <w:szCs w:val="24"/>
          <w:lang w:eastAsia="cs-CZ" w:bidi="cs-CZ"/>
        </w:rPr>
        <w:tab/>
      </w:r>
    </w:p>
    <w:p w14:paraId="1E3200EE" w14:textId="77777777" w:rsidR="00AD47E7" w:rsidRPr="006216DA" w:rsidRDefault="00AD47E7" w:rsidP="00AD47E7">
      <w:pPr>
        <w:rPr>
          <w:rFonts w:cstheme="minorHAnsi"/>
          <w:sz w:val="36"/>
          <w:szCs w:val="36"/>
        </w:rPr>
      </w:pPr>
      <w:r w:rsidRPr="006216DA">
        <w:rPr>
          <w:rFonts w:cstheme="minorHAnsi"/>
          <w:color w:val="A6A6A6"/>
          <w:sz w:val="36"/>
          <w:szCs w:val="36"/>
        </w:rPr>
        <w:t>KOMPONENTA 3.3:</w:t>
      </w:r>
    </w:p>
    <w:p w14:paraId="7F5A6F51" w14:textId="77777777" w:rsidR="00AD47E7" w:rsidRPr="006216DA" w:rsidRDefault="00AD47E7" w:rsidP="00AD47E7">
      <w:pPr>
        <w:spacing w:before="96"/>
        <w:rPr>
          <w:rFonts w:cstheme="minorHAnsi"/>
          <w:sz w:val="36"/>
          <w:szCs w:val="36"/>
        </w:rPr>
      </w:pPr>
      <w:r w:rsidRPr="006216DA">
        <w:rPr>
          <w:rFonts w:cstheme="minorHAnsi"/>
          <w:sz w:val="36"/>
          <w:szCs w:val="36"/>
        </w:rPr>
        <w:t>MODERNIZACE SLUŽEB ZAMĚSTNANOSTI A ROZVOJ TRHU PRÁCE</w:t>
      </w:r>
    </w:p>
    <w:p w14:paraId="4B6D73DB" w14:textId="77777777" w:rsidR="00AD47E7" w:rsidRPr="00147466" w:rsidRDefault="00AD47E7" w:rsidP="00AD47E7">
      <w:pPr>
        <w:widowControl w:val="0"/>
        <w:autoSpaceDE w:val="0"/>
        <w:autoSpaceDN w:val="0"/>
        <w:spacing w:after="0" w:line="240" w:lineRule="auto"/>
        <w:jc w:val="both"/>
        <w:rPr>
          <w:rFonts w:eastAsia="Cambria" w:cstheme="minorHAnsi"/>
          <w:sz w:val="20"/>
          <w:szCs w:val="20"/>
          <w:lang w:eastAsia="cs-CZ" w:bidi="cs-CZ"/>
        </w:rPr>
      </w:pPr>
    </w:p>
    <w:p w14:paraId="41027518" w14:textId="77777777" w:rsidR="00AD47E7" w:rsidRPr="0097150F" w:rsidRDefault="00AD47E7" w:rsidP="00AD47E7">
      <w:pPr>
        <w:spacing w:after="220" w:line="240" w:lineRule="auto"/>
        <w:jc w:val="both"/>
        <w:rPr>
          <w:rFonts w:cstheme="minorHAnsi"/>
          <w:sz w:val="40"/>
        </w:rPr>
      </w:pPr>
      <w:r w:rsidRPr="0097150F">
        <w:rPr>
          <w:rFonts w:cstheme="minorHAnsi"/>
          <w:color w:val="A6A6A6"/>
          <w:sz w:val="40"/>
        </w:rPr>
        <w:t>INVESTICE 3.3.3</w:t>
      </w:r>
    </w:p>
    <w:p w14:paraId="16530013" w14:textId="77777777" w:rsidR="00AD47E7" w:rsidRPr="0097150F" w:rsidRDefault="00AD47E7" w:rsidP="00AD47E7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>Rozvoj a modernizace materiálně technické základny sociálních služeb</w:t>
      </w:r>
    </w:p>
    <w:p w14:paraId="09369107" w14:textId="77777777" w:rsidR="00AD47E7" w:rsidRPr="0097150F" w:rsidRDefault="00AD47E7" w:rsidP="00AD47E7">
      <w:pPr>
        <w:spacing w:before="4" w:after="0" w:line="240" w:lineRule="auto"/>
        <w:rPr>
          <w:rFonts w:eastAsia="Times New Roman" w:cstheme="minorHAnsi"/>
          <w:sz w:val="52"/>
          <w:szCs w:val="24"/>
          <w:lang w:eastAsia="cs-CZ"/>
        </w:rPr>
      </w:pPr>
    </w:p>
    <w:p w14:paraId="0D666EE5" w14:textId="77777777" w:rsidR="00AD47E7" w:rsidRPr="0097150F" w:rsidRDefault="00AD47E7" w:rsidP="00AD47E7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>VÝZVA Č</w:t>
      </w:r>
      <w:bookmarkStart w:id="0" w:name="_Hlk95312602"/>
      <w:r w:rsidRPr="0097150F">
        <w:rPr>
          <w:rFonts w:cstheme="minorHAnsi"/>
          <w:color w:val="A6A6A6"/>
          <w:sz w:val="40"/>
        </w:rPr>
        <w:t xml:space="preserve">. </w:t>
      </w:r>
      <w:r>
        <w:rPr>
          <w:rFonts w:cstheme="minorHAnsi"/>
          <w:color w:val="A6A6A6"/>
          <w:sz w:val="40"/>
        </w:rPr>
        <w:t>31_22_019</w:t>
      </w:r>
      <w:bookmarkEnd w:id="0"/>
    </w:p>
    <w:p w14:paraId="2DB90742" w14:textId="77777777" w:rsidR="00AD47E7" w:rsidRPr="0097150F" w:rsidRDefault="00AD47E7" w:rsidP="00AD47E7">
      <w:pPr>
        <w:spacing w:after="0" w:line="240" w:lineRule="auto"/>
        <w:rPr>
          <w:rFonts w:eastAsia="Times New Roman" w:cstheme="minorHAnsi"/>
          <w:sz w:val="40"/>
          <w:szCs w:val="40"/>
          <w:lang w:eastAsia="cs-CZ"/>
        </w:rPr>
      </w:pPr>
      <w:r w:rsidRPr="0097150F">
        <w:rPr>
          <w:rFonts w:eastAsia="Times New Roman" w:cstheme="minorHAnsi"/>
          <w:sz w:val="40"/>
          <w:szCs w:val="40"/>
          <w:lang w:eastAsia="cs-CZ"/>
        </w:rPr>
        <w:t xml:space="preserve">Nákup nízkoemisních vozidel pro </w:t>
      </w:r>
      <w:r>
        <w:rPr>
          <w:rFonts w:eastAsia="Times New Roman" w:cstheme="minorHAnsi"/>
          <w:sz w:val="40"/>
          <w:szCs w:val="40"/>
          <w:lang w:eastAsia="cs-CZ"/>
        </w:rPr>
        <w:t xml:space="preserve">sociální </w:t>
      </w:r>
      <w:r w:rsidRPr="0097150F">
        <w:rPr>
          <w:rFonts w:eastAsia="Times New Roman" w:cstheme="minorHAnsi"/>
          <w:sz w:val="40"/>
          <w:szCs w:val="40"/>
          <w:lang w:eastAsia="cs-CZ"/>
        </w:rPr>
        <w:t xml:space="preserve">služby </w:t>
      </w:r>
    </w:p>
    <w:p w14:paraId="2E582E11" w14:textId="77777777" w:rsidR="00AD47E7" w:rsidRPr="0097150F" w:rsidRDefault="00AD47E7" w:rsidP="00AD47E7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07EC19C5" w14:textId="09BE1ED9" w:rsidR="00AD47E7" w:rsidRPr="0097150F" w:rsidRDefault="00AD47E7" w:rsidP="00AD47E7">
      <w:pPr>
        <w:spacing w:after="220" w:line="240" w:lineRule="auto"/>
        <w:jc w:val="both"/>
        <w:rPr>
          <w:rFonts w:cstheme="minorHAnsi"/>
          <w:color w:val="A6A6A6"/>
          <w:sz w:val="40"/>
        </w:rPr>
      </w:pPr>
      <w:r w:rsidRPr="0097150F">
        <w:rPr>
          <w:rFonts w:cstheme="minorHAnsi"/>
          <w:color w:val="A6A6A6"/>
          <w:sz w:val="40"/>
        </w:rPr>
        <w:t xml:space="preserve">PŘÍLOHA Č. </w:t>
      </w:r>
      <w:r w:rsidR="0070448E">
        <w:rPr>
          <w:rFonts w:cstheme="minorHAnsi"/>
          <w:color w:val="A6A6A6"/>
          <w:sz w:val="40"/>
        </w:rPr>
        <w:t>8</w:t>
      </w:r>
      <w:r w:rsidRPr="0097150F">
        <w:rPr>
          <w:rFonts w:cstheme="minorHAnsi"/>
          <w:color w:val="A6A6A6"/>
          <w:sz w:val="40"/>
        </w:rPr>
        <w:t xml:space="preserve"> Výzvy</w:t>
      </w:r>
    </w:p>
    <w:p w14:paraId="22643B6D" w14:textId="20AF0651" w:rsidR="00AD47E7" w:rsidRPr="00AD47E7" w:rsidRDefault="00AD47E7" w:rsidP="00AD47E7">
      <w:pPr>
        <w:spacing w:after="0" w:line="240" w:lineRule="auto"/>
        <w:rPr>
          <w:rFonts w:eastAsia="Times New Roman" w:cstheme="minorHAnsi"/>
          <w:sz w:val="36"/>
          <w:szCs w:val="36"/>
          <w:lang w:eastAsia="cs-CZ"/>
        </w:rPr>
      </w:pPr>
      <w:r w:rsidRPr="00AD47E7">
        <w:rPr>
          <w:rFonts w:eastAsia="Times New Roman" w:cstheme="minorHAnsi"/>
          <w:sz w:val="36"/>
          <w:szCs w:val="36"/>
          <w:lang w:eastAsia="cs-CZ"/>
        </w:rPr>
        <w:t>Vzor prohlášení o dodržování zásady „významně nepoškozovat“</w:t>
      </w:r>
      <w:r w:rsidR="00421498">
        <w:rPr>
          <w:rFonts w:eastAsia="Times New Roman" w:cstheme="minorHAnsi"/>
          <w:sz w:val="36"/>
          <w:szCs w:val="36"/>
          <w:lang w:eastAsia="cs-CZ"/>
        </w:rPr>
        <w:t xml:space="preserve"> – reportovací list</w:t>
      </w:r>
    </w:p>
    <w:p w14:paraId="6DA1174B" w14:textId="5607078D" w:rsidR="00AD47E7" w:rsidRDefault="00AD47E7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66B98A08" w14:textId="76F13EA1" w:rsidR="00B52303" w:rsidRDefault="00B52303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1FFC8BA5" w14:textId="77777777" w:rsidR="00B52303" w:rsidRPr="00147466" w:rsidRDefault="00B52303" w:rsidP="00AD47E7">
      <w:pPr>
        <w:spacing w:before="1" w:line="288" w:lineRule="auto"/>
        <w:ind w:left="102" w:right="3725"/>
        <w:jc w:val="both"/>
        <w:rPr>
          <w:rFonts w:eastAsiaTheme="minorEastAsia" w:cstheme="minorHAnsi"/>
          <w:color w:val="A6A6A6"/>
          <w:sz w:val="40"/>
        </w:rPr>
      </w:pPr>
    </w:p>
    <w:p w14:paraId="58078198" w14:textId="77777777" w:rsidR="00AD47E7" w:rsidRPr="00147466" w:rsidRDefault="00AD47E7" w:rsidP="00AD47E7">
      <w:pPr>
        <w:spacing w:before="387" w:line="252" w:lineRule="auto"/>
        <w:ind w:left="102"/>
        <w:jc w:val="both"/>
        <w:rPr>
          <w:rFonts w:eastAsiaTheme="minorEastAsia" w:cstheme="minorHAnsi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VYDÁNÍ 1.0  </w:t>
      </w:r>
      <w:r w:rsidRPr="00147466">
        <w:rPr>
          <w:rFonts w:eastAsiaTheme="minorEastAsia" w:cstheme="minorHAnsi"/>
          <w:color w:val="A6A6A6"/>
          <w:sz w:val="32"/>
        </w:rPr>
        <w:tab/>
        <w:t xml:space="preserve">   </w:t>
      </w:r>
    </w:p>
    <w:p w14:paraId="33038D0B" w14:textId="626867D5" w:rsidR="00AD47E7" w:rsidRPr="00147466" w:rsidRDefault="00AD47E7" w:rsidP="00AD47E7">
      <w:pPr>
        <w:spacing w:before="76" w:line="252" w:lineRule="auto"/>
        <w:ind w:left="102"/>
        <w:jc w:val="both"/>
        <w:rPr>
          <w:rFonts w:eastAsiaTheme="minorEastAsia" w:cstheme="minorHAnsi"/>
          <w:color w:val="A6A6A6"/>
          <w:sz w:val="32"/>
        </w:rPr>
      </w:pPr>
      <w:r w:rsidRPr="00147466">
        <w:rPr>
          <w:rFonts w:eastAsiaTheme="minorEastAsia" w:cstheme="minorHAnsi"/>
          <w:color w:val="A6A6A6"/>
          <w:sz w:val="32"/>
        </w:rPr>
        <w:t xml:space="preserve">PLATNOST OD </w:t>
      </w:r>
      <w:r w:rsidR="00B52303">
        <w:rPr>
          <w:rFonts w:eastAsiaTheme="minorEastAsia" w:cstheme="minorHAnsi"/>
          <w:color w:val="A6A6A6"/>
          <w:sz w:val="32"/>
        </w:rPr>
        <w:t>9</w:t>
      </w:r>
      <w:r>
        <w:rPr>
          <w:rFonts w:eastAsiaTheme="minorEastAsia" w:cstheme="minorHAnsi"/>
          <w:color w:val="A6A6A6"/>
          <w:sz w:val="32"/>
        </w:rPr>
        <w:t>. 11. 2022</w:t>
      </w:r>
    </w:p>
    <w:p w14:paraId="016CABC3" w14:textId="43F91B7B" w:rsidR="00373E66" w:rsidRPr="00B52303" w:rsidRDefault="00373E66" w:rsidP="00AD47E7">
      <w:pPr>
        <w:pageBreakBefore/>
        <w:widowControl w:val="0"/>
        <w:spacing w:before="12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lastRenderedPageBreak/>
        <w:t xml:space="preserve">Nařízení (EU) 2021/241 ze dne 12. února 2021 o Nástroji pro oživení a odolnost, dle kterého ČR zpracovala Národní plán obnovy (dále jen „NPO“), stanoví, že žádné opatření zahrnuté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do NPO by nemělo vést k významnému poškozování environmentálních cílů, tzv. zásada „do no significant harm“ (dále jen „DNSH“) neboli „významně nepoškozovat“.</w:t>
      </w:r>
    </w:p>
    <w:p w14:paraId="4106180E" w14:textId="46A00970" w:rsidR="00373E66" w:rsidRPr="00B52303" w:rsidRDefault="00373E66" w:rsidP="00373E66">
      <w:pPr>
        <w:widowControl w:val="0"/>
        <w:spacing w:before="120" w:after="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Dle čl. 17 odst. 2 Nařízení (EU) 2020/852 ze dne 18. června 2020 o zřízení rámce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0496D9AB" w:rsidR="00373E66" w:rsidRPr="00B52303" w:rsidRDefault="00373E66" w:rsidP="00373E66">
      <w:pPr>
        <w:widowControl w:val="0"/>
        <w:spacing w:before="12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Příjemce uvede vyjádření ke všem 6 enviromentálním cílům, včetně zdůvodnění, jaký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>je přepokládaný dopad projektu na tyto cíle.</w:t>
      </w:r>
    </w:p>
    <w:p w14:paraId="1B1F995A" w14:textId="77777777" w:rsidR="00373E66" w:rsidRPr="00B52303" w:rsidRDefault="00373E66" w:rsidP="00373E66">
      <w:pPr>
        <w:pStyle w:val="Odstavecseseznamem"/>
        <w:numPr>
          <w:ilvl w:val="0"/>
          <w:numId w:val="24"/>
        </w:numPr>
        <w:spacing w:before="120" w:line="276" w:lineRule="auto"/>
        <w:rPr>
          <w:sz w:val="22"/>
        </w:rPr>
      </w:pPr>
      <w:r w:rsidRPr="00B52303">
        <w:rPr>
          <w:sz w:val="22"/>
          <w:u w:val="single"/>
        </w:rPr>
        <w:t>Zmírňování změny klimatu</w:t>
      </w:r>
    </w:p>
    <w:p w14:paraId="264ACADE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1E5570D4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bCs/>
          <w:sz w:val="22"/>
        </w:rPr>
      </w:pPr>
      <w:r w:rsidRPr="00B52303">
        <w:rPr>
          <w:rFonts w:ascii="Calibri" w:hAnsi="Calibri" w:cs="Calibri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16A70F06" w14:textId="77777777" w:rsidR="007375A0" w:rsidRPr="00B52303" w:rsidRDefault="007375A0" w:rsidP="007375A0">
      <w:pPr>
        <w:pStyle w:val="Odstavecseseznamem"/>
        <w:spacing w:before="120" w:line="275" w:lineRule="auto"/>
        <w:ind w:left="720" w:firstLine="0"/>
        <w:rPr>
          <w:sz w:val="22"/>
          <w:u w:val="single"/>
        </w:rPr>
      </w:pPr>
    </w:p>
    <w:p w14:paraId="67A4ABA0" w14:textId="37CB8B2D" w:rsidR="00373E66" w:rsidRPr="00B52303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sz w:val="22"/>
          <w:u w:val="single"/>
        </w:rPr>
      </w:pPr>
      <w:r w:rsidRPr="00B52303">
        <w:rPr>
          <w:sz w:val="22"/>
          <w:u w:val="single"/>
        </w:rPr>
        <w:t>Přizpůsobení se změně klimatu</w:t>
      </w:r>
    </w:p>
    <w:p w14:paraId="33591548" w14:textId="2A292FA4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na přizpůsobení, které chrání jednu oblast („osoby, přírodu nebo majetek“), ale zároveň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se zvyšují rizika v jiné oblasti.</w:t>
      </w:r>
    </w:p>
    <w:p w14:paraId="7B92442B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Přizpůsobení se změně klimatu. Investice provedené v rámci tohoto projektu respektují Strategii přizpůsobení se změně klimatu v podmínkách ČR</w:t>
      </w:r>
      <w:r w:rsidRPr="00B52303">
        <w:rPr>
          <w:rStyle w:val="Znakapoznpodarou"/>
          <w:rFonts w:ascii="Calibri" w:hAnsi="Calibri" w:cs="Calibri"/>
          <w:sz w:val="22"/>
        </w:rPr>
        <w:footnoteReference w:id="1"/>
      </w:r>
      <w:r w:rsidRPr="00B52303">
        <w:rPr>
          <w:rFonts w:ascii="Calibri" w:hAnsi="Calibri" w:cs="Calibri"/>
          <w:b/>
          <w:sz w:val="22"/>
        </w:rPr>
        <w:t xml:space="preserve"> případně regionální/místní strategii adaptace na změnu klimatu v místě provádění projektu.</w:t>
      </w:r>
    </w:p>
    <w:p w14:paraId="371DEACE" w14:textId="77777777" w:rsidR="000B130C" w:rsidRDefault="000B130C" w:rsidP="00373E66">
      <w:pPr>
        <w:jc w:val="both"/>
        <w:rPr>
          <w:rFonts w:ascii="Calibri" w:hAnsi="Calibri" w:cs="Calibri"/>
          <w:bCs/>
          <w:sz w:val="22"/>
        </w:rPr>
      </w:pPr>
    </w:p>
    <w:p w14:paraId="354E1DBB" w14:textId="7002D122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lastRenderedPageBreak/>
        <w:t>Zdůvodnění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/>
                <w:bCs/>
                <w:sz w:val="22"/>
              </w:rPr>
            </w:pPr>
          </w:p>
        </w:tc>
      </w:tr>
    </w:tbl>
    <w:p w14:paraId="093E64B7" w14:textId="77777777" w:rsidR="00373E66" w:rsidRPr="00B52303" w:rsidRDefault="00373E66" w:rsidP="007375A0">
      <w:pPr>
        <w:spacing w:before="120" w:line="275" w:lineRule="auto"/>
        <w:rPr>
          <w:rFonts w:ascii="Calibri" w:hAnsi="Calibri" w:cs="Calibri"/>
          <w:sz w:val="22"/>
          <w:u w:val="single"/>
        </w:rPr>
      </w:pPr>
    </w:p>
    <w:p w14:paraId="39AA8950" w14:textId="77777777" w:rsidR="00373E66" w:rsidRPr="00B52303" w:rsidRDefault="00373E66" w:rsidP="00373E66">
      <w:pPr>
        <w:pStyle w:val="Odstavecseseznamem"/>
        <w:numPr>
          <w:ilvl w:val="0"/>
          <w:numId w:val="24"/>
        </w:numPr>
        <w:spacing w:before="120" w:line="275" w:lineRule="auto"/>
        <w:rPr>
          <w:sz w:val="22"/>
          <w:u w:val="single"/>
        </w:rPr>
      </w:pPr>
      <w:r w:rsidRPr="00B52303">
        <w:rPr>
          <w:sz w:val="22"/>
          <w:u w:val="single"/>
        </w:rPr>
        <w:t>Udržitelné využívání a ochrana vodních a mořských zdrojů</w:t>
      </w:r>
    </w:p>
    <w:p w14:paraId="5E628AD1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řeší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Pořizované vybavení využívající vodu musí mít optimalizovanou spotřebu vody, dvě nejvyšší hodnocení EU Water Label.</w:t>
      </w:r>
    </w:p>
    <w:p w14:paraId="1B5450E2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výsledku posouzení vlivu na životní prostředí (EIA) – pokud bylo provedeno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  <w:bookmarkStart w:id="1" w:name="_Hlk107329810"/>
          </w:p>
        </w:tc>
      </w:tr>
      <w:bookmarkEnd w:id="1"/>
    </w:tbl>
    <w:p w14:paraId="1EAD3DE4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772C0ECB" w14:textId="77777777" w:rsidR="00373E66" w:rsidRPr="00B52303" w:rsidRDefault="00373E66" w:rsidP="00373E66">
      <w:pPr>
        <w:pStyle w:val="Odstavecseseznamem"/>
        <w:numPr>
          <w:ilvl w:val="0"/>
          <w:numId w:val="24"/>
        </w:numPr>
        <w:rPr>
          <w:bCs/>
          <w:sz w:val="22"/>
        </w:rPr>
      </w:pPr>
      <w:r w:rsidRPr="00B52303">
        <w:rPr>
          <w:bCs/>
          <w:sz w:val="22"/>
          <w:u w:val="single"/>
        </w:rPr>
        <w:t>Oběhové hospodářství včetně předcházení vzniku odpadů a recyklace</w:t>
      </w:r>
    </w:p>
    <w:p w14:paraId="70408013" w14:textId="09157B1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>na životním prostředí.</w:t>
      </w:r>
    </w:p>
    <w:p w14:paraId="757E3C54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B52303" w:rsidRDefault="00373E66" w:rsidP="00E653FF">
      <w:pPr>
        <w:spacing w:before="240" w:after="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t>V souladu s Protokolem EU o nakládání se stavebními a demoličními odpady byl omezen vznik odpadu během výstavby, zohlednili jsme nejlepší dostupné techniky, aby došlo k opětovnému použití a vysoce kvalitní recyklaci selektivním odstraňováním materiálů s využitím dostupných systémů třídění stavebního odpadu.</w:t>
      </w:r>
    </w:p>
    <w:p w14:paraId="765A7C00" w14:textId="77777777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iCs/>
          <w:sz w:val="22"/>
          <w:lang w:eastAsia="cs-CZ"/>
        </w:rPr>
      </w:pPr>
      <w:r w:rsidRPr="00B52303">
        <w:rPr>
          <w:rFonts w:ascii="Calibri" w:hAnsi="Calibri" w:cs="Calibri"/>
          <w:b/>
          <w:iCs/>
          <w:sz w:val="22"/>
          <w:lang w:eastAsia="cs-CZ"/>
        </w:rPr>
        <w:lastRenderedPageBreak/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08540D08" w14:textId="77777777" w:rsidR="00373E66" w:rsidRPr="00B52303" w:rsidRDefault="00373E66" w:rsidP="00373E66">
      <w:pPr>
        <w:spacing w:line="276" w:lineRule="auto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>Zdůvodnění + doložení následující dokumentace</w:t>
      </w:r>
    </w:p>
    <w:p w14:paraId="1B84974B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iCs/>
          <w:sz w:val="22"/>
          <w:lang w:eastAsia="cs-CZ"/>
        </w:rPr>
      </w:pPr>
      <w:r w:rsidRPr="00B52303">
        <w:rPr>
          <w:iCs/>
          <w:sz w:val="22"/>
          <w:lang w:eastAsia="cs-CZ"/>
        </w:rPr>
        <w:t>doklady, jak bylo naloženo s odpadem klasifikovaným jako nebezpečný</w:t>
      </w:r>
    </w:p>
    <w:p w14:paraId="0DDD129E" w14:textId="77777777" w:rsidR="00373E66" w:rsidRPr="00B52303" w:rsidRDefault="00373E66" w:rsidP="00373E66">
      <w:pPr>
        <w:pStyle w:val="Odstavecseseznamem"/>
        <w:widowControl/>
        <w:numPr>
          <w:ilvl w:val="0"/>
          <w:numId w:val="26"/>
        </w:numPr>
        <w:autoSpaceDE/>
        <w:autoSpaceDN/>
        <w:spacing w:line="276" w:lineRule="auto"/>
        <w:contextualSpacing/>
        <w:rPr>
          <w:sz w:val="22"/>
        </w:rPr>
      </w:pPr>
      <w:r w:rsidRPr="00B52303">
        <w:rPr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751FFFDA" w14:textId="77777777" w:rsidR="00373E66" w:rsidRPr="00B52303" w:rsidRDefault="00373E66" w:rsidP="00373E66">
      <w:pPr>
        <w:pStyle w:val="Odstavecseseznamem"/>
        <w:widowControl/>
        <w:autoSpaceDE/>
        <w:autoSpaceDN/>
        <w:ind w:left="720" w:firstLine="0"/>
        <w:contextualSpacing/>
        <w:rPr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41694A7E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7F5B92AB" w14:textId="77777777" w:rsidR="00373E66" w:rsidRPr="00B52303" w:rsidRDefault="00373E66" w:rsidP="00373E66">
      <w:pPr>
        <w:pStyle w:val="Odstavecseseznamem"/>
        <w:numPr>
          <w:ilvl w:val="0"/>
          <w:numId w:val="26"/>
        </w:numPr>
        <w:contextualSpacing/>
        <w:rPr>
          <w:sz w:val="22"/>
        </w:rPr>
      </w:pPr>
      <w:r w:rsidRPr="00B52303">
        <w:rPr>
          <w:sz w:val="22"/>
          <w:u w:val="single"/>
        </w:rPr>
        <w:t>Prevence a omezení znečištění ovzduší, vody nebo půdy</w:t>
      </w:r>
    </w:p>
    <w:p w14:paraId="7716B496" w14:textId="77777777" w:rsidR="00373E66" w:rsidRPr="00B52303" w:rsidRDefault="00373E66" w:rsidP="00E653FF">
      <w:pPr>
        <w:spacing w:before="240" w:line="276" w:lineRule="auto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B52303" w:rsidRDefault="00373E66" w:rsidP="00373E66">
      <w:pPr>
        <w:spacing w:after="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B52303" w:rsidRDefault="00373E66" w:rsidP="00E653FF">
      <w:pPr>
        <w:spacing w:before="240"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 xml:space="preserve">Jsem seznámen se seznamem znečišťujících látek dle Nařízení vlády č. 145/2008 </w:t>
      </w:r>
      <w:r w:rsidR="007375A0" w:rsidRPr="00B52303">
        <w:rPr>
          <w:rFonts w:ascii="Calibri" w:hAnsi="Calibri" w:cs="Calibri"/>
          <w:b/>
          <w:sz w:val="22"/>
        </w:rPr>
        <w:br/>
      </w:r>
      <w:r w:rsidRPr="00B52303">
        <w:rPr>
          <w:rFonts w:ascii="Calibri" w:hAnsi="Calibri" w:cs="Calibri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Cs/>
          <w:sz w:val="22"/>
        </w:rPr>
      </w:pPr>
      <w:r w:rsidRPr="00B52303">
        <w:rPr>
          <w:rFonts w:ascii="Calibri" w:hAnsi="Calibri" w:cs="Calibri"/>
          <w:bCs/>
          <w:sz w:val="22"/>
        </w:rPr>
        <w:t xml:space="preserve">Zdůvodnění + Seznam přijatých opatření ke snížení hluku, prachu a emisí znečišťujících látek + Seznam znečišťujících látek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bCs/>
                <w:sz w:val="22"/>
              </w:rPr>
            </w:pPr>
          </w:p>
        </w:tc>
      </w:tr>
    </w:tbl>
    <w:p w14:paraId="3D47C6E2" w14:textId="77777777" w:rsidR="00373E66" w:rsidRPr="00B52303" w:rsidRDefault="00373E66" w:rsidP="00373E66">
      <w:pPr>
        <w:jc w:val="both"/>
        <w:rPr>
          <w:rFonts w:ascii="Calibri" w:hAnsi="Calibri" w:cs="Calibri"/>
          <w:bCs/>
          <w:sz w:val="22"/>
        </w:rPr>
      </w:pPr>
    </w:p>
    <w:p w14:paraId="05A59097" w14:textId="77777777" w:rsidR="00373E66" w:rsidRPr="00B52303" w:rsidRDefault="00373E66" w:rsidP="00373E66">
      <w:pPr>
        <w:pStyle w:val="Odstavecseseznamem"/>
        <w:numPr>
          <w:ilvl w:val="0"/>
          <w:numId w:val="26"/>
        </w:numPr>
        <w:contextualSpacing/>
        <w:rPr>
          <w:sz w:val="22"/>
          <w:u w:val="single"/>
        </w:rPr>
      </w:pPr>
      <w:r w:rsidRPr="00B52303">
        <w:rPr>
          <w:sz w:val="22"/>
          <w:u w:val="single"/>
        </w:rPr>
        <w:t>Ochrana a obnova biologické rozmanitosti a ekosystémů</w:t>
      </w:r>
    </w:p>
    <w:p w14:paraId="3BA8A515" w14:textId="77777777" w:rsidR="00373E66" w:rsidRPr="00B52303" w:rsidRDefault="00373E66" w:rsidP="0018427B">
      <w:pPr>
        <w:spacing w:before="240"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4FD1E142" w14:textId="41F3174B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 xml:space="preserve">Příjemce dotace bude postupovat v souladu s platnými předpisy v oblasti ochrany přírody a krajiny (zejména dle zákona č. 114/1992 Sb., o ochraně přírody a krajiny a zákona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lastRenderedPageBreak/>
        <w:t xml:space="preserve">č. 100/2001 Sb., o posuzování vlivů na životní prostředí) a zajistí, že projekt nebude </w:t>
      </w:r>
      <w:r w:rsidR="007375A0" w:rsidRPr="00B52303">
        <w:rPr>
          <w:rFonts w:ascii="Calibri" w:hAnsi="Calibri" w:cs="Calibri"/>
          <w:sz w:val="22"/>
        </w:rPr>
        <w:br/>
      </w:r>
      <w:r w:rsidRPr="00B52303">
        <w:rPr>
          <w:rFonts w:ascii="Calibri" w:hAnsi="Calibri" w:cs="Calibri"/>
          <w:sz w:val="22"/>
        </w:rPr>
        <w:t xml:space="preserve">ve významné míře negativně ovlivňovat předměty ochrany přírody a krajiny. </w:t>
      </w:r>
    </w:p>
    <w:p w14:paraId="41BB7785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b/>
          <w:sz w:val="22"/>
        </w:rPr>
      </w:pPr>
      <w:r w:rsidRPr="00B52303">
        <w:rPr>
          <w:rFonts w:ascii="Calibri" w:hAnsi="Calibri" w:cs="Calibri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77777777" w:rsidR="00373E66" w:rsidRPr="00B52303" w:rsidRDefault="00373E66" w:rsidP="00373E66">
      <w:pPr>
        <w:spacing w:line="276" w:lineRule="auto"/>
        <w:jc w:val="both"/>
        <w:rPr>
          <w:rFonts w:ascii="Calibri" w:hAnsi="Calibri" w:cs="Calibri"/>
          <w:sz w:val="22"/>
        </w:rPr>
      </w:pPr>
      <w:r w:rsidRPr="00B52303">
        <w:rPr>
          <w:rFonts w:ascii="Calibri" w:hAnsi="Calibri" w:cs="Calibri"/>
          <w:sz w:val="22"/>
        </w:rPr>
        <w:t>Zdůvodnění + Pokud bylo provedeno, doloží příjemce výsledek posouzení vlivu na životní prostředí (EIA), případně výsledek posouzení dle §45i zákona 114/1992 Sb. pro projekty v blízkosti oblastí Natura 2000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B52303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B52303" w:rsidRDefault="00373E66" w:rsidP="00521383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FC8A617" w14:textId="77777777" w:rsidR="00373E66" w:rsidRPr="00B52303" w:rsidRDefault="00373E66" w:rsidP="00373E66">
      <w:pPr>
        <w:jc w:val="both"/>
        <w:rPr>
          <w:rFonts w:ascii="Calibri" w:hAnsi="Calibri" w:cs="Calibri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B52303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  <w:tr w:rsidR="00373E66" w:rsidRPr="00B52303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B52303" w:rsidRDefault="00373E66" w:rsidP="00521383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B52303">
              <w:rPr>
                <w:rFonts w:ascii="Calibri" w:hAnsi="Calibri" w:cs="Calibri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B52303" w:rsidRDefault="00373E66" w:rsidP="00521383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32F02EA" w14:textId="77777777" w:rsidR="00373E66" w:rsidRPr="00B52303" w:rsidRDefault="00373E66" w:rsidP="00373E66">
      <w:pPr>
        <w:contextualSpacing/>
        <w:rPr>
          <w:rFonts w:ascii="Calibri" w:hAnsi="Calibri" w:cs="Calibri"/>
          <w:sz w:val="22"/>
        </w:rPr>
      </w:pPr>
    </w:p>
    <w:p w14:paraId="3858DB0B" w14:textId="77777777" w:rsidR="000C5F0E" w:rsidRPr="00B52303" w:rsidRDefault="000C5F0E" w:rsidP="000C5F0E">
      <w:pPr>
        <w:spacing w:before="240"/>
        <w:rPr>
          <w:rFonts w:ascii="Calibri" w:hAnsi="Calibri" w:cs="Calibri"/>
          <w:sz w:val="22"/>
        </w:rPr>
      </w:pPr>
    </w:p>
    <w:sectPr w:rsidR="000C5F0E" w:rsidRPr="00B52303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F1D9E" w14:textId="77777777" w:rsidR="00026AF8" w:rsidRDefault="00026AF8" w:rsidP="00CF3CE7">
      <w:pPr>
        <w:spacing w:after="0" w:line="240" w:lineRule="auto"/>
      </w:pPr>
      <w:r>
        <w:separator/>
      </w:r>
    </w:p>
  </w:endnote>
  <w:endnote w:type="continuationSeparator" w:id="0">
    <w:p w14:paraId="3541C1A3" w14:textId="77777777" w:rsidR="00026AF8" w:rsidRDefault="00026AF8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282888"/>
      <w:docPartObj>
        <w:docPartGallery w:val="Page Numbers (Bottom of Page)"/>
        <w:docPartUnique/>
      </w:docPartObj>
    </w:sdtPr>
    <w:sdtEndPr/>
    <w:sdtContent>
      <w:p w14:paraId="02077668" w14:textId="0F046CE7" w:rsidR="000612D0" w:rsidRDefault="000612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7C66">
          <w:rPr>
            <w:noProof/>
          </w:rPr>
          <w:t>5</w:t>
        </w:r>
        <w:r>
          <w:fldChar w:fldCharType="end"/>
        </w:r>
      </w:p>
    </w:sdtContent>
  </w:sdt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C3890" w14:textId="77777777" w:rsidR="00026AF8" w:rsidRDefault="00026AF8" w:rsidP="00CF3CE7">
      <w:pPr>
        <w:spacing w:after="0" w:line="240" w:lineRule="auto"/>
      </w:pPr>
      <w:r>
        <w:separator/>
      </w:r>
    </w:p>
  </w:footnote>
  <w:footnote w:type="continuationSeparator" w:id="0">
    <w:p w14:paraId="0E146A18" w14:textId="77777777" w:rsidR="00026AF8" w:rsidRDefault="00026AF8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Default="00373E66" w:rsidP="00373E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875E9">
          <w:rPr>
            <w:rStyle w:val="Hypertextovodkaz"/>
          </w:rPr>
          <w:t>https://www.mzp.cz/cz/zmena_klimatu_adaptacni_strategie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7509" w14:textId="71BD56BB" w:rsidR="00373E66" w:rsidRDefault="004D2C88" w:rsidP="00373E66">
    <w:pPr>
      <w:pStyle w:val="Zhlav"/>
    </w:pPr>
    <w:r>
      <w:rPr>
        <w:noProof/>
      </w:rPr>
      <w:drawing>
        <wp:inline distT="0" distB="0" distL="0" distR="0" wp14:anchorId="25EFCCAC" wp14:editId="7B8B9CDA">
          <wp:extent cx="5759450" cy="8380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8900D" w14:textId="4FB1F6D2" w:rsidR="000C5F0E" w:rsidRDefault="004D2C88" w:rsidP="000C5F0E">
    <w:pPr>
      <w:pStyle w:val="Zhlav"/>
      <w:ind w:left="-567"/>
    </w:pPr>
    <w:r>
      <w:rPr>
        <w:noProof/>
      </w:rPr>
      <w:drawing>
        <wp:inline distT="0" distB="0" distL="0" distR="0" wp14:anchorId="0F1C2923" wp14:editId="4662D505">
          <wp:extent cx="5759450" cy="838015"/>
          <wp:effectExtent l="0" t="0" r="0" b="63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94234"/>
    <w:multiLevelType w:val="hybridMultilevel"/>
    <w:tmpl w:val="F0E4E546"/>
    <w:lvl w:ilvl="0" w:tplc="531CD4BA">
      <w:start w:val="1"/>
      <w:numFmt w:val="decimal"/>
      <w:lvlText w:val="%1."/>
      <w:lvlJc w:val="left"/>
      <w:pPr>
        <w:ind w:left="993" w:hanging="567"/>
      </w:pPr>
      <w:rPr>
        <w:rFonts w:ascii="Calibri" w:eastAsia="Calibri" w:hAnsi="Calibri" w:cs="Calibri"/>
        <w:w w:val="100"/>
        <w:sz w:val="22"/>
        <w:szCs w:val="22"/>
        <w:lang w:val="cs-CZ" w:eastAsia="cs-CZ" w:bidi="cs-CZ"/>
      </w:rPr>
    </w:lvl>
    <w:lvl w:ilvl="1" w:tplc="703291B4">
      <w:numFmt w:val="bullet"/>
      <w:lvlText w:val="•"/>
      <w:lvlJc w:val="left"/>
      <w:pPr>
        <w:ind w:left="1582" w:hanging="567"/>
      </w:pPr>
      <w:rPr>
        <w:rFonts w:hint="default"/>
        <w:lang w:val="cs-CZ" w:eastAsia="cs-CZ" w:bidi="cs-CZ"/>
      </w:rPr>
    </w:lvl>
    <w:lvl w:ilvl="2" w:tplc="47CA67E2">
      <w:numFmt w:val="bullet"/>
      <w:lvlText w:val="•"/>
      <w:lvlJc w:val="left"/>
      <w:pPr>
        <w:ind w:left="2461" w:hanging="567"/>
      </w:pPr>
      <w:rPr>
        <w:rFonts w:hint="default"/>
        <w:lang w:val="cs-CZ" w:eastAsia="cs-CZ" w:bidi="cs-CZ"/>
      </w:rPr>
    </w:lvl>
    <w:lvl w:ilvl="3" w:tplc="BBF2B512">
      <w:numFmt w:val="bullet"/>
      <w:lvlText w:val="•"/>
      <w:lvlJc w:val="left"/>
      <w:pPr>
        <w:ind w:left="3339" w:hanging="567"/>
      </w:pPr>
      <w:rPr>
        <w:rFonts w:hint="default"/>
        <w:lang w:val="cs-CZ" w:eastAsia="cs-CZ" w:bidi="cs-CZ"/>
      </w:rPr>
    </w:lvl>
    <w:lvl w:ilvl="4" w:tplc="E61C815E">
      <w:numFmt w:val="bullet"/>
      <w:lvlText w:val="•"/>
      <w:lvlJc w:val="left"/>
      <w:pPr>
        <w:ind w:left="4218" w:hanging="567"/>
      </w:pPr>
      <w:rPr>
        <w:rFonts w:hint="default"/>
        <w:lang w:val="cs-CZ" w:eastAsia="cs-CZ" w:bidi="cs-CZ"/>
      </w:rPr>
    </w:lvl>
    <w:lvl w:ilvl="5" w:tplc="51EAFD2C">
      <w:numFmt w:val="bullet"/>
      <w:lvlText w:val="•"/>
      <w:lvlJc w:val="left"/>
      <w:pPr>
        <w:ind w:left="5097" w:hanging="567"/>
      </w:pPr>
      <w:rPr>
        <w:rFonts w:hint="default"/>
        <w:lang w:val="cs-CZ" w:eastAsia="cs-CZ" w:bidi="cs-CZ"/>
      </w:rPr>
    </w:lvl>
    <w:lvl w:ilvl="6" w:tplc="105ABA26">
      <w:numFmt w:val="bullet"/>
      <w:lvlText w:val="•"/>
      <w:lvlJc w:val="left"/>
      <w:pPr>
        <w:ind w:left="5975" w:hanging="567"/>
      </w:pPr>
      <w:rPr>
        <w:rFonts w:hint="default"/>
        <w:lang w:val="cs-CZ" w:eastAsia="cs-CZ" w:bidi="cs-CZ"/>
      </w:rPr>
    </w:lvl>
    <w:lvl w:ilvl="7" w:tplc="BE988132">
      <w:numFmt w:val="bullet"/>
      <w:lvlText w:val="•"/>
      <w:lvlJc w:val="left"/>
      <w:pPr>
        <w:ind w:left="6854" w:hanging="567"/>
      </w:pPr>
      <w:rPr>
        <w:rFonts w:hint="default"/>
        <w:lang w:val="cs-CZ" w:eastAsia="cs-CZ" w:bidi="cs-CZ"/>
      </w:rPr>
    </w:lvl>
    <w:lvl w:ilvl="8" w:tplc="C7603CE4">
      <w:numFmt w:val="bullet"/>
      <w:lvlText w:val="•"/>
      <w:lvlJc w:val="left"/>
      <w:pPr>
        <w:ind w:left="7733" w:hanging="567"/>
      </w:pPr>
      <w:rPr>
        <w:rFonts w:hint="default"/>
        <w:lang w:val="cs-CZ" w:eastAsia="cs-CZ" w:bidi="cs-CZ"/>
      </w:rPr>
    </w:lvl>
  </w:abstractNum>
  <w:abstractNum w:abstractNumId="30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>
    <w:abstractNumId w:val="9"/>
  </w:num>
  <w:num w:numId="2">
    <w:abstractNumId w:val="26"/>
  </w:num>
  <w:num w:numId="3">
    <w:abstractNumId w:val="19"/>
  </w:num>
  <w:num w:numId="4">
    <w:abstractNumId w:val="8"/>
  </w:num>
  <w:num w:numId="5">
    <w:abstractNumId w:val="10"/>
  </w:num>
  <w:num w:numId="6">
    <w:abstractNumId w:val="32"/>
  </w:num>
  <w:num w:numId="7">
    <w:abstractNumId w:val="3"/>
  </w:num>
  <w:num w:numId="8">
    <w:abstractNumId w:val="17"/>
  </w:num>
  <w:num w:numId="9">
    <w:abstractNumId w:val="34"/>
  </w:num>
  <w:num w:numId="10">
    <w:abstractNumId w:val="30"/>
  </w:num>
  <w:num w:numId="11">
    <w:abstractNumId w:val="28"/>
  </w:num>
  <w:num w:numId="12">
    <w:abstractNumId w:val="36"/>
  </w:num>
  <w:num w:numId="13">
    <w:abstractNumId w:val="20"/>
  </w:num>
  <w:num w:numId="14">
    <w:abstractNumId w:val="11"/>
  </w:num>
  <w:num w:numId="15">
    <w:abstractNumId w:val="0"/>
  </w:num>
  <w:num w:numId="16">
    <w:abstractNumId w:val="16"/>
  </w:num>
  <w:num w:numId="17">
    <w:abstractNumId w:val="23"/>
  </w:num>
  <w:num w:numId="18">
    <w:abstractNumId w:val="35"/>
  </w:num>
  <w:num w:numId="19">
    <w:abstractNumId w:val="33"/>
  </w:num>
  <w:num w:numId="20">
    <w:abstractNumId w:val="12"/>
  </w:num>
  <w:num w:numId="21">
    <w:abstractNumId w:val="27"/>
  </w:num>
  <w:num w:numId="22">
    <w:abstractNumId w:val="18"/>
  </w:num>
  <w:num w:numId="23">
    <w:abstractNumId w:val="2"/>
  </w:num>
  <w:num w:numId="24">
    <w:abstractNumId w:val="13"/>
  </w:num>
  <w:num w:numId="25">
    <w:abstractNumId w:val="31"/>
  </w:num>
  <w:num w:numId="26">
    <w:abstractNumId w:val="14"/>
  </w:num>
  <w:num w:numId="27">
    <w:abstractNumId w:val="7"/>
  </w:num>
  <w:num w:numId="28">
    <w:abstractNumId w:val="4"/>
  </w:num>
  <w:num w:numId="29">
    <w:abstractNumId w:val="25"/>
  </w:num>
  <w:num w:numId="30">
    <w:abstractNumId w:val="1"/>
  </w:num>
  <w:num w:numId="31">
    <w:abstractNumId w:val="37"/>
  </w:num>
  <w:num w:numId="32">
    <w:abstractNumId w:val="6"/>
  </w:num>
  <w:num w:numId="33">
    <w:abstractNumId w:val="5"/>
  </w:num>
  <w:num w:numId="34">
    <w:abstractNumId w:val="22"/>
  </w:num>
  <w:num w:numId="35">
    <w:abstractNumId w:val="21"/>
  </w:num>
  <w:num w:numId="36">
    <w:abstractNumId w:val="15"/>
  </w:num>
  <w:num w:numId="37">
    <w:abstractNumId w:val="24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26AF8"/>
    <w:rsid w:val="00043AC9"/>
    <w:rsid w:val="0005030D"/>
    <w:rsid w:val="0005330A"/>
    <w:rsid w:val="00055B5B"/>
    <w:rsid w:val="00061051"/>
    <w:rsid w:val="000612D0"/>
    <w:rsid w:val="00063D9C"/>
    <w:rsid w:val="000664BF"/>
    <w:rsid w:val="0006718C"/>
    <w:rsid w:val="00071543"/>
    <w:rsid w:val="0008745D"/>
    <w:rsid w:val="000A772C"/>
    <w:rsid w:val="000B130C"/>
    <w:rsid w:val="000B334D"/>
    <w:rsid w:val="000B5CB1"/>
    <w:rsid w:val="000B6936"/>
    <w:rsid w:val="000C4208"/>
    <w:rsid w:val="000C5F0E"/>
    <w:rsid w:val="000D03D2"/>
    <w:rsid w:val="000D2CAF"/>
    <w:rsid w:val="000E1E1D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5202"/>
    <w:rsid w:val="003B3DDE"/>
    <w:rsid w:val="003B75A9"/>
    <w:rsid w:val="003D05DF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1498"/>
    <w:rsid w:val="004230C4"/>
    <w:rsid w:val="00431395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2C88"/>
    <w:rsid w:val="004D5A5A"/>
    <w:rsid w:val="004E089C"/>
    <w:rsid w:val="004E1C7D"/>
    <w:rsid w:val="004E3024"/>
    <w:rsid w:val="004E7F58"/>
    <w:rsid w:val="004F277E"/>
    <w:rsid w:val="004F4279"/>
    <w:rsid w:val="004F5108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1CA3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30F5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75C4"/>
    <w:rsid w:val="00610256"/>
    <w:rsid w:val="00610425"/>
    <w:rsid w:val="0061283C"/>
    <w:rsid w:val="00617716"/>
    <w:rsid w:val="00621841"/>
    <w:rsid w:val="00622A27"/>
    <w:rsid w:val="0062795C"/>
    <w:rsid w:val="00632ED5"/>
    <w:rsid w:val="00642003"/>
    <w:rsid w:val="006438FC"/>
    <w:rsid w:val="00646BAF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0448E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47E7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2303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806D7"/>
    <w:rsid w:val="00F92AD3"/>
    <w:rsid w:val="00F93FFE"/>
    <w:rsid w:val="00FA2C57"/>
    <w:rsid w:val="00FA55A2"/>
    <w:rsid w:val="00FA7D2F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aliases w:val="List Paragraph (Czech Tourism),Odstavec_muj,Odstavec_muj1,Odstavec_muj2,Nad,List Paragraph,Odstavec_muj3,Nad1,List Paragraph1,Odstavec_muj4,Nad2,List Paragraph2,Odstavec_muj5,Odstavec_muj6,Odstavec_muj7,Odstavec_muj8,Odstavec_muj9"/>
    <w:basedOn w:val="Normln"/>
    <w:link w:val="OdstavecseseznamemChar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aliases w:val="List Paragraph (Czech Tourism) Char,Odstavec_muj Char,Odstavec_muj1 Char,Odstavec_muj2 Char,Nad Char,List Paragraph Char,Odstavec_muj3 Char,Nad1 Char,List Paragraph1 Char,Odstavec_muj4 Char,Nad2 Char,List Paragraph2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1115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Gavlasová Kateřina Mgr. (MPSV)</cp:lastModifiedBy>
  <cp:revision>5</cp:revision>
  <cp:lastPrinted>2022-06-29T07:31:00Z</cp:lastPrinted>
  <dcterms:created xsi:type="dcterms:W3CDTF">2022-11-03T08:52:00Z</dcterms:created>
  <dcterms:modified xsi:type="dcterms:W3CDTF">2022-11-09T11:36:00Z</dcterms:modified>
</cp:coreProperties>
</file>