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0618" w:rsidRPr="00940618" w:rsidRDefault="00940618" w:rsidP="00940618">
      <w:pPr>
        <w:jc w:val="right"/>
        <w:rPr>
          <w:i/>
        </w:rPr>
      </w:pPr>
      <w:bookmarkStart w:id="0" w:name="_GoBack"/>
      <w:bookmarkEnd w:id="0"/>
      <w:r w:rsidRPr="00940618">
        <w:rPr>
          <w:i/>
        </w:rPr>
        <w:t>Podklad pro jednání s PM Dr. K, Valachovou</w:t>
      </w:r>
    </w:p>
    <w:p w:rsidR="00DC4B89" w:rsidRPr="00DC4B89" w:rsidRDefault="00DC4B89" w:rsidP="00DC4B89">
      <w:pPr>
        <w:rPr>
          <w:b/>
          <w:u w:val="single"/>
        </w:rPr>
      </w:pPr>
      <w:r w:rsidRPr="00DC4B89">
        <w:rPr>
          <w:b/>
          <w:u w:val="single"/>
        </w:rPr>
        <w:t>Vzdělávání seniorů v ČR</w:t>
      </w:r>
    </w:p>
    <w:p w:rsidR="00DC4B89" w:rsidRPr="00DC4B89" w:rsidRDefault="00DC4B89" w:rsidP="00DC4B89">
      <w:r w:rsidRPr="00DC4B89">
        <w:t xml:space="preserve"> Moderní evropská společnost předpokládá posílení významu osobní odpovědnosti za svůj život a posílení schopnosti vytvářet různé životní strategie. Doposud přetrvává nadměrná víra v roli a odpovědnost státu. Přestože je občanům svěřena role svobodně se rozhodovat, ukazuje se, že </w:t>
      </w:r>
      <w:r w:rsidRPr="00DC4B89">
        <w:rPr>
          <w:b/>
        </w:rPr>
        <w:t xml:space="preserve">lidé mnohdy nejsou schopni v klíčových chvílích činit kompetentní rozhodnutí, protože neznají své možnosti, </w:t>
      </w:r>
      <w:r w:rsidRPr="00DC4B89">
        <w:t>které jim společnost nabízí.</w:t>
      </w:r>
      <w:r w:rsidRPr="00DC4B89">
        <w:rPr>
          <w:vertAlign w:val="superscript"/>
        </w:rPr>
        <w:footnoteReference w:id="1"/>
      </w:r>
    </w:p>
    <w:p w:rsidR="00DC4B89" w:rsidRPr="00DC4B89" w:rsidRDefault="00DC4B89" w:rsidP="00DC4B89">
      <w:r w:rsidRPr="00DC4B89">
        <w:rPr>
          <w:b/>
        </w:rPr>
        <w:t xml:space="preserve">Postrádáme významnou podporu informovaného občanství, občansky a prakticky zaměřeného celoživotního učení, </w:t>
      </w:r>
      <w:r w:rsidRPr="00DC4B89">
        <w:t xml:space="preserve">jako konceptu pro aktualizování základních občanských kompetencí, pro podporu svépomoci a využívání možností i čelení rizikům měnící se společnosti (podvodné nabídkové akce, lichva, loupeže apod.). Vzdělávání a učení jsou důležité nejen pro udržení zaměstnatelnosti, ale i pro osobnostní rozvoj a </w:t>
      </w:r>
      <w:r w:rsidRPr="00DC4B89">
        <w:rPr>
          <w:b/>
        </w:rPr>
        <w:t>schopnost postarat se sám o sebe a to i ve vyšším seniorském věku</w:t>
      </w:r>
      <w:r w:rsidRPr="00DC4B89">
        <w:t>. Protože</w:t>
      </w:r>
    </w:p>
    <w:p w:rsidR="00DC4B89" w:rsidRPr="00DC4B89" w:rsidRDefault="00DC4B89" w:rsidP="00DC4B89">
      <w:pPr>
        <w:numPr>
          <w:ilvl w:val="0"/>
          <w:numId w:val="1"/>
        </w:numPr>
      </w:pPr>
      <w:r w:rsidRPr="00DC4B89">
        <w:t>Zlepšuje uplatnění na trhu práce (zaměstnatelnost);</w:t>
      </w:r>
    </w:p>
    <w:p w:rsidR="00DC4B89" w:rsidRPr="00DC4B89" w:rsidRDefault="00DC4B89" w:rsidP="00DC4B89">
      <w:pPr>
        <w:numPr>
          <w:ilvl w:val="0"/>
          <w:numId w:val="1"/>
        </w:numPr>
      </w:pPr>
      <w:r w:rsidRPr="00DC4B89">
        <w:t>zvyšuje šanci řešit vlastní problémy svépomocí;</w:t>
      </w:r>
    </w:p>
    <w:p w:rsidR="00DC4B89" w:rsidRPr="00DC4B89" w:rsidRDefault="00DC4B89" w:rsidP="00DC4B89">
      <w:pPr>
        <w:numPr>
          <w:ilvl w:val="0"/>
          <w:numId w:val="1"/>
        </w:numPr>
      </w:pPr>
      <w:r w:rsidRPr="00DC4B89">
        <w:t>zlepšuje kvalitu života v seniorském věku.</w:t>
      </w:r>
    </w:p>
    <w:p w:rsidR="00DC4B89" w:rsidRPr="00DC4B89" w:rsidRDefault="00DC4B89" w:rsidP="00DC4B89">
      <w:r w:rsidRPr="00DC4B89">
        <w:t>Možné jsou dva základní způsoby získávání dovedností a znalostí:</w:t>
      </w:r>
    </w:p>
    <w:p w:rsidR="00DC4B89" w:rsidRPr="00DC4B89" w:rsidRDefault="00DC4B89" w:rsidP="00DC4B89">
      <w:pPr>
        <w:numPr>
          <w:ilvl w:val="0"/>
          <w:numId w:val="2"/>
        </w:numPr>
      </w:pPr>
      <w:r w:rsidRPr="00DC4B89">
        <w:rPr>
          <w:b/>
        </w:rPr>
        <w:t>Formální vzdělávání, poskytované akreditovanými vzdělávacími institucemi</w:t>
      </w:r>
      <w:r w:rsidRPr="00DC4B89">
        <w:t xml:space="preserve"> (Univerzity, střední školy), ukončené závěrečnými testy a s certifikovaným výstupem.</w:t>
      </w:r>
      <w:r w:rsidRPr="00DC4B89">
        <w:rPr>
          <w:vertAlign w:val="superscript"/>
        </w:rPr>
        <w:footnoteReference w:id="2"/>
      </w:r>
      <w:r w:rsidRPr="00DC4B89">
        <w:t xml:space="preserve">   </w:t>
      </w:r>
    </w:p>
    <w:p w:rsidR="00DC4B89" w:rsidRPr="00DC4B89" w:rsidRDefault="00DC4B89" w:rsidP="00DC4B89">
      <w:pPr>
        <w:numPr>
          <w:ilvl w:val="0"/>
          <w:numId w:val="2"/>
        </w:numPr>
      </w:pPr>
      <w:r w:rsidRPr="00DC4B89">
        <w:rPr>
          <w:b/>
        </w:rPr>
        <w:t>Neformální moduly celoživotního učení</w:t>
      </w:r>
      <w:r w:rsidRPr="00DC4B89">
        <w:t xml:space="preserve"> bez závěrečných zkoušek a certifikátů, ad hoc kurzy na úrovni </w:t>
      </w:r>
      <w:r w:rsidR="00940618">
        <w:t>obcí</w:t>
      </w:r>
      <w:r w:rsidRPr="00DC4B89">
        <w:t xml:space="preserve"> nebo organizovaných spolky, církevními organizacemi, které naplňují společenské potřeby. Není totiž pro život důležité, jestli máme na život certifikát, sami sobě ho ukazovat nemusíme, ale jestli skutečně víme a dovedeme zvládat i náročné situace. </w:t>
      </w:r>
    </w:p>
    <w:p w:rsidR="00DC4B89" w:rsidRPr="00DC4B89" w:rsidRDefault="00DC4B89" w:rsidP="00DC4B89">
      <w:r w:rsidRPr="00DC4B89">
        <w:t xml:space="preserve">Tyto instituce však na rozdíl od U3V </w:t>
      </w:r>
      <w:r w:rsidRPr="00DC4B89">
        <w:rPr>
          <w:b/>
        </w:rPr>
        <w:t>nedostávají pravidelné dotace, pokud vůbec nějaké dostanou.</w:t>
      </w:r>
      <w:r w:rsidRPr="00DC4B89">
        <w:t xml:space="preserve"> MŠMT nerespektuje svou povinnost, danou kompetenčním zákonem, a </w:t>
      </w:r>
      <w:proofErr w:type="spellStart"/>
      <w:r w:rsidRPr="00DC4B89">
        <w:t>nepodpo</w:t>
      </w:r>
      <w:proofErr w:type="spellEnd"/>
      <w:r>
        <w:t>-</w:t>
      </w:r>
      <w:r w:rsidRPr="00DC4B89">
        <w:t xml:space="preserve">ruje je. Bylo by možné řadu kurzů dotovat podle zákona o sociálních službách, ale přehnaně zúžený a nesprávný výklad zákona to poskytovatelům v Praze zakazuje. Jejich situace udržitelná. </w:t>
      </w:r>
    </w:p>
    <w:p w:rsidR="00DC4B89" w:rsidRPr="00DC4B89" w:rsidRDefault="00DC4B89" w:rsidP="00DC4B89">
      <w:r w:rsidRPr="00DC4B89">
        <w:t xml:space="preserve">U3V jsou v dotačním systému MŠMT a mají tedy reálnou šanci na finanční podporu od státu. </w:t>
      </w:r>
    </w:p>
    <w:p w:rsidR="00DC4B89" w:rsidRPr="00DC4B89" w:rsidRDefault="00DC4B89" w:rsidP="00DC4B89">
      <w:pPr>
        <w:rPr>
          <w:b/>
        </w:rPr>
      </w:pPr>
      <w:r w:rsidRPr="00DC4B89">
        <w:t xml:space="preserve">Musíme si být vědomi skutečnosti, že </w:t>
      </w:r>
      <w:r w:rsidRPr="00DC4B89">
        <w:rPr>
          <w:b/>
        </w:rPr>
        <w:t xml:space="preserve">jen asi desetina seniorů starších 60 let má zájem usednout znovu do školních lavic </w:t>
      </w:r>
      <w:r w:rsidRPr="00DC4B89">
        <w:t xml:space="preserve">a podrobit se stresovým zátěžím testů a domácích úkolů. </w:t>
      </w:r>
      <w:r w:rsidRPr="00DC4B89">
        <w:rPr>
          <w:b/>
        </w:rPr>
        <w:lastRenderedPageBreak/>
        <w:t xml:space="preserve">Naopak ti, kteří musejí překonávat nejtěžší životní situace, sociální vyloučení, nouzi, nemoci, nemají šanci zvládnout režim pravidelné semestrální výuky a přitom právě jim by měla společnost nabídnout přístupem k informacím a učení, změnit život. </w:t>
      </w:r>
    </w:p>
    <w:p w:rsidR="00DC4B89" w:rsidRPr="00DC4B89" w:rsidRDefault="00DC4B89" w:rsidP="00DC4B89">
      <w:r w:rsidRPr="00DC4B89">
        <w:t xml:space="preserve">Proto </w:t>
      </w:r>
      <w:r w:rsidRPr="00DC4B89">
        <w:rPr>
          <w:b/>
        </w:rPr>
        <w:t>má rozhodující význam neformální celoživotní učení,</w:t>
      </w:r>
      <w:r w:rsidRPr="00DC4B89">
        <w:t xml:space="preserve"> provozované v přátelském prostředí klubů, akademie seniorů, Univerzita volného času. Motivaci získáváme častěji</w:t>
      </w:r>
      <w:r w:rsidRPr="00DC4B89">
        <w:rPr>
          <w:b/>
        </w:rPr>
        <w:t xml:space="preserve"> spontánní nápodobou pozitivních příkladů, </w:t>
      </w:r>
      <w:r w:rsidRPr="00DC4B89">
        <w:t xml:space="preserve">ve kterých hraje důležitou roli emotivní složka, naplnění touhy někam patřit, získat pocit osobního významu v blízkosti vrstevníků, zaplnění ztráty životního partnera apod. </w:t>
      </w:r>
    </w:p>
    <w:p w:rsidR="00DC4B89" w:rsidRPr="00DC4B89" w:rsidRDefault="00DC4B89" w:rsidP="00DC4B89">
      <w:pPr>
        <w:rPr>
          <w:b/>
        </w:rPr>
      </w:pPr>
      <w:r w:rsidRPr="00DC4B89">
        <w:rPr>
          <w:b/>
        </w:rPr>
        <w:t>Shrnutí:</w:t>
      </w:r>
    </w:p>
    <w:p w:rsidR="00DC4B89" w:rsidRDefault="00DC4B89" w:rsidP="00DC4B89">
      <w:r w:rsidRPr="00DC4B89">
        <w:t xml:space="preserve">Oblasti vzdělávání seniorů jako kontinuální proces získávání a rozvoje vědomostí, intelektových schopností a praktických dovedností v období </w:t>
      </w:r>
      <w:proofErr w:type="spellStart"/>
      <w:r w:rsidRPr="00DC4B89">
        <w:t>sénia</w:t>
      </w:r>
      <w:proofErr w:type="spellEnd"/>
      <w:r w:rsidRPr="00DC4B89">
        <w:t xml:space="preserve"> byl formulován ve Strategii celoživotního učení ČR (MŠMT ČR, 2007). Ten reaguje na dynamický rozvoj současné společnosti, a to především v oblasti technologií a inovací, ale i proměn v sociálním a prostoru a v </w:t>
      </w:r>
      <w:proofErr w:type="spellStart"/>
      <w:r w:rsidRPr="00DC4B89">
        <w:t>biovědách</w:t>
      </w:r>
      <w:proofErr w:type="spellEnd"/>
      <w:r w:rsidRPr="00DC4B89">
        <w:t xml:space="preserve">. Podstatným aspektem celoživotního učení je sociální inkluze těch, „jejichž počáteční vzdělávání a příprava nebyla uspokojivá a adekvátní zvláště ve vztahu k modernímu světu“ (Strategie 2007, s. 15). Má-li být starší člověk platnou součástí současné společnosti, stává se připravenost stále se vzdělávat nezbytností. </w:t>
      </w:r>
    </w:p>
    <w:p w:rsidR="00DC4B89" w:rsidRPr="00DC4B89" w:rsidRDefault="00DC4B89" w:rsidP="00DC4B89">
      <w:r w:rsidRPr="00DC4B89">
        <w:rPr>
          <w:b/>
        </w:rPr>
        <w:t>Zapojení nestátních neziskových organizací a středních škol</w:t>
      </w:r>
      <w:r w:rsidRPr="00DC4B89">
        <w:t xml:space="preserve"> do procesu celoživotního učení je jednou z os zmíněné Strategie celoživotního učení MŠMT (2007). </w:t>
      </w:r>
      <w:r>
        <w:t>Ale jejich ú</w:t>
      </w:r>
      <w:r w:rsidRPr="00DC4B89">
        <w:t xml:space="preserve">loha je v současnosti podhodnocená a neodpovídá tomuto požadavku. Silou těchto organizací, které mohou poskytovat neformální učení (ale i koordinovat učení informální), je, že </w:t>
      </w:r>
      <w:r w:rsidRPr="00DC4B89">
        <w:rPr>
          <w:b/>
        </w:rPr>
        <w:t>jejich pracovníci mají</w:t>
      </w:r>
      <w:r w:rsidRPr="00DC4B89">
        <w:t xml:space="preserve"> na rozdíl od akademických pracovníků nejen odpovídající vzdělání na práci se seniory, ale také </w:t>
      </w:r>
      <w:r w:rsidRPr="00DC4B89">
        <w:rPr>
          <w:b/>
        </w:rPr>
        <w:t xml:space="preserve">přímou zkušenost </w:t>
      </w:r>
      <w:r w:rsidRPr="00DC4B89">
        <w:t xml:space="preserve">s nimi. A tomu jsou uzpůsobené i jimi nabízené vzdělávací aktivity. Pouze teoretické vzdělání se nalézá v kontextu dalších aktivit pro seniory. Důležité místo totiž patří také jiným formám vzdělávání: tělovýchově či výtvarné činnosti, ale i získávání klíčových občanských kompetencí (práce na počítačích, finanční gramotnost, sebeobrana pro seniory, znalost sociální a zdravotní, ale i občanské legislativy…). </w:t>
      </w:r>
    </w:p>
    <w:p w:rsidR="00DC4B89" w:rsidRPr="00DC4B89" w:rsidRDefault="00DC4B89" w:rsidP="00DC4B89">
      <w:r w:rsidRPr="00DC4B89">
        <w:t>Podpora vzdělávání seniorů má směřovat do oblasti informálního učení: podporovat dobrovolnické a svépomocné aktivity seniorů. Senioři totiž oplývají nejen teoretickými poznatky, ale také bohatstvím zkušeností. Zvláště svépomocné skupiny seniorů či pečujících jsou důležitou součástí strategie celoživotního učení.</w:t>
      </w:r>
    </w:p>
    <w:p w:rsidR="00DC4B89" w:rsidRPr="00DC4B89" w:rsidRDefault="00DC4B89" w:rsidP="00DC4B89">
      <w:r w:rsidRPr="00DC4B89">
        <w:t>Možnost aktivního zapojení starších občanů do vzdělávacího procesu v roli učitelů či vedoucích aktivit posiluje vědomí vlastní důstojnosti. Senioři totiž nezřídka disponují adekvátním vzděláním, které jim umožňuje pracovat jako lektoři či vedoucí skupin neformálního učení (např. jako lektoři jazykové výuky). Umožňuje pozitivní zhodnocení dosavadní činnosti a dosažených úspěchů, ať v profesní, tak i v osobní a zájmové sféře. Působí navíc motivačně i na další členy seniorské ‚komunity‘, aby rovněž dali ostatním k dispozici své dovednosti a poznatky.</w:t>
      </w:r>
    </w:p>
    <w:p w:rsidR="00DC4B89" w:rsidRDefault="00DC4B89" w:rsidP="00DC4B89">
      <w:pPr>
        <w:rPr>
          <w:b/>
        </w:rPr>
      </w:pPr>
    </w:p>
    <w:p w:rsidR="00DC4B89" w:rsidRPr="00DC4B89" w:rsidRDefault="00DC4B89" w:rsidP="00DC4B89">
      <w:pPr>
        <w:rPr>
          <w:b/>
        </w:rPr>
      </w:pPr>
      <w:r w:rsidRPr="00DC4B89">
        <w:rPr>
          <w:b/>
        </w:rPr>
        <w:t>Cíle grantového programu vzdělávání seniorů jsou:</w:t>
      </w:r>
    </w:p>
    <w:p w:rsidR="00DC4B89" w:rsidRPr="00DC4B89" w:rsidRDefault="00DC4B89" w:rsidP="00DC4B89">
      <w:r w:rsidRPr="00DC4B89">
        <w:rPr>
          <w:u w:val="single"/>
        </w:rPr>
        <w:t>Zlepšování kvality života seniorů a společnosti</w:t>
      </w:r>
      <w:r w:rsidRPr="00DC4B89">
        <w:t xml:space="preserve">, a to zejména ve smyslu </w:t>
      </w:r>
      <w:r w:rsidRPr="00DC4B89">
        <w:rPr>
          <w:u w:val="single"/>
        </w:rPr>
        <w:t>aktivizace</w:t>
      </w:r>
      <w:r w:rsidRPr="00DC4B89">
        <w:t xml:space="preserve"> seniorů zapojením do pravidelného studijního programu a zvládání přiměřených nároků v souvislosti se studiem. Uvedené nároky nejsou jen intelektuálního, ale také – a v neposlední řadě sociálního rázu. Přímým, i když ne primárním, důsledkem zapojení seniorů do studia, je překonávání samoty a strachu z nového a nepoznaného. </w:t>
      </w:r>
    </w:p>
    <w:p w:rsidR="00DC4B89" w:rsidRPr="00DC4B89" w:rsidRDefault="00DC4B89" w:rsidP="00DC4B89">
      <w:r w:rsidRPr="00DC4B89">
        <w:t xml:space="preserve">Dalším aspektem je </w:t>
      </w:r>
      <w:r w:rsidRPr="00DC4B89">
        <w:rPr>
          <w:u w:val="single"/>
        </w:rPr>
        <w:t>posílení solidarity</w:t>
      </w:r>
      <w:r w:rsidRPr="00DC4B89">
        <w:t xml:space="preserve"> – a to jak generační, tak i mezigenerační povahy. Vzdělanost obecně posiluje vědomí sounáležitosti se společností, s její tradicí. Právě tento </w:t>
      </w:r>
      <w:r w:rsidRPr="00DC4B89">
        <w:lastRenderedPageBreak/>
        <w:t xml:space="preserve">rozměr vzdělanosti je velmi důležitý v současné době, která je charakteristická až dramatickým setkáváním s novým a neznámým.  Zvyšuje totiž míru tolerance vůči odlišnému a nezvyklému, a tím posiluje </w:t>
      </w:r>
      <w:r w:rsidRPr="00DC4B89">
        <w:rPr>
          <w:u w:val="single"/>
        </w:rPr>
        <w:t>občanskou odpovědnost</w:t>
      </w:r>
      <w:r w:rsidRPr="00DC4B89">
        <w:t xml:space="preserve">. </w:t>
      </w:r>
    </w:p>
    <w:p w:rsidR="00DC4B89" w:rsidRPr="00DC4B89" w:rsidRDefault="00DC4B89" w:rsidP="00DC4B89">
      <w:r w:rsidRPr="00DC4B89">
        <w:t xml:space="preserve">Nezbytností je posilovat formou neformálního i informálního učení </w:t>
      </w:r>
      <w:r w:rsidRPr="00DC4B89">
        <w:rPr>
          <w:u w:val="single"/>
        </w:rPr>
        <w:t xml:space="preserve">klíčové občanské kompetence </w:t>
      </w:r>
      <w:r w:rsidRPr="00DC4B89">
        <w:t>seniorů, technologické inovace, legislativní změny (zejména v občanskoprávní, zdravotní a sociální oblasti), finanční gramotnost aj. Nejde o nic méně závažného, než aby senioři byli respektovanou a pevnou součástí společnosti. Stále významněji musí být součástí učení „získávání vědomostí, osvojování si dovedností a kompetencí z každodenních zkušeností a činností“ (Strategie, 2007, s. 41).</w:t>
      </w:r>
    </w:p>
    <w:p w:rsidR="00DC4B89" w:rsidRPr="00DC4B89" w:rsidRDefault="00DC4B89" w:rsidP="00DC4B89">
      <w:r w:rsidRPr="00DC4B89">
        <w:t xml:space="preserve">Na individuální rovině posiluje vzdělávání seniorů aspekt naděje coby důvěry ve smysluplné možnosti budoucnosti, což je aspekt ve stáří velmi důležitý. Psychologickým důsledkem naděje je odhodlání. Jde o důležitou </w:t>
      </w:r>
      <w:r w:rsidRPr="00DC4B89">
        <w:rPr>
          <w:u w:val="single"/>
        </w:rPr>
        <w:t>prevenci rezignace</w:t>
      </w:r>
      <w:r w:rsidRPr="00DC4B89">
        <w:t xml:space="preserve"> zvyšující závislost seniora na péči druhých.</w:t>
      </w:r>
    </w:p>
    <w:p w:rsidR="00DC4B89" w:rsidRPr="00DC4B89" w:rsidRDefault="00DC4B89" w:rsidP="00DC4B89">
      <w:r w:rsidRPr="00DC4B89">
        <w:t xml:space="preserve">Chtěným důsledkem vzdělávání seniorů je </w:t>
      </w:r>
      <w:r w:rsidRPr="00DC4B89">
        <w:rPr>
          <w:u w:val="single"/>
        </w:rPr>
        <w:t>zvýšení</w:t>
      </w:r>
      <w:r w:rsidRPr="00DC4B89">
        <w:t xml:space="preserve"> jejich </w:t>
      </w:r>
      <w:r w:rsidRPr="00DC4B89">
        <w:rPr>
          <w:u w:val="single"/>
        </w:rPr>
        <w:t>konkurenceschopnosti</w:t>
      </w:r>
      <w:r w:rsidRPr="00DC4B89">
        <w:t xml:space="preserve"> na trhu práce. Tento důsledek má dvojí rozměr. Jednak umožňuje staršímu člověku, aby uplatnil své znalosti a dovednosti, a tak se vnímal jako stále platný člen společnosti, který má co nabídnout ostatním. Jednak činí seniora soběstačnějším a méně závislým na péči ostatních. Vzhledem ke vzrůstajícímu počtu seniorů ve společnosti bude reintegrace seniorů na trhu práce či prodloužení jejich pracovní kariéry stále důležitější. </w:t>
      </w:r>
    </w:p>
    <w:p w:rsidR="00DC4B89" w:rsidRPr="00DC4B89" w:rsidRDefault="00DC4B89" w:rsidP="00DC4B89">
      <w:r w:rsidRPr="00DC4B89">
        <w:t xml:space="preserve">Posílení solidarity a nezávislosti, socializace seniora jsou podstatné aspekty </w:t>
      </w:r>
      <w:r w:rsidRPr="00DC4B89">
        <w:rPr>
          <w:u w:val="single"/>
        </w:rPr>
        <w:t>prevence zneužívání</w:t>
      </w:r>
      <w:r w:rsidRPr="00DC4B89">
        <w:t xml:space="preserve"> seniorů, a to zejména podaří-li se zapojení seniora do skupiny vrstevníků. I proto je podpora vzdělávání seniorů přihlášení se </w:t>
      </w:r>
      <w:r>
        <w:t>MŠMT</w:t>
      </w:r>
      <w:r w:rsidRPr="00DC4B89">
        <w:t xml:space="preserve"> k plnění Národního akčního plánu podporujícího aktivní stárnutí MPSV ČR pro roky 2013-2017, a to zejména článku C. Celoživotní učení. Posílení vědomí vlastní užitečnosti a hodnoty posiluje sebedůvěru seniora a vědomí jeho vlastní důstojnosti, a činí jej tak méně zranitelným v sociálním prostoru. Uplatnění na trhu práce navíc snižuje jeho ekonomickou závislost, a tedy zranitelnost a </w:t>
      </w:r>
      <w:proofErr w:type="spellStart"/>
      <w:r w:rsidRPr="00DC4B89">
        <w:t>zneužitelnost</w:t>
      </w:r>
      <w:proofErr w:type="spellEnd"/>
      <w:r w:rsidRPr="00DC4B89">
        <w:t>.</w:t>
      </w:r>
    </w:p>
    <w:p w:rsidR="00DC4B89" w:rsidRPr="00DC4B89" w:rsidRDefault="00DC4B89" w:rsidP="00DC4B89">
      <w:r w:rsidRPr="00DC4B89">
        <w:t>Grantový program M</w:t>
      </w:r>
      <w:r>
        <w:t>ŠMT</w:t>
      </w:r>
      <w:r w:rsidRPr="00DC4B89">
        <w:t xml:space="preserve"> musí zahrnovat také podporu oblasti </w:t>
      </w:r>
      <w:r w:rsidRPr="00DC4B89">
        <w:rPr>
          <w:u w:val="single"/>
        </w:rPr>
        <w:t>poradenství</w:t>
      </w:r>
      <w:r w:rsidRPr="00DC4B89">
        <w:t>, které by v prostředí neziskových organizací, které se seniory pracují, umožnilo jejich klientům získat ucelenou představu o nabídce relevantních programů formálního, neformálního i informálního učení. Součástí Strategie celoživotního učení MŠMT (2007) je také rozvoj podpůrných služeb usnadňujících účast dospělých na dalším vzdělávání (např. péče o závislé členy rodiny, asistenční služby). Jde o programy odlehčovací péče, ale také svépomocné skupiny neformálních pečovatelů.</w:t>
      </w:r>
    </w:p>
    <w:p w:rsidR="00DC4B89" w:rsidRPr="00DC4B89" w:rsidRDefault="00DC4B89" w:rsidP="00DC4B89">
      <w:r w:rsidRPr="00DC4B89">
        <w:t xml:space="preserve">V neposlední řadě </w:t>
      </w:r>
      <w:r w:rsidRPr="00DC4B89">
        <w:rPr>
          <w:b/>
        </w:rPr>
        <w:t>je třeba podporovat spolupráci škol a školských zařízení s nestátními neziskovými organizacemi,</w:t>
      </w:r>
      <w:r w:rsidRPr="00DC4B89">
        <w:t xml:space="preserve"> které je pro obě strany přínosné: školnímu či akademickému prostoru prostředkují odborníci z praxe důležitou vazbu se skutečností. Naopak školní a akademický prostor přináší do prostředí neziskových organizací povědomí o nejnovějším stavu bádání v tematice jejich práce a služeb.</w:t>
      </w:r>
    </w:p>
    <w:p w:rsidR="00DC4B89" w:rsidRDefault="00DC4B89" w:rsidP="00DC4B89"/>
    <w:p w:rsidR="00940618" w:rsidRDefault="00940618" w:rsidP="00DC4B89"/>
    <w:p w:rsidR="00940618" w:rsidRDefault="00940618" w:rsidP="00DC4B89"/>
    <w:p w:rsidR="00940618" w:rsidRDefault="00940618" w:rsidP="00DC4B89"/>
    <w:p w:rsidR="00940618" w:rsidRDefault="00940618" w:rsidP="00DC4B89"/>
    <w:p w:rsidR="00940618" w:rsidRDefault="00940618" w:rsidP="00DC4B89"/>
    <w:p w:rsidR="00940618" w:rsidRDefault="00940618" w:rsidP="00DC4B89"/>
    <w:p w:rsidR="00940618" w:rsidRPr="00DC4B89" w:rsidRDefault="00940618" w:rsidP="00DC4B89"/>
    <w:p w:rsidR="00DC4B89" w:rsidRPr="00DC4B89" w:rsidRDefault="00DC4B89" w:rsidP="00DC4B89">
      <w:pPr>
        <w:rPr>
          <w:b/>
          <w:u w:val="single"/>
        </w:rPr>
      </w:pPr>
      <w:r w:rsidRPr="00DC4B89">
        <w:rPr>
          <w:b/>
          <w:u w:val="single"/>
        </w:rPr>
        <w:t>Návrh dotačních titulů pro neformální učení:</w:t>
      </w:r>
    </w:p>
    <w:p w:rsidR="00DC4B89" w:rsidRPr="00DC4B89" w:rsidRDefault="00DC4B89" w:rsidP="00DC4B89">
      <w:pPr>
        <w:rPr>
          <w:b/>
        </w:rPr>
      </w:pPr>
      <w:r w:rsidRPr="00DC4B89">
        <w:rPr>
          <w:b/>
        </w:rPr>
        <w:t xml:space="preserve">Subjekty, které mohou o grant </w:t>
      </w:r>
      <w:r>
        <w:rPr>
          <w:b/>
        </w:rPr>
        <w:t>MŠMT</w:t>
      </w:r>
      <w:r w:rsidRPr="00DC4B89">
        <w:rPr>
          <w:b/>
        </w:rPr>
        <w:t xml:space="preserve"> žádat: </w:t>
      </w:r>
    </w:p>
    <w:p w:rsidR="00DC4B89" w:rsidRPr="00DC4B89" w:rsidRDefault="00DC4B89" w:rsidP="00DC4B89">
      <w:r w:rsidRPr="00DC4B89">
        <w:t>Nestátní neziskové organizace (příp. v partnerství s dalšími institucemi – SŠ, příspěvkové organizace, další NNO)</w:t>
      </w:r>
    </w:p>
    <w:p w:rsidR="00DC4B89" w:rsidRPr="00DC4B89" w:rsidRDefault="00DC4B89" w:rsidP="00DC4B89">
      <w:pPr>
        <w:rPr>
          <w:b/>
        </w:rPr>
      </w:pPr>
      <w:r w:rsidRPr="00DC4B89">
        <w:rPr>
          <w:b/>
        </w:rPr>
        <w:t>Témata:</w:t>
      </w:r>
    </w:p>
    <w:p w:rsidR="00DC4B89" w:rsidRPr="00DC4B89" w:rsidRDefault="00DC4B89" w:rsidP="00DC4B89">
      <w:pPr>
        <w:numPr>
          <w:ilvl w:val="0"/>
          <w:numId w:val="3"/>
        </w:numPr>
      </w:pPr>
      <w:r w:rsidRPr="00DC4B89">
        <w:t>Finanční gramotnost</w:t>
      </w:r>
    </w:p>
    <w:p w:rsidR="00DC4B89" w:rsidRPr="00DC4B89" w:rsidRDefault="00DC4B89" w:rsidP="00DC4B89">
      <w:pPr>
        <w:numPr>
          <w:ilvl w:val="0"/>
          <w:numId w:val="3"/>
        </w:numPr>
      </w:pPr>
      <w:r w:rsidRPr="00DC4B89">
        <w:t>Sociální systémy ČR</w:t>
      </w:r>
    </w:p>
    <w:p w:rsidR="00DC4B89" w:rsidRPr="00DC4B89" w:rsidRDefault="00DC4B89" w:rsidP="00DC4B89">
      <w:pPr>
        <w:numPr>
          <w:ilvl w:val="0"/>
          <w:numId w:val="3"/>
        </w:numPr>
      </w:pPr>
      <w:r w:rsidRPr="00DC4B89">
        <w:t xml:space="preserve">Pečovatelství </w:t>
      </w:r>
    </w:p>
    <w:p w:rsidR="00DC4B89" w:rsidRPr="00DC4B89" w:rsidRDefault="00DC4B89" w:rsidP="00DC4B89">
      <w:pPr>
        <w:numPr>
          <w:ilvl w:val="0"/>
          <w:numId w:val="3"/>
        </w:numPr>
      </w:pPr>
      <w:r w:rsidRPr="00DC4B89">
        <w:t>Občanské právo a obhajoba vlastních práv, prevence diskriminace</w:t>
      </w:r>
    </w:p>
    <w:p w:rsidR="00DC4B89" w:rsidRPr="00DC4B89" w:rsidRDefault="00DC4B89" w:rsidP="00DC4B89">
      <w:pPr>
        <w:numPr>
          <w:ilvl w:val="0"/>
          <w:numId w:val="3"/>
        </w:numPr>
      </w:pPr>
      <w:r w:rsidRPr="00DC4B89">
        <w:t>Týrání a zneužívání seniorů, zanedbávání péče</w:t>
      </w:r>
    </w:p>
    <w:p w:rsidR="00DC4B89" w:rsidRPr="00DC4B89" w:rsidRDefault="00DC4B89" w:rsidP="00DC4B89">
      <w:pPr>
        <w:numPr>
          <w:ilvl w:val="0"/>
          <w:numId w:val="3"/>
        </w:numPr>
      </w:pPr>
      <w:r w:rsidRPr="00DC4B89">
        <w:t>Moderní technologie</w:t>
      </w:r>
    </w:p>
    <w:p w:rsidR="00DC4B89" w:rsidRPr="00DC4B89" w:rsidRDefault="00DC4B89" w:rsidP="00DC4B89">
      <w:pPr>
        <w:numPr>
          <w:ilvl w:val="0"/>
          <w:numId w:val="3"/>
        </w:numPr>
      </w:pPr>
      <w:r w:rsidRPr="00DC4B89">
        <w:t>Trh práce, pracovní právo, uplatnění na trhu práce</w:t>
      </w:r>
    </w:p>
    <w:p w:rsidR="00DC4B89" w:rsidRPr="00DC4B89" w:rsidRDefault="00DC4B89" w:rsidP="00DC4B89">
      <w:pPr>
        <w:numPr>
          <w:ilvl w:val="0"/>
          <w:numId w:val="3"/>
        </w:numPr>
      </w:pPr>
      <w:r w:rsidRPr="00DC4B89">
        <w:t>Zdravý životní styl, zdravověda, prevence civilizačních chorob</w:t>
      </w:r>
    </w:p>
    <w:p w:rsidR="00DC4B89" w:rsidRPr="00DC4B89" w:rsidRDefault="00DC4B89" w:rsidP="00DC4B89">
      <w:pPr>
        <w:numPr>
          <w:ilvl w:val="0"/>
          <w:numId w:val="3"/>
        </w:numPr>
      </w:pPr>
      <w:r w:rsidRPr="00DC4B89">
        <w:t>Trénování paměti</w:t>
      </w:r>
    </w:p>
    <w:p w:rsidR="00DC4B89" w:rsidRPr="00DC4B89" w:rsidRDefault="00DC4B89" w:rsidP="00DC4B89">
      <w:pPr>
        <w:numPr>
          <w:ilvl w:val="0"/>
          <w:numId w:val="3"/>
        </w:numPr>
      </w:pPr>
      <w:r w:rsidRPr="00DC4B89">
        <w:t>Kultura a další obecná témata, která v souladu se zájmy seniorů pomáhají udržet a rozvíjet jejich duševní kondici,</w:t>
      </w:r>
    </w:p>
    <w:p w:rsidR="00DC4B89" w:rsidRPr="00DC4B89" w:rsidRDefault="00DC4B89" w:rsidP="00DC4B89">
      <w:pPr>
        <w:numPr>
          <w:ilvl w:val="0"/>
          <w:numId w:val="3"/>
        </w:numPr>
      </w:pPr>
      <w:r w:rsidRPr="00DC4B89">
        <w:t>Další oblasti vzdělávání v souladu s NAP podporujícím aktivní stárnutí.</w:t>
      </w:r>
    </w:p>
    <w:p w:rsidR="00DC4B89" w:rsidRPr="00DC4B89" w:rsidRDefault="00DC4B89" w:rsidP="00DC4B89">
      <w:pPr>
        <w:rPr>
          <w:b/>
        </w:rPr>
      </w:pPr>
    </w:p>
    <w:p w:rsidR="00DC4B89" w:rsidRPr="00DC4B89" w:rsidRDefault="00DC4B89" w:rsidP="00DC4B89">
      <w:pPr>
        <w:rPr>
          <w:b/>
        </w:rPr>
      </w:pPr>
      <w:r w:rsidRPr="00DC4B89">
        <w:rPr>
          <w:b/>
        </w:rPr>
        <w:t>Formy:</w:t>
      </w:r>
    </w:p>
    <w:p w:rsidR="00DC4B89" w:rsidRPr="00DC4B89" w:rsidRDefault="00DC4B89" w:rsidP="00DC4B89">
      <w:pPr>
        <w:numPr>
          <w:ilvl w:val="0"/>
          <w:numId w:val="3"/>
        </w:numPr>
      </w:pPr>
      <w:r w:rsidRPr="00DC4B89">
        <w:t>standardní vzdělávací programy,</w:t>
      </w:r>
    </w:p>
    <w:p w:rsidR="00DC4B89" w:rsidRPr="00DC4B89" w:rsidRDefault="00DC4B89" w:rsidP="00DC4B89">
      <w:pPr>
        <w:numPr>
          <w:ilvl w:val="0"/>
          <w:numId w:val="3"/>
        </w:numPr>
      </w:pPr>
      <w:r w:rsidRPr="00DC4B89">
        <w:t>přednáškové cykly, konference pro odbornou i laickou veřejnost,</w:t>
      </w:r>
    </w:p>
    <w:p w:rsidR="00DC4B89" w:rsidRPr="00DC4B89" w:rsidRDefault="00DC4B89" w:rsidP="00DC4B89">
      <w:pPr>
        <w:numPr>
          <w:ilvl w:val="0"/>
          <w:numId w:val="3"/>
        </w:numPr>
      </w:pPr>
      <w:r w:rsidRPr="00DC4B89">
        <w:t>workshopy a praktické nácviky dovedností,</w:t>
      </w:r>
    </w:p>
    <w:p w:rsidR="00DC4B89" w:rsidRPr="00DC4B89" w:rsidRDefault="00DC4B89" w:rsidP="00DC4B89">
      <w:pPr>
        <w:numPr>
          <w:ilvl w:val="0"/>
          <w:numId w:val="3"/>
        </w:numPr>
      </w:pPr>
      <w:r w:rsidRPr="00DC4B89">
        <w:t>sebezkušenostní formy vzdělávání (např. formou dramaterapie, svépomocných skupin a zážitkových seminářů),</w:t>
      </w:r>
    </w:p>
    <w:p w:rsidR="00DC4B89" w:rsidRPr="00DC4B89" w:rsidRDefault="00DC4B89" w:rsidP="00DC4B89">
      <w:pPr>
        <w:numPr>
          <w:ilvl w:val="0"/>
          <w:numId w:val="3"/>
        </w:numPr>
      </w:pPr>
      <w:r w:rsidRPr="00DC4B89">
        <w:t>zapojení seniorů do aktivní realizace vzdělávacích programů (pro další seniory nebo i pro jiné generace – doučování, předávání tradic apod.),</w:t>
      </w:r>
    </w:p>
    <w:p w:rsidR="00DC4B89" w:rsidRPr="00DC4B89" w:rsidRDefault="00DC4B89" w:rsidP="00DC4B89">
      <w:pPr>
        <w:numPr>
          <w:ilvl w:val="0"/>
          <w:numId w:val="3"/>
        </w:numPr>
      </w:pPr>
      <w:r w:rsidRPr="00DC4B89">
        <w:t>dobrovolnictví seniorů.</w:t>
      </w:r>
    </w:p>
    <w:p w:rsidR="00DC4B89" w:rsidRPr="00DC4B89" w:rsidRDefault="00DC4B89" w:rsidP="00DC4B89"/>
    <w:p w:rsidR="00DC4B89" w:rsidRPr="00DC4B89" w:rsidRDefault="00DC4B89" w:rsidP="00DC4B89">
      <w:pPr>
        <w:rPr>
          <w:b/>
        </w:rPr>
      </w:pPr>
      <w:r w:rsidRPr="00DC4B89">
        <w:rPr>
          <w:b/>
        </w:rPr>
        <w:t>Podporované aktivity:</w:t>
      </w:r>
    </w:p>
    <w:p w:rsidR="00DC4B89" w:rsidRPr="00DC4B89" w:rsidRDefault="00DC4B89" w:rsidP="00DC4B89">
      <w:pPr>
        <w:numPr>
          <w:ilvl w:val="0"/>
          <w:numId w:val="3"/>
        </w:numPr>
      </w:pPr>
      <w:r w:rsidRPr="00DC4B89">
        <w:t>vzdělávací programy pro seniory,</w:t>
      </w:r>
    </w:p>
    <w:p w:rsidR="00DC4B89" w:rsidRPr="00DC4B89" w:rsidRDefault="00DC4B89" w:rsidP="00DC4B89">
      <w:pPr>
        <w:numPr>
          <w:ilvl w:val="0"/>
          <w:numId w:val="3"/>
        </w:numPr>
      </w:pPr>
      <w:r w:rsidRPr="00DC4B89">
        <w:t>vzdělávací programy pro lektory  - specifika práce se seniory, sociální kontext vzdělávacích potřeb seniorů, pedagogicko-psychologické aspekty vzdělávání seniorů,</w:t>
      </w:r>
    </w:p>
    <w:p w:rsidR="00DC4B89" w:rsidRPr="00DC4B89" w:rsidRDefault="00DC4B89" w:rsidP="00DC4B89">
      <w:pPr>
        <w:numPr>
          <w:ilvl w:val="0"/>
          <w:numId w:val="3"/>
        </w:numPr>
      </w:pPr>
      <w:r w:rsidRPr="00DC4B89">
        <w:t>podpora provozu komunitních center, která uplatňují principy celoživotního učení seniorů.</w:t>
      </w:r>
    </w:p>
    <w:p w:rsidR="00DC4B89" w:rsidRDefault="00DC4B89" w:rsidP="00940618"/>
    <w:p w:rsidR="00940618" w:rsidRDefault="00940618" w:rsidP="00940618"/>
    <w:p w:rsidR="00940618" w:rsidRDefault="00940618" w:rsidP="00940618">
      <w:pPr>
        <w:spacing w:after="0"/>
        <w:rPr>
          <w:i/>
        </w:rPr>
      </w:pPr>
      <w:r>
        <w:rPr>
          <w:i/>
        </w:rPr>
        <w:t xml:space="preserve">Dokument zpracoval Jan Lorman a kol. Život </w:t>
      </w:r>
      <w:proofErr w:type="gramStart"/>
      <w:r>
        <w:rPr>
          <w:i/>
        </w:rPr>
        <w:t xml:space="preserve">90 </w:t>
      </w:r>
      <w:proofErr w:type="spellStart"/>
      <w:r>
        <w:rPr>
          <w:i/>
        </w:rPr>
        <w:t>z.ú</w:t>
      </w:r>
      <w:proofErr w:type="spellEnd"/>
      <w:r>
        <w:rPr>
          <w:i/>
        </w:rPr>
        <w:t>.</w:t>
      </w:r>
      <w:proofErr w:type="gramEnd"/>
    </w:p>
    <w:p w:rsidR="00940618" w:rsidRDefault="00940618" w:rsidP="00940618">
      <w:pPr>
        <w:spacing w:after="0"/>
        <w:rPr>
          <w:i/>
        </w:rPr>
      </w:pPr>
      <w:r>
        <w:rPr>
          <w:i/>
        </w:rPr>
        <w:t>Praha 22. února 2016</w:t>
      </w:r>
    </w:p>
    <w:p w:rsidR="00BD15E8" w:rsidRDefault="00BD15E8" w:rsidP="00940618">
      <w:pPr>
        <w:spacing w:after="0"/>
        <w:rPr>
          <w:i/>
        </w:rPr>
      </w:pPr>
    </w:p>
    <w:p w:rsidR="00BD15E8" w:rsidRDefault="00BD15E8" w:rsidP="00940618">
      <w:pPr>
        <w:spacing w:after="0"/>
        <w:rPr>
          <w:i/>
        </w:rPr>
      </w:pPr>
    </w:p>
    <w:sectPr w:rsidR="00BD15E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035E" w:rsidRDefault="00D5035E" w:rsidP="00DC4B89">
      <w:pPr>
        <w:spacing w:after="0"/>
      </w:pPr>
      <w:r>
        <w:separator/>
      </w:r>
    </w:p>
  </w:endnote>
  <w:endnote w:type="continuationSeparator" w:id="0">
    <w:p w:rsidR="00D5035E" w:rsidRDefault="00D5035E" w:rsidP="00DC4B8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035E" w:rsidRDefault="00D5035E" w:rsidP="00DC4B89">
      <w:pPr>
        <w:spacing w:after="0"/>
      </w:pPr>
      <w:r>
        <w:separator/>
      </w:r>
    </w:p>
  </w:footnote>
  <w:footnote w:type="continuationSeparator" w:id="0">
    <w:p w:rsidR="00D5035E" w:rsidRDefault="00D5035E" w:rsidP="00DC4B89">
      <w:pPr>
        <w:spacing w:after="0"/>
      </w:pPr>
      <w:r>
        <w:continuationSeparator/>
      </w:r>
    </w:p>
  </w:footnote>
  <w:footnote w:id="1">
    <w:p w:rsidR="00DC4B89" w:rsidRPr="006A0139" w:rsidRDefault="00DC4B89" w:rsidP="00DC4B89">
      <w:pPr>
        <w:rPr>
          <w:rFonts w:ascii="Times New Roman" w:hAnsi="Times New Roman" w:cs="Times New Roman"/>
          <w:i/>
          <w:sz w:val="20"/>
          <w:szCs w:val="24"/>
        </w:rPr>
      </w:pPr>
      <w:r>
        <w:rPr>
          <w:rStyle w:val="Znakapoznpodarou"/>
        </w:rPr>
        <w:footnoteRef/>
      </w:r>
      <w:r>
        <w:t xml:space="preserve"> </w:t>
      </w:r>
      <w:r w:rsidRPr="006A0139">
        <w:rPr>
          <w:rFonts w:ascii="Times New Roman" w:hAnsi="Times New Roman" w:cs="Times New Roman"/>
          <w:i/>
          <w:sz w:val="20"/>
          <w:szCs w:val="24"/>
        </w:rPr>
        <w:t>Významným příkladem je zanedbávání povinnosti státu šířit osvětu o sociálních systémech. Podle dostupných výzkumů (</w:t>
      </w:r>
      <w:r w:rsidRPr="006A0139">
        <w:rPr>
          <w:rFonts w:ascii="Times New Roman" w:hAnsi="Times New Roman" w:cs="Times New Roman"/>
          <w:bCs/>
          <w:i/>
          <w:sz w:val="20"/>
          <w:szCs w:val="24"/>
        </w:rPr>
        <w:t xml:space="preserve">Podněty ke koncepci sociální osvěty, </w:t>
      </w:r>
      <w:r w:rsidRPr="006A0139">
        <w:rPr>
          <w:rFonts w:ascii="Times New Roman" w:hAnsi="Times New Roman" w:cs="Times New Roman"/>
          <w:i/>
          <w:sz w:val="20"/>
          <w:szCs w:val="24"/>
        </w:rPr>
        <w:t xml:space="preserve">STEM 2007) je informovanost obyvatel o sociálních systémech ČR nedostatečná. Občané pak často nevědí, v čem chybují a nejsou s to preventivně řešit rizika. </w:t>
      </w:r>
      <w:r w:rsidRPr="006A0139">
        <w:rPr>
          <w:rFonts w:ascii="Times New Roman" w:hAnsi="Times New Roman" w:cs="Times New Roman"/>
          <w:b/>
          <w:i/>
          <w:sz w:val="20"/>
          <w:szCs w:val="24"/>
        </w:rPr>
        <w:t>Lidé nevědí o dostupných službách.</w:t>
      </w:r>
      <w:r w:rsidRPr="006A0139">
        <w:rPr>
          <w:rFonts w:ascii="Times New Roman" w:hAnsi="Times New Roman" w:cs="Times New Roman"/>
          <w:i/>
          <w:sz w:val="20"/>
          <w:szCs w:val="24"/>
        </w:rPr>
        <w:t xml:space="preserve"> </w:t>
      </w:r>
    </w:p>
    <w:p w:rsidR="00DC4B89" w:rsidRPr="006A0139" w:rsidRDefault="00DC4B89" w:rsidP="00DC4B89">
      <w:pPr>
        <w:spacing w:after="0"/>
        <w:rPr>
          <w:rFonts w:ascii="Times New Roman" w:hAnsi="Times New Roman" w:cs="Times New Roman"/>
          <w:i/>
          <w:sz w:val="20"/>
          <w:szCs w:val="24"/>
        </w:rPr>
      </w:pPr>
      <w:r w:rsidRPr="006A0139">
        <w:rPr>
          <w:rFonts w:ascii="Times New Roman" w:hAnsi="Times New Roman" w:cs="Times New Roman"/>
          <w:b/>
          <w:i/>
          <w:sz w:val="20"/>
          <w:szCs w:val="24"/>
        </w:rPr>
        <w:t>To se netýká jen nejstarších generací, ale i dětí stárnoucích a závislých rodičů, kteří pak nezvládají harmonizaci pracovního a soukromého života.</w:t>
      </w:r>
      <w:r w:rsidRPr="006A0139">
        <w:rPr>
          <w:rFonts w:ascii="Times New Roman" w:hAnsi="Times New Roman" w:cs="Times New Roman"/>
          <w:i/>
          <w:sz w:val="20"/>
          <w:szCs w:val="24"/>
        </w:rPr>
        <w:t xml:space="preserve"> Důsledky bývají fatální, protože pečující (především ženy ve středním věku) opouštějí svá zaměstnání, ztrácejí nezávislý zdroj příjmu, společenské uplatnění a zaměstnatelnost. Odvádějí velké množství neplacené práce (podle posledního průzkumu ČSÚ až 25 hodin týdně). V důsledku plnění své pečující role mají nižší starobní důchod atd.  </w:t>
      </w:r>
    </w:p>
  </w:footnote>
  <w:footnote w:id="2">
    <w:p w:rsidR="00DC4B89" w:rsidRPr="006A0139" w:rsidRDefault="00DC4B89" w:rsidP="00DC4B89">
      <w:pPr>
        <w:spacing w:after="0"/>
        <w:rPr>
          <w:rFonts w:ascii="Times New Roman" w:hAnsi="Times New Roman" w:cs="Times New Roman"/>
          <w:i/>
          <w:sz w:val="20"/>
          <w:szCs w:val="24"/>
        </w:rPr>
      </w:pPr>
      <w:r>
        <w:rPr>
          <w:rStyle w:val="Znakapoznpodarou"/>
        </w:rPr>
        <w:footnoteRef/>
      </w:r>
      <w:r>
        <w:t xml:space="preserve"> </w:t>
      </w:r>
      <w:r w:rsidRPr="006A0139">
        <w:rPr>
          <w:rFonts w:ascii="Times New Roman" w:hAnsi="Times New Roman" w:cs="Times New Roman"/>
          <w:i/>
          <w:sz w:val="20"/>
          <w:szCs w:val="24"/>
        </w:rPr>
        <w:t xml:space="preserve">Univerzity třetího věku nabízí 21 českých veřejných vysokých škol s více než 700 specializovanými kurzy pro starší občany a s přibližně 35 tisíci posluchači. I přes dobře etablovaný systém univerzit třetího věku v České republice ve srovnání s dalšími státy, poptávka po nich stále převyšuje nabídku. V současné době se této aktivity účastní pouze 2% všech seniorů v ČR. </w:t>
      </w:r>
    </w:p>
    <w:p w:rsidR="00DC4B89" w:rsidRDefault="00DC4B89" w:rsidP="00DC4B89">
      <w:pPr>
        <w:pStyle w:val="Textpoznpodarou"/>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204E0"/>
    <w:multiLevelType w:val="hybridMultilevel"/>
    <w:tmpl w:val="A9BAB61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3BDD549B"/>
    <w:multiLevelType w:val="hybridMultilevel"/>
    <w:tmpl w:val="BC7A158C"/>
    <w:lvl w:ilvl="0" w:tplc="73A060F2">
      <w:numFmt w:val="bullet"/>
      <w:lvlText w:val="-"/>
      <w:lvlJc w:val="left"/>
      <w:pPr>
        <w:ind w:left="644"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6C2F0FE5"/>
    <w:multiLevelType w:val="hybridMultilevel"/>
    <w:tmpl w:val="6AB404B6"/>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B89"/>
    <w:rsid w:val="008E4450"/>
    <w:rsid w:val="00940618"/>
    <w:rsid w:val="00A169F7"/>
    <w:rsid w:val="00BD15E8"/>
    <w:rsid w:val="00C77AB0"/>
    <w:rsid w:val="00CA3FCA"/>
    <w:rsid w:val="00D5035E"/>
    <w:rsid w:val="00DC4B89"/>
    <w:rsid w:val="00E910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2"/>
        <w:lang w:val="cs-CZ"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E4450"/>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E4450"/>
    <w:pPr>
      <w:ind w:left="720"/>
      <w:contextualSpacing/>
    </w:pPr>
  </w:style>
  <w:style w:type="paragraph" w:styleId="Textpoznpodarou">
    <w:name w:val="footnote text"/>
    <w:basedOn w:val="Normln"/>
    <w:link w:val="TextpoznpodarouChar"/>
    <w:uiPriority w:val="99"/>
    <w:semiHidden/>
    <w:unhideWhenUsed/>
    <w:rsid w:val="00DC4B89"/>
    <w:pPr>
      <w:spacing w:after="0"/>
    </w:pPr>
    <w:rPr>
      <w:sz w:val="20"/>
      <w:szCs w:val="20"/>
    </w:rPr>
  </w:style>
  <w:style w:type="character" w:customStyle="1" w:styleId="TextpoznpodarouChar">
    <w:name w:val="Text pozn. pod čarou Char"/>
    <w:basedOn w:val="Standardnpsmoodstavce"/>
    <w:link w:val="Textpoznpodarou"/>
    <w:uiPriority w:val="99"/>
    <w:semiHidden/>
    <w:rsid w:val="00DC4B89"/>
    <w:rPr>
      <w:sz w:val="20"/>
      <w:szCs w:val="20"/>
    </w:rPr>
  </w:style>
  <w:style w:type="character" w:styleId="Znakapoznpodarou">
    <w:name w:val="footnote reference"/>
    <w:basedOn w:val="Standardnpsmoodstavce"/>
    <w:uiPriority w:val="99"/>
    <w:semiHidden/>
    <w:unhideWhenUsed/>
    <w:rsid w:val="00DC4B8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2"/>
        <w:lang w:val="cs-CZ"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E4450"/>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E4450"/>
    <w:pPr>
      <w:ind w:left="720"/>
      <w:contextualSpacing/>
    </w:pPr>
  </w:style>
  <w:style w:type="paragraph" w:styleId="Textpoznpodarou">
    <w:name w:val="footnote text"/>
    <w:basedOn w:val="Normln"/>
    <w:link w:val="TextpoznpodarouChar"/>
    <w:uiPriority w:val="99"/>
    <w:semiHidden/>
    <w:unhideWhenUsed/>
    <w:rsid w:val="00DC4B89"/>
    <w:pPr>
      <w:spacing w:after="0"/>
    </w:pPr>
    <w:rPr>
      <w:sz w:val="20"/>
      <w:szCs w:val="20"/>
    </w:rPr>
  </w:style>
  <w:style w:type="character" w:customStyle="1" w:styleId="TextpoznpodarouChar">
    <w:name w:val="Text pozn. pod čarou Char"/>
    <w:basedOn w:val="Standardnpsmoodstavce"/>
    <w:link w:val="Textpoznpodarou"/>
    <w:uiPriority w:val="99"/>
    <w:semiHidden/>
    <w:rsid w:val="00DC4B89"/>
    <w:rPr>
      <w:sz w:val="20"/>
      <w:szCs w:val="20"/>
    </w:rPr>
  </w:style>
  <w:style w:type="character" w:styleId="Znakapoznpodarou">
    <w:name w:val="footnote reference"/>
    <w:basedOn w:val="Standardnpsmoodstavce"/>
    <w:uiPriority w:val="99"/>
    <w:semiHidden/>
    <w:unhideWhenUsed/>
    <w:rsid w:val="00DC4B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Times New Roman"/>
        <a:ea typeface=""/>
        <a:cs typeface=""/>
      </a:majorFont>
      <a:minorFont>
        <a:latin typeface="Times New Roman"/>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1540</Words>
  <Characters>9090</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Lorman</dc:creator>
  <cp:lastModifiedBy>Jan Lorman</cp:lastModifiedBy>
  <cp:revision>5</cp:revision>
  <dcterms:created xsi:type="dcterms:W3CDTF">2016-02-22T13:42:00Z</dcterms:created>
  <dcterms:modified xsi:type="dcterms:W3CDTF">2016-06-08T14:39:00Z</dcterms:modified>
</cp:coreProperties>
</file>