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AC1D" w14:textId="0E816FDA" w:rsidR="00084A55" w:rsidRPr="002F6A38" w:rsidRDefault="000F3F98" w:rsidP="002F6A38">
      <w:pPr>
        <w:pStyle w:val="Bezmezer"/>
        <w:jc w:val="center"/>
        <w:rPr>
          <w:b/>
          <w:bCs/>
          <w:color w:val="0070C0"/>
          <w:sz w:val="26"/>
          <w:szCs w:val="26"/>
        </w:rPr>
      </w:pPr>
      <w:r w:rsidRPr="002F6A38">
        <w:rPr>
          <w:b/>
          <w:bCs/>
          <w:color w:val="0070C0"/>
          <w:sz w:val="26"/>
          <w:szCs w:val="26"/>
        </w:rPr>
        <w:t>Cílen</w:t>
      </w:r>
      <w:r w:rsidR="002F6A38" w:rsidRPr="002F6A38">
        <w:rPr>
          <w:b/>
          <w:bCs/>
          <w:color w:val="0070C0"/>
          <w:sz w:val="26"/>
          <w:szCs w:val="26"/>
        </w:rPr>
        <w:t>ý</w:t>
      </w:r>
      <w:r w:rsidRPr="002F6A38">
        <w:rPr>
          <w:b/>
          <w:bCs/>
          <w:color w:val="0070C0"/>
          <w:sz w:val="26"/>
          <w:szCs w:val="26"/>
        </w:rPr>
        <w:t xml:space="preserve"> program podpory zaměstnanosti „Povodeň 2024“</w:t>
      </w:r>
    </w:p>
    <w:p w14:paraId="2CC37677" w14:textId="2FCE2D24" w:rsidR="002F6A38" w:rsidRDefault="002F6A38" w:rsidP="002F6A38">
      <w:pPr>
        <w:pStyle w:val="Bezmezer"/>
        <w:jc w:val="center"/>
        <w:rPr>
          <w:i/>
          <w:iCs/>
          <w:sz w:val="22"/>
          <w:szCs w:val="22"/>
        </w:rPr>
      </w:pPr>
      <w:r w:rsidRPr="009A6FBA">
        <w:rPr>
          <w:i/>
          <w:iCs/>
          <w:sz w:val="22"/>
          <w:szCs w:val="22"/>
        </w:rPr>
        <w:t>ve znění změn schválených Ministerstvem práce a sociálních věcí dne 3. dubna 2025</w:t>
      </w:r>
      <w:r w:rsidR="009A6FBA" w:rsidRPr="009A6FBA">
        <w:rPr>
          <w:i/>
          <w:iCs/>
          <w:sz w:val="22"/>
          <w:szCs w:val="22"/>
        </w:rPr>
        <w:t xml:space="preserve"> </w:t>
      </w:r>
      <w:r w:rsidR="009A6FBA" w:rsidRPr="009A6FBA">
        <w:rPr>
          <w:b/>
          <w:bCs/>
          <w:i/>
          <w:iCs/>
          <w:color w:val="0070C0"/>
          <w:sz w:val="22"/>
          <w:szCs w:val="22"/>
        </w:rPr>
        <w:t>(„režim Sanace“)</w:t>
      </w:r>
    </w:p>
    <w:p w14:paraId="7320DD5C" w14:textId="77777777" w:rsidR="009A6FBA" w:rsidRPr="009A6FBA" w:rsidRDefault="009A6FBA" w:rsidP="002F6A38">
      <w:pPr>
        <w:pStyle w:val="Bezmezer"/>
        <w:jc w:val="center"/>
        <w:rPr>
          <w:b/>
          <w:bCs/>
          <w:i/>
          <w:iCs/>
          <w:color w:val="0070C0"/>
          <w:sz w:val="22"/>
          <w:szCs w:val="22"/>
        </w:rPr>
      </w:pPr>
    </w:p>
    <w:p w14:paraId="03A64BA6" w14:textId="470B1DC4" w:rsidR="00DB475C" w:rsidRDefault="002F6A38" w:rsidP="009A6FBA">
      <w:pPr>
        <w:pStyle w:val="Bezmezer"/>
        <w:rPr>
          <w:b/>
          <w:bCs/>
          <w:color w:val="0070C0"/>
        </w:rPr>
      </w:pPr>
      <w:r w:rsidRPr="009A6FBA">
        <w:rPr>
          <w:b/>
          <w:bCs/>
          <w:color w:val="0070C0"/>
        </w:rPr>
        <w:t>Č</w:t>
      </w:r>
      <w:r w:rsidR="00DB475C" w:rsidRPr="009A6FBA">
        <w:rPr>
          <w:b/>
          <w:bCs/>
          <w:color w:val="0070C0"/>
        </w:rPr>
        <w:t>lán</w:t>
      </w:r>
      <w:r w:rsidRPr="009A6FBA">
        <w:rPr>
          <w:b/>
          <w:bCs/>
          <w:color w:val="0070C0"/>
        </w:rPr>
        <w:t>e</w:t>
      </w:r>
      <w:r w:rsidR="00DB475C" w:rsidRPr="009A6FBA">
        <w:rPr>
          <w:b/>
          <w:bCs/>
          <w:color w:val="0070C0"/>
        </w:rPr>
        <w:t>k I „Zdůvodnění potřebnosti programu“</w:t>
      </w:r>
    </w:p>
    <w:p w14:paraId="2AB1D5E4" w14:textId="77777777" w:rsidR="009A6FBA" w:rsidRPr="009A6FBA" w:rsidRDefault="009A6FBA" w:rsidP="009A6FBA">
      <w:pPr>
        <w:pStyle w:val="Bezmezer"/>
        <w:rPr>
          <w:b/>
          <w:bCs/>
          <w:color w:val="0070C0"/>
        </w:rPr>
      </w:pPr>
    </w:p>
    <w:p w14:paraId="57F216FD" w14:textId="3FB306BB" w:rsidR="00DB475C" w:rsidRDefault="000F3F98" w:rsidP="000F3F98">
      <w:pPr>
        <w:jc w:val="both"/>
        <w:rPr>
          <w:rFonts w:cs="Arial"/>
          <w:sz w:val="20"/>
          <w:szCs w:val="20"/>
        </w:rPr>
      </w:pPr>
      <w:r w:rsidRPr="000F3F98">
        <w:rPr>
          <w:sz w:val="20"/>
          <w:szCs w:val="20"/>
        </w:rPr>
        <w:t>Mezi 13</w:t>
      </w:r>
      <w:r>
        <w:rPr>
          <w:sz w:val="20"/>
          <w:szCs w:val="20"/>
        </w:rPr>
        <w:t>.</w:t>
      </w:r>
      <w:r w:rsidRPr="000F3F98">
        <w:rPr>
          <w:sz w:val="20"/>
          <w:szCs w:val="20"/>
        </w:rPr>
        <w:t xml:space="preserve"> a </w:t>
      </w:r>
      <w:r>
        <w:rPr>
          <w:sz w:val="20"/>
          <w:szCs w:val="20"/>
        </w:rPr>
        <w:t xml:space="preserve">18. září 2024 zasáhly významnou část území České republiky rozsáhlé povodně, působící rozsáhlé škody a v případě zaměstnavatelů omezení jejich činnosti. Na tuto situaci reagovala vláda České </w:t>
      </w:r>
      <w:r w:rsidRPr="00DB475C">
        <w:rPr>
          <w:sz w:val="20"/>
          <w:szCs w:val="20"/>
        </w:rPr>
        <w:t>republiky a příslušné resorty řadou podpůrných programů. S cílem udržet zaměstnanost v zasažených území</w:t>
      </w:r>
      <w:r w:rsidR="00987D3A" w:rsidRPr="00DB475C">
        <w:rPr>
          <w:sz w:val="20"/>
          <w:szCs w:val="20"/>
        </w:rPr>
        <w:t>ch</w:t>
      </w:r>
      <w:r w:rsidRPr="00DB475C">
        <w:rPr>
          <w:sz w:val="20"/>
          <w:szCs w:val="20"/>
        </w:rPr>
        <w:t xml:space="preserve"> a poskytn</w:t>
      </w:r>
      <w:r w:rsidR="00987D3A" w:rsidRPr="00DB475C">
        <w:rPr>
          <w:sz w:val="20"/>
          <w:szCs w:val="20"/>
        </w:rPr>
        <w:t xml:space="preserve">utí </w:t>
      </w:r>
      <w:r w:rsidRPr="00DB475C">
        <w:rPr>
          <w:sz w:val="20"/>
          <w:szCs w:val="20"/>
        </w:rPr>
        <w:t>nezbytn</w:t>
      </w:r>
      <w:r w:rsidR="00987D3A" w:rsidRPr="00DB475C">
        <w:rPr>
          <w:sz w:val="20"/>
          <w:szCs w:val="20"/>
        </w:rPr>
        <w:t>é</w:t>
      </w:r>
      <w:r w:rsidRPr="00DB475C">
        <w:rPr>
          <w:sz w:val="20"/>
          <w:szCs w:val="20"/>
        </w:rPr>
        <w:t xml:space="preserve"> podpor</w:t>
      </w:r>
      <w:r w:rsidR="00987D3A" w:rsidRPr="00DB475C">
        <w:rPr>
          <w:sz w:val="20"/>
          <w:szCs w:val="20"/>
        </w:rPr>
        <w:t>y zaměstnavatelům</w:t>
      </w:r>
      <w:r w:rsidRPr="00DB475C">
        <w:rPr>
          <w:sz w:val="20"/>
          <w:szCs w:val="20"/>
        </w:rPr>
        <w:t xml:space="preserve"> byl v gesci Ministerstva práce a sociálních věcí vypracován cílený program Povodeň 2024, jehož podmínky byly schváleny usnesením vlády č. 689 ze dne 2. října 2024</w:t>
      </w:r>
      <w:r w:rsidR="00283EC7">
        <w:rPr>
          <w:sz w:val="20"/>
          <w:szCs w:val="20"/>
        </w:rPr>
        <w:t xml:space="preserve"> a usnesením vlády č. 739 ze dne 21. října 2024</w:t>
      </w:r>
      <w:r w:rsidR="0000100A" w:rsidRPr="00DB475C">
        <w:rPr>
          <w:sz w:val="20"/>
          <w:szCs w:val="20"/>
        </w:rPr>
        <w:t>. Cílem programu byla podpora udržení zaměstnanosti prostřednictvím částečné refundace mzdových nákladů, které zaměstnavateli vznikaly povinností vyplatit zaměstnancům náhradu mzdy za dobu trvání překážek v práci na straně zaměstnavatele podle § 207 zákona č. 262/2006 Sb., zákoník práce, ve znění pozdějších předpisů v rozhodném období. Rozhodným obdobím přitom byl</w:t>
      </w:r>
      <w:r w:rsidR="00DB475C" w:rsidRPr="00DB475C">
        <w:rPr>
          <w:sz w:val="20"/>
          <w:szCs w:val="20"/>
        </w:rPr>
        <w:t xml:space="preserve">o období </w:t>
      </w:r>
      <w:r w:rsidR="00DB475C" w:rsidRPr="00DB475C">
        <w:rPr>
          <w:rFonts w:cs="Arial"/>
          <w:sz w:val="20"/>
          <w:szCs w:val="20"/>
        </w:rPr>
        <w:t xml:space="preserve">od 5. kalendářního dne následujícího po dni vzniku první příslušné překážky v práci v provozovně zaměstnavatele do 31. října 2024. </w:t>
      </w:r>
    </w:p>
    <w:p w14:paraId="5EF40EEA" w14:textId="5A7D53C4" w:rsidR="0000100A" w:rsidRPr="00DB475C" w:rsidRDefault="0000100A" w:rsidP="000F3F98">
      <w:pPr>
        <w:jc w:val="both"/>
        <w:rPr>
          <w:sz w:val="20"/>
          <w:szCs w:val="20"/>
        </w:rPr>
      </w:pPr>
      <w:r w:rsidRPr="00DB475C">
        <w:rPr>
          <w:sz w:val="20"/>
          <w:szCs w:val="20"/>
        </w:rPr>
        <w:t>V praxi se však ukázalo, že takto koncipovaný rozsah programu neodpovídá reálným situacím, které u</w:t>
      </w:r>
      <w:r w:rsidR="00E7788D">
        <w:rPr>
          <w:sz w:val="20"/>
          <w:szCs w:val="20"/>
        </w:rPr>
        <w:t> </w:t>
      </w:r>
      <w:r w:rsidRPr="00DB475C">
        <w:rPr>
          <w:sz w:val="20"/>
          <w:szCs w:val="20"/>
        </w:rPr>
        <w:t xml:space="preserve">zaměstnavatelů vznikají. </w:t>
      </w:r>
      <w:r w:rsidRPr="00DB475C">
        <w:rPr>
          <w:b/>
          <w:bCs/>
          <w:sz w:val="20"/>
          <w:szCs w:val="20"/>
        </w:rPr>
        <w:t xml:space="preserve">Předně Program </w:t>
      </w:r>
      <w:r w:rsidR="00DB475C" w:rsidRPr="00DB475C">
        <w:rPr>
          <w:b/>
          <w:bCs/>
          <w:sz w:val="20"/>
          <w:szCs w:val="20"/>
        </w:rPr>
        <w:t>P</w:t>
      </w:r>
      <w:r w:rsidRPr="00DB475C">
        <w:rPr>
          <w:b/>
          <w:bCs/>
          <w:sz w:val="20"/>
          <w:szCs w:val="20"/>
        </w:rPr>
        <w:t>ovod</w:t>
      </w:r>
      <w:r w:rsidR="00DB475C" w:rsidRPr="00DB475C">
        <w:rPr>
          <w:b/>
          <w:bCs/>
          <w:sz w:val="20"/>
          <w:szCs w:val="20"/>
        </w:rPr>
        <w:t xml:space="preserve">eň </w:t>
      </w:r>
      <w:r w:rsidRPr="00DB475C">
        <w:rPr>
          <w:b/>
          <w:bCs/>
          <w:sz w:val="20"/>
          <w:szCs w:val="20"/>
        </w:rPr>
        <w:t>2024 pokrývá pouze jednu specifickou překážku v práci, v praxi však zaměstnavatelé s ohledem na nutnost urychleně sanovat škody a</w:t>
      </w:r>
      <w:r w:rsidR="00E7788D">
        <w:rPr>
          <w:b/>
          <w:bCs/>
          <w:sz w:val="20"/>
          <w:szCs w:val="20"/>
        </w:rPr>
        <w:t> </w:t>
      </w:r>
      <w:r w:rsidRPr="00DB475C">
        <w:rPr>
          <w:b/>
          <w:bCs/>
          <w:sz w:val="20"/>
          <w:szCs w:val="20"/>
        </w:rPr>
        <w:t>obnovit provoz využívají i jiných forem změny organizace práce, zejména jiných překážek v práci a možnosti převést zaměstnance na jinou práci, zpravidla přímo související s likvidací škod a obnovou provozu (například úklid).</w:t>
      </w:r>
      <w:r w:rsidRPr="00DB475C">
        <w:rPr>
          <w:sz w:val="20"/>
          <w:szCs w:val="20"/>
        </w:rPr>
        <w:t xml:space="preserve"> </w:t>
      </w:r>
      <w:r w:rsidRPr="00DB475C">
        <w:rPr>
          <w:b/>
          <w:bCs/>
          <w:sz w:val="20"/>
          <w:szCs w:val="20"/>
        </w:rPr>
        <w:t>Rovněž se s ohledem na rozsah škod ukazuje, že rozhodné období je krátké a omezení provozu zaměstnavatele</w:t>
      </w:r>
      <w:r w:rsidR="00875830">
        <w:rPr>
          <w:b/>
          <w:bCs/>
          <w:sz w:val="20"/>
          <w:szCs w:val="20"/>
        </w:rPr>
        <w:t xml:space="preserve"> </w:t>
      </w:r>
      <w:r w:rsidRPr="00DB475C">
        <w:rPr>
          <w:b/>
          <w:bCs/>
          <w:sz w:val="20"/>
          <w:szCs w:val="20"/>
        </w:rPr>
        <w:t>stále trvá.</w:t>
      </w:r>
    </w:p>
    <w:p w14:paraId="4866FBC5" w14:textId="1B154C27" w:rsidR="0000100A" w:rsidRPr="00DB475C" w:rsidRDefault="0000100A" w:rsidP="000F3F98">
      <w:pPr>
        <w:jc w:val="both"/>
        <w:rPr>
          <w:sz w:val="20"/>
          <w:szCs w:val="20"/>
        </w:rPr>
      </w:pPr>
      <w:r w:rsidRPr="00DB475C">
        <w:rPr>
          <w:sz w:val="20"/>
          <w:szCs w:val="20"/>
        </w:rPr>
        <w:t>Dle Strategie obnovy území po povodních v září 2024</w:t>
      </w:r>
      <w:r w:rsidR="00BA00A0" w:rsidRPr="00DB475C">
        <w:rPr>
          <w:sz w:val="20"/>
          <w:szCs w:val="20"/>
        </w:rPr>
        <w:t xml:space="preserve"> (dále jen „Strategie obnovy“)</w:t>
      </w:r>
      <w:r w:rsidRPr="00DB475C">
        <w:rPr>
          <w:sz w:val="20"/>
          <w:szCs w:val="20"/>
        </w:rPr>
        <w:t>, kterou připravilo Ministerstvo pro místní rozvoj a schválila vláda České republiky usnesením č. 985 ze dne 18. prosince 2024, jsou škody v podnikatelském sektoru vyčísleny na 14,1 miliardy Kč.</w:t>
      </w:r>
    </w:p>
    <w:p w14:paraId="0847ED4E" w14:textId="4184C9C2" w:rsidR="00BA00A0" w:rsidRPr="00DB475C" w:rsidRDefault="0000100A" w:rsidP="000F3F98">
      <w:pPr>
        <w:jc w:val="both"/>
        <w:rPr>
          <w:sz w:val="20"/>
          <w:szCs w:val="20"/>
        </w:rPr>
      </w:pPr>
      <w:r w:rsidRPr="00DB475C">
        <w:rPr>
          <w:sz w:val="20"/>
          <w:szCs w:val="20"/>
        </w:rPr>
        <w:t>Z hlediska zaměstnanosti a sociální situace je závažný zejména fakt, že škody v podnikatelské sféře (a</w:t>
      </w:r>
      <w:r w:rsidR="00E7788D">
        <w:rPr>
          <w:sz w:val="20"/>
          <w:szCs w:val="20"/>
        </w:rPr>
        <w:t> </w:t>
      </w:r>
      <w:r w:rsidRPr="00DB475C">
        <w:rPr>
          <w:sz w:val="20"/>
          <w:szCs w:val="20"/>
        </w:rPr>
        <w:t xml:space="preserve">nejen v ní) vznikaly </w:t>
      </w:r>
      <w:r w:rsidR="00BA00A0" w:rsidRPr="00DB475C">
        <w:rPr>
          <w:sz w:val="20"/>
          <w:szCs w:val="20"/>
        </w:rPr>
        <w:t xml:space="preserve">z významné části ve strukturálně postižených regionech a územích zatížených sociálním vyloučením, charakterizovaných vysokou mírou nezaměstnanosti a nízkým potenciálem ke genezi nových, resp. jiných, pracovních příležitostí. Na tento nepříznivý fakt upozorňuje i Strategie obnovy. </w:t>
      </w:r>
    </w:p>
    <w:p w14:paraId="4B72E9F3" w14:textId="1165DE94" w:rsidR="0000100A" w:rsidRDefault="00E6032D" w:rsidP="000F3F98">
      <w:pPr>
        <w:jc w:val="both"/>
        <w:rPr>
          <w:sz w:val="20"/>
          <w:szCs w:val="20"/>
        </w:rPr>
      </w:pPr>
      <w:r>
        <w:rPr>
          <w:sz w:val="20"/>
          <w:szCs w:val="20"/>
        </w:rPr>
        <w:t>Níže uvedeny p</w:t>
      </w:r>
      <w:r w:rsidR="00BA00A0">
        <w:rPr>
          <w:sz w:val="20"/>
          <w:szCs w:val="20"/>
        </w:rPr>
        <w:t xml:space="preserve">odíly nezaměstnaných osob k 31. 12. 2024 </w:t>
      </w:r>
      <w:r>
        <w:rPr>
          <w:sz w:val="20"/>
          <w:szCs w:val="20"/>
        </w:rPr>
        <w:t xml:space="preserve">a počet uchazečů o zaměstnání na jedno volné pracovní místo </w:t>
      </w:r>
      <w:r w:rsidR="00BA00A0">
        <w:rPr>
          <w:sz w:val="20"/>
          <w:szCs w:val="20"/>
        </w:rPr>
        <w:t>v nejvíce zasažených okresech, tj. okresech na jejichž území byl vyhlášen stav nebezpečí:</w:t>
      </w:r>
    </w:p>
    <w:tbl>
      <w:tblPr>
        <w:tblStyle w:val="Mkatabulky"/>
        <w:tblW w:w="0" w:type="auto"/>
        <w:tblLook w:val="04A0" w:firstRow="1" w:lastRow="0" w:firstColumn="1" w:lastColumn="0" w:noHBand="0" w:noVBand="1"/>
      </w:tblPr>
      <w:tblGrid>
        <w:gridCol w:w="2265"/>
        <w:gridCol w:w="2265"/>
        <w:gridCol w:w="2266"/>
        <w:gridCol w:w="2266"/>
      </w:tblGrid>
      <w:tr w:rsidR="00E6032D" w14:paraId="568C996E" w14:textId="77777777" w:rsidTr="00E6032D">
        <w:tc>
          <w:tcPr>
            <w:tcW w:w="2265" w:type="dxa"/>
          </w:tcPr>
          <w:p w14:paraId="52BEC4D0" w14:textId="185A9FC5" w:rsidR="00E6032D" w:rsidRDefault="00E6032D" w:rsidP="000F3F98">
            <w:pPr>
              <w:jc w:val="both"/>
              <w:rPr>
                <w:sz w:val="20"/>
                <w:szCs w:val="20"/>
              </w:rPr>
            </w:pPr>
            <w:r>
              <w:rPr>
                <w:sz w:val="20"/>
                <w:szCs w:val="20"/>
              </w:rPr>
              <w:t>okres</w:t>
            </w:r>
          </w:p>
        </w:tc>
        <w:tc>
          <w:tcPr>
            <w:tcW w:w="2265" w:type="dxa"/>
          </w:tcPr>
          <w:p w14:paraId="7B914DB4" w14:textId="1D8489F5" w:rsidR="00E6032D" w:rsidRDefault="00E6032D" w:rsidP="000F3F98">
            <w:pPr>
              <w:jc w:val="both"/>
              <w:rPr>
                <w:sz w:val="20"/>
                <w:szCs w:val="20"/>
              </w:rPr>
            </w:pPr>
            <w:r>
              <w:rPr>
                <w:sz w:val="20"/>
                <w:szCs w:val="20"/>
              </w:rPr>
              <w:t>PNO</w:t>
            </w:r>
          </w:p>
        </w:tc>
        <w:tc>
          <w:tcPr>
            <w:tcW w:w="2266" w:type="dxa"/>
          </w:tcPr>
          <w:p w14:paraId="105EF30C" w14:textId="582977DF" w:rsidR="00E6032D" w:rsidRDefault="00E6032D" w:rsidP="000F3F98">
            <w:pPr>
              <w:jc w:val="both"/>
              <w:rPr>
                <w:sz w:val="20"/>
                <w:szCs w:val="20"/>
              </w:rPr>
            </w:pPr>
            <w:proofErr w:type="spellStart"/>
            <w:r>
              <w:rPr>
                <w:sz w:val="20"/>
                <w:szCs w:val="20"/>
              </w:rPr>
              <w:t>UoZ</w:t>
            </w:r>
            <w:proofErr w:type="spellEnd"/>
            <w:r>
              <w:rPr>
                <w:sz w:val="20"/>
                <w:szCs w:val="20"/>
              </w:rPr>
              <w:t>/VPM</w:t>
            </w:r>
          </w:p>
        </w:tc>
        <w:tc>
          <w:tcPr>
            <w:tcW w:w="2266" w:type="dxa"/>
          </w:tcPr>
          <w:p w14:paraId="259EC231" w14:textId="27D482E2" w:rsidR="00E6032D" w:rsidRDefault="00E6032D" w:rsidP="000F3F98">
            <w:pPr>
              <w:jc w:val="both"/>
              <w:rPr>
                <w:sz w:val="20"/>
                <w:szCs w:val="20"/>
              </w:rPr>
            </w:pPr>
            <w:r>
              <w:rPr>
                <w:sz w:val="20"/>
                <w:szCs w:val="20"/>
              </w:rPr>
              <w:t>ORP – stav nouze</w:t>
            </w:r>
          </w:p>
        </w:tc>
      </w:tr>
      <w:tr w:rsidR="00E6032D" w14:paraId="3C969D80" w14:textId="77777777" w:rsidTr="00E6032D">
        <w:tc>
          <w:tcPr>
            <w:tcW w:w="2265" w:type="dxa"/>
          </w:tcPr>
          <w:p w14:paraId="6AE703AD" w14:textId="4881EF1A" w:rsidR="00E6032D" w:rsidRDefault="00E6032D" w:rsidP="00E6032D">
            <w:pPr>
              <w:jc w:val="both"/>
              <w:rPr>
                <w:sz w:val="20"/>
                <w:szCs w:val="20"/>
              </w:rPr>
            </w:pPr>
            <w:r>
              <w:rPr>
                <w:sz w:val="20"/>
                <w:szCs w:val="20"/>
              </w:rPr>
              <w:t>Bruntál</w:t>
            </w:r>
          </w:p>
        </w:tc>
        <w:tc>
          <w:tcPr>
            <w:tcW w:w="2265" w:type="dxa"/>
          </w:tcPr>
          <w:p w14:paraId="3B84E135" w14:textId="0988C116" w:rsidR="00E6032D" w:rsidRDefault="00E6032D" w:rsidP="00E6032D">
            <w:pPr>
              <w:jc w:val="both"/>
              <w:rPr>
                <w:sz w:val="20"/>
                <w:szCs w:val="20"/>
              </w:rPr>
            </w:pPr>
            <w:r>
              <w:rPr>
                <w:sz w:val="20"/>
                <w:szCs w:val="20"/>
              </w:rPr>
              <w:t>8,1 %</w:t>
            </w:r>
          </w:p>
        </w:tc>
        <w:tc>
          <w:tcPr>
            <w:tcW w:w="2266" w:type="dxa"/>
          </w:tcPr>
          <w:p w14:paraId="73C094AE" w14:textId="74C94738" w:rsidR="00E6032D" w:rsidRDefault="00E6032D" w:rsidP="00E6032D">
            <w:pPr>
              <w:jc w:val="both"/>
              <w:rPr>
                <w:sz w:val="20"/>
                <w:szCs w:val="20"/>
              </w:rPr>
            </w:pPr>
            <w:r>
              <w:rPr>
                <w:sz w:val="20"/>
                <w:szCs w:val="20"/>
              </w:rPr>
              <w:t>6,6</w:t>
            </w:r>
          </w:p>
        </w:tc>
        <w:tc>
          <w:tcPr>
            <w:tcW w:w="2266" w:type="dxa"/>
          </w:tcPr>
          <w:p w14:paraId="3E14BCAA" w14:textId="10B37615" w:rsidR="00E6032D" w:rsidRDefault="00E6032D" w:rsidP="00E6032D">
            <w:pPr>
              <w:jc w:val="both"/>
              <w:rPr>
                <w:sz w:val="20"/>
                <w:szCs w:val="20"/>
              </w:rPr>
            </w:pPr>
            <w:r>
              <w:rPr>
                <w:sz w:val="20"/>
                <w:szCs w:val="20"/>
              </w:rPr>
              <w:t>Krnov, Bruntál</w:t>
            </w:r>
          </w:p>
        </w:tc>
      </w:tr>
      <w:tr w:rsidR="00E6032D" w14:paraId="68172A28" w14:textId="77777777" w:rsidTr="00E6032D">
        <w:tc>
          <w:tcPr>
            <w:tcW w:w="2265" w:type="dxa"/>
          </w:tcPr>
          <w:p w14:paraId="792505DF" w14:textId="710FC958" w:rsidR="00E6032D" w:rsidRDefault="00E6032D" w:rsidP="00E6032D">
            <w:pPr>
              <w:jc w:val="both"/>
              <w:rPr>
                <w:sz w:val="20"/>
                <w:szCs w:val="20"/>
              </w:rPr>
            </w:pPr>
            <w:r>
              <w:rPr>
                <w:sz w:val="20"/>
                <w:szCs w:val="20"/>
              </w:rPr>
              <w:t>Karviná</w:t>
            </w:r>
          </w:p>
        </w:tc>
        <w:tc>
          <w:tcPr>
            <w:tcW w:w="2265" w:type="dxa"/>
          </w:tcPr>
          <w:p w14:paraId="1C5F3C11" w14:textId="0D582DCB" w:rsidR="00E6032D" w:rsidRDefault="00E6032D" w:rsidP="00E6032D">
            <w:pPr>
              <w:jc w:val="both"/>
              <w:rPr>
                <w:sz w:val="20"/>
                <w:szCs w:val="20"/>
              </w:rPr>
            </w:pPr>
            <w:r>
              <w:rPr>
                <w:sz w:val="20"/>
                <w:szCs w:val="20"/>
              </w:rPr>
              <w:t>8,5 %</w:t>
            </w:r>
          </w:p>
        </w:tc>
        <w:tc>
          <w:tcPr>
            <w:tcW w:w="2266" w:type="dxa"/>
          </w:tcPr>
          <w:p w14:paraId="0C901BFD" w14:textId="10AA0EE9" w:rsidR="00E6032D" w:rsidRDefault="00E6032D" w:rsidP="00E6032D">
            <w:pPr>
              <w:jc w:val="both"/>
              <w:rPr>
                <w:sz w:val="20"/>
                <w:szCs w:val="20"/>
              </w:rPr>
            </w:pPr>
            <w:r>
              <w:rPr>
                <w:sz w:val="20"/>
                <w:szCs w:val="20"/>
              </w:rPr>
              <w:t>11,4</w:t>
            </w:r>
          </w:p>
        </w:tc>
        <w:tc>
          <w:tcPr>
            <w:tcW w:w="2266" w:type="dxa"/>
          </w:tcPr>
          <w:p w14:paraId="0F8E7B26" w14:textId="11B81F96" w:rsidR="00E6032D" w:rsidRDefault="00E6032D" w:rsidP="00E6032D">
            <w:pPr>
              <w:jc w:val="both"/>
              <w:rPr>
                <w:sz w:val="20"/>
                <w:szCs w:val="20"/>
              </w:rPr>
            </w:pPr>
            <w:r>
              <w:rPr>
                <w:sz w:val="20"/>
                <w:szCs w:val="20"/>
              </w:rPr>
              <w:t>Bohumín</w:t>
            </w:r>
          </w:p>
        </w:tc>
      </w:tr>
      <w:tr w:rsidR="00E6032D" w14:paraId="5332EC57" w14:textId="77777777" w:rsidTr="00E6032D">
        <w:tc>
          <w:tcPr>
            <w:tcW w:w="2265" w:type="dxa"/>
          </w:tcPr>
          <w:p w14:paraId="5BB93A10" w14:textId="578C47A0" w:rsidR="00E6032D" w:rsidRDefault="00E6032D" w:rsidP="00E6032D">
            <w:pPr>
              <w:jc w:val="both"/>
              <w:rPr>
                <w:sz w:val="20"/>
                <w:szCs w:val="20"/>
              </w:rPr>
            </w:pPr>
            <w:r>
              <w:rPr>
                <w:sz w:val="20"/>
                <w:szCs w:val="20"/>
              </w:rPr>
              <w:t>Opava</w:t>
            </w:r>
          </w:p>
        </w:tc>
        <w:tc>
          <w:tcPr>
            <w:tcW w:w="2265" w:type="dxa"/>
          </w:tcPr>
          <w:p w14:paraId="6BF5697A" w14:textId="4B704BEE" w:rsidR="00E6032D" w:rsidRDefault="00E6032D" w:rsidP="00E6032D">
            <w:pPr>
              <w:jc w:val="both"/>
              <w:rPr>
                <w:sz w:val="20"/>
                <w:szCs w:val="20"/>
              </w:rPr>
            </w:pPr>
            <w:r>
              <w:rPr>
                <w:sz w:val="20"/>
                <w:szCs w:val="20"/>
              </w:rPr>
              <w:t>3,9 %</w:t>
            </w:r>
          </w:p>
        </w:tc>
        <w:tc>
          <w:tcPr>
            <w:tcW w:w="2266" w:type="dxa"/>
          </w:tcPr>
          <w:p w14:paraId="40DC5C37" w14:textId="5CD21FE9" w:rsidR="00E6032D" w:rsidRDefault="00E6032D" w:rsidP="00E6032D">
            <w:pPr>
              <w:jc w:val="both"/>
              <w:rPr>
                <w:sz w:val="20"/>
                <w:szCs w:val="20"/>
              </w:rPr>
            </w:pPr>
            <w:r>
              <w:rPr>
                <w:sz w:val="20"/>
                <w:szCs w:val="20"/>
              </w:rPr>
              <w:t>3,9</w:t>
            </w:r>
          </w:p>
        </w:tc>
        <w:tc>
          <w:tcPr>
            <w:tcW w:w="2266" w:type="dxa"/>
          </w:tcPr>
          <w:p w14:paraId="60CA7D39" w14:textId="65BD9636" w:rsidR="00E6032D" w:rsidRDefault="00E6032D" w:rsidP="00E6032D">
            <w:pPr>
              <w:jc w:val="both"/>
              <w:rPr>
                <w:sz w:val="20"/>
                <w:szCs w:val="20"/>
              </w:rPr>
            </w:pPr>
            <w:r>
              <w:rPr>
                <w:sz w:val="20"/>
                <w:szCs w:val="20"/>
              </w:rPr>
              <w:t>Opava</w:t>
            </w:r>
          </w:p>
        </w:tc>
      </w:tr>
      <w:tr w:rsidR="00E6032D" w14:paraId="2FAC7A50" w14:textId="77777777" w:rsidTr="00E6032D">
        <w:tc>
          <w:tcPr>
            <w:tcW w:w="2265" w:type="dxa"/>
          </w:tcPr>
          <w:p w14:paraId="63A1B060" w14:textId="38D171EE" w:rsidR="00E6032D" w:rsidRDefault="00E6032D" w:rsidP="00E6032D">
            <w:pPr>
              <w:jc w:val="both"/>
              <w:rPr>
                <w:sz w:val="20"/>
                <w:szCs w:val="20"/>
              </w:rPr>
            </w:pPr>
            <w:r>
              <w:rPr>
                <w:sz w:val="20"/>
                <w:szCs w:val="20"/>
              </w:rPr>
              <w:t>Ostrava</w:t>
            </w:r>
          </w:p>
        </w:tc>
        <w:tc>
          <w:tcPr>
            <w:tcW w:w="2265" w:type="dxa"/>
          </w:tcPr>
          <w:p w14:paraId="4CF84CDC" w14:textId="1EB81110" w:rsidR="00E6032D" w:rsidRDefault="00E6032D" w:rsidP="00E6032D">
            <w:pPr>
              <w:jc w:val="both"/>
              <w:rPr>
                <w:sz w:val="20"/>
                <w:szCs w:val="20"/>
              </w:rPr>
            </w:pPr>
            <w:r>
              <w:rPr>
                <w:sz w:val="20"/>
                <w:szCs w:val="20"/>
              </w:rPr>
              <w:t>6,2 %</w:t>
            </w:r>
          </w:p>
        </w:tc>
        <w:tc>
          <w:tcPr>
            <w:tcW w:w="2266" w:type="dxa"/>
          </w:tcPr>
          <w:p w14:paraId="6CA962AB" w14:textId="1DB8547F" w:rsidR="00E6032D" w:rsidRDefault="00E6032D" w:rsidP="00E6032D">
            <w:pPr>
              <w:jc w:val="both"/>
              <w:rPr>
                <w:sz w:val="20"/>
                <w:szCs w:val="20"/>
              </w:rPr>
            </w:pPr>
            <w:r>
              <w:rPr>
                <w:sz w:val="20"/>
                <w:szCs w:val="20"/>
              </w:rPr>
              <w:t>3,1</w:t>
            </w:r>
          </w:p>
        </w:tc>
        <w:tc>
          <w:tcPr>
            <w:tcW w:w="2266" w:type="dxa"/>
          </w:tcPr>
          <w:p w14:paraId="393B36A7" w14:textId="28874466" w:rsidR="00E6032D" w:rsidRDefault="00E6032D" w:rsidP="00E6032D">
            <w:pPr>
              <w:jc w:val="both"/>
              <w:rPr>
                <w:sz w:val="20"/>
                <w:szCs w:val="20"/>
              </w:rPr>
            </w:pPr>
            <w:r>
              <w:rPr>
                <w:sz w:val="20"/>
                <w:szCs w:val="20"/>
              </w:rPr>
              <w:t>Ostrava</w:t>
            </w:r>
          </w:p>
        </w:tc>
      </w:tr>
      <w:tr w:rsidR="00E6032D" w14:paraId="54F1E898" w14:textId="77777777" w:rsidTr="00E6032D">
        <w:tc>
          <w:tcPr>
            <w:tcW w:w="2265" w:type="dxa"/>
          </w:tcPr>
          <w:p w14:paraId="06DD1A25" w14:textId="76459A37" w:rsidR="00E6032D" w:rsidRDefault="00E6032D" w:rsidP="00E6032D">
            <w:pPr>
              <w:jc w:val="both"/>
              <w:rPr>
                <w:sz w:val="20"/>
                <w:szCs w:val="20"/>
              </w:rPr>
            </w:pPr>
            <w:r>
              <w:rPr>
                <w:sz w:val="20"/>
                <w:szCs w:val="20"/>
              </w:rPr>
              <w:t>Jeseník</w:t>
            </w:r>
          </w:p>
        </w:tc>
        <w:tc>
          <w:tcPr>
            <w:tcW w:w="2265" w:type="dxa"/>
          </w:tcPr>
          <w:p w14:paraId="6B40B111" w14:textId="30E16CF4" w:rsidR="00E6032D" w:rsidRDefault="00E6032D" w:rsidP="00E6032D">
            <w:pPr>
              <w:jc w:val="both"/>
              <w:rPr>
                <w:sz w:val="20"/>
                <w:szCs w:val="20"/>
              </w:rPr>
            </w:pPr>
            <w:r>
              <w:rPr>
                <w:sz w:val="20"/>
                <w:szCs w:val="20"/>
              </w:rPr>
              <w:t>6,3 %</w:t>
            </w:r>
          </w:p>
        </w:tc>
        <w:tc>
          <w:tcPr>
            <w:tcW w:w="2266" w:type="dxa"/>
          </w:tcPr>
          <w:p w14:paraId="2BD5B8C9" w14:textId="4C94769F" w:rsidR="00E6032D" w:rsidRDefault="00E6032D" w:rsidP="00E6032D">
            <w:pPr>
              <w:jc w:val="both"/>
              <w:rPr>
                <w:sz w:val="20"/>
                <w:szCs w:val="20"/>
              </w:rPr>
            </w:pPr>
            <w:r>
              <w:rPr>
                <w:sz w:val="20"/>
                <w:szCs w:val="20"/>
              </w:rPr>
              <w:t>4,6</w:t>
            </w:r>
          </w:p>
        </w:tc>
        <w:tc>
          <w:tcPr>
            <w:tcW w:w="2266" w:type="dxa"/>
          </w:tcPr>
          <w:p w14:paraId="411EC82B" w14:textId="3804C084" w:rsidR="00E6032D" w:rsidRDefault="00E6032D" w:rsidP="00E6032D">
            <w:pPr>
              <w:jc w:val="both"/>
              <w:rPr>
                <w:sz w:val="20"/>
                <w:szCs w:val="20"/>
              </w:rPr>
            </w:pPr>
            <w:r>
              <w:rPr>
                <w:sz w:val="20"/>
                <w:szCs w:val="20"/>
              </w:rPr>
              <w:t>Jeseník</w:t>
            </w:r>
          </w:p>
        </w:tc>
      </w:tr>
      <w:tr w:rsidR="00E6032D" w14:paraId="1E6D1BD1" w14:textId="77777777" w:rsidTr="00E6032D">
        <w:tc>
          <w:tcPr>
            <w:tcW w:w="2265" w:type="dxa"/>
          </w:tcPr>
          <w:p w14:paraId="5F74FA4A" w14:textId="799AC5A6" w:rsidR="00E6032D" w:rsidRDefault="00E6032D" w:rsidP="00E6032D">
            <w:pPr>
              <w:jc w:val="both"/>
              <w:rPr>
                <w:sz w:val="20"/>
                <w:szCs w:val="20"/>
              </w:rPr>
            </w:pPr>
            <w:r>
              <w:rPr>
                <w:sz w:val="20"/>
                <w:szCs w:val="20"/>
              </w:rPr>
              <w:t>Šumperk</w:t>
            </w:r>
          </w:p>
        </w:tc>
        <w:tc>
          <w:tcPr>
            <w:tcW w:w="2265" w:type="dxa"/>
          </w:tcPr>
          <w:p w14:paraId="25B2D861" w14:textId="2384FDEC" w:rsidR="00E6032D" w:rsidRDefault="00E6032D" w:rsidP="00E6032D">
            <w:pPr>
              <w:jc w:val="both"/>
              <w:rPr>
                <w:sz w:val="20"/>
                <w:szCs w:val="20"/>
              </w:rPr>
            </w:pPr>
            <w:r>
              <w:rPr>
                <w:sz w:val="20"/>
                <w:szCs w:val="20"/>
              </w:rPr>
              <w:t>4,9 %</w:t>
            </w:r>
          </w:p>
        </w:tc>
        <w:tc>
          <w:tcPr>
            <w:tcW w:w="2266" w:type="dxa"/>
          </w:tcPr>
          <w:p w14:paraId="5923BF81" w14:textId="7B4DC6CB" w:rsidR="00E6032D" w:rsidRDefault="00E6032D" w:rsidP="00E6032D">
            <w:pPr>
              <w:jc w:val="both"/>
              <w:rPr>
                <w:sz w:val="20"/>
                <w:szCs w:val="20"/>
              </w:rPr>
            </w:pPr>
            <w:r>
              <w:rPr>
                <w:sz w:val="20"/>
                <w:szCs w:val="20"/>
              </w:rPr>
              <w:t>3,2</w:t>
            </w:r>
          </w:p>
        </w:tc>
        <w:tc>
          <w:tcPr>
            <w:tcW w:w="2266" w:type="dxa"/>
          </w:tcPr>
          <w:p w14:paraId="4B768F87" w14:textId="18FBDDD7" w:rsidR="00E6032D" w:rsidRDefault="00E6032D" w:rsidP="00E6032D">
            <w:pPr>
              <w:jc w:val="both"/>
              <w:rPr>
                <w:sz w:val="20"/>
                <w:szCs w:val="20"/>
              </w:rPr>
            </w:pPr>
            <w:r>
              <w:rPr>
                <w:sz w:val="20"/>
                <w:szCs w:val="20"/>
              </w:rPr>
              <w:t>Šumperk</w:t>
            </w:r>
          </w:p>
        </w:tc>
      </w:tr>
      <w:tr w:rsidR="00E6032D" w14:paraId="11F3BE59" w14:textId="77777777" w:rsidTr="00E6032D">
        <w:tc>
          <w:tcPr>
            <w:tcW w:w="2265" w:type="dxa"/>
          </w:tcPr>
          <w:p w14:paraId="5AD0D85F" w14:textId="1F817573" w:rsidR="00E6032D" w:rsidRDefault="00E6032D" w:rsidP="00E6032D">
            <w:pPr>
              <w:jc w:val="both"/>
              <w:rPr>
                <w:sz w:val="20"/>
                <w:szCs w:val="20"/>
              </w:rPr>
            </w:pPr>
            <w:r>
              <w:rPr>
                <w:sz w:val="20"/>
                <w:szCs w:val="20"/>
              </w:rPr>
              <w:t>Liberec</w:t>
            </w:r>
          </w:p>
        </w:tc>
        <w:tc>
          <w:tcPr>
            <w:tcW w:w="2265" w:type="dxa"/>
          </w:tcPr>
          <w:p w14:paraId="19099E3D" w14:textId="48987979" w:rsidR="00E6032D" w:rsidRDefault="00E6032D" w:rsidP="00E6032D">
            <w:pPr>
              <w:jc w:val="both"/>
              <w:rPr>
                <w:sz w:val="20"/>
                <w:szCs w:val="20"/>
              </w:rPr>
            </w:pPr>
            <w:r>
              <w:rPr>
                <w:sz w:val="20"/>
                <w:szCs w:val="20"/>
              </w:rPr>
              <w:t>4,4 %</w:t>
            </w:r>
          </w:p>
        </w:tc>
        <w:tc>
          <w:tcPr>
            <w:tcW w:w="2266" w:type="dxa"/>
          </w:tcPr>
          <w:p w14:paraId="210848F4" w14:textId="6D653ED8" w:rsidR="00E6032D" w:rsidRDefault="00E6032D" w:rsidP="00E6032D">
            <w:pPr>
              <w:jc w:val="both"/>
              <w:rPr>
                <w:sz w:val="20"/>
                <w:szCs w:val="20"/>
              </w:rPr>
            </w:pPr>
            <w:r>
              <w:rPr>
                <w:sz w:val="20"/>
                <w:szCs w:val="20"/>
              </w:rPr>
              <w:t>2,1</w:t>
            </w:r>
          </w:p>
        </w:tc>
        <w:tc>
          <w:tcPr>
            <w:tcW w:w="2266" w:type="dxa"/>
          </w:tcPr>
          <w:p w14:paraId="55E3745C" w14:textId="3596CE2D" w:rsidR="00E6032D" w:rsidRDefault="00E6032D" w:rsidP="00E6032D">
            <w:pPr>
              <w:jc w:val="both"/>
              <w:rPr>
                <w:sz w:val="20"/>
                <w:szCs w:val="20"/>
              </w:rPr>
            </w:pPr>
            <w:r>
              <w:rPr>
                <w:sz w:val="20"/>
                <w:szCs w:val="20"/>
              </w:rPr>
              <w:t>Frýdlant</w:t>
            </w:r>
          </w:p>
        </w:tc>
      </w:tr>
      <w:tr w:rsidR="00E6032D" w14:paraId="3D9F044C" w14:textId="77777777" w:rsidTr="00E6032D">
        <w:tc>
          <w:tcPr>
            <w:tcW w:w="2265" w:type="dxa"/>
          </w:tcPr>
          <w:p w14:paraId="150EDB94" w14:textId="35400433" w:rsidR="00E6032D" w:rsidRPr="00E6032D" w:rsidRDefault="00E6032D" w:rsidP="00E6032D">
            <w:pPr>
              <w:jc w:val="both"/>
              <w:rPr>
                <w:b/>
                <w:bCs/>
                <w:sz w:val="20"/>
                <w:szCs w:val="20"/>
              </w:rPr>
            </w:pPr>
            <w:r w:rsidRPr="00E6032D">
              <w:rPr>
                <w:b/>
                <w:bCs/>
                <w:sz w:val="20"/>
                <w:szCs w:val="20"/>
              </w:rPr>
              <w:t>Průměr ČR</w:t>
            </w:r>
          </w:p>
        </w:tc>
        <w:tc>
          <w:tcPr>
            <w:tcW w:w="2265" w:type="dxa"/>
          </w:tcPr>
          <w:p w14:paraId="760A7EED" w14:textId="7658303F" w:rsidR="00E6032D" w:rsidRPr="00E6032D" w:rsidRDefault="00E6032D" w:rsidP="00E6032D">
            <w:pPr>
              <w:jc w:val="both"/>
              <w:rPr>
                <w:b/>
                <w:bCs/>
                <w:sz w:val="20"/>
                <w:szCs w:val="20"/>
              </w:rPr>
            </w:pPr>
            <w:r w:rsidRPr="00E6032D">
              <w:rPr>
                <w:b/>
                <w:bCs/>
                <w:sz w:val="20"/>
                <w:szCs w:val="20"/>
              </w:rPr>
              <w:t>4,1 %</w:t>
            </w:r>
          </w:p>
        </w:tc>
        <w:tc>
          <w:tcPr>
            <w:tcW w:w="2266" w:type="dxa"/>
          </w:tcPr>
          <w:p w14:paraId="0BB432DA" w14:textId="71ABFA88" w:rsidR="00E6032D" w:rsidRPr="00E6032D" w:rsidRDefault="00E6032D" w:rsidP="00E6032D">
            <w:pPr>
              <w:jc w:val="both"/>
              <w:rPr>
                <w:b/>
                <w:bCs/>
                <w:sz w:val="20"/>
                <w:szCs w:val="20"/>
              </w:rPr>
            </w:pPr>
            <w:r w:rsidRPr="00E6032D">
              <w:rPr>
                <w:b/>
                <w:bCs/>
                <w:sz w:val="20"/>
                <w:szCs w:val="20"/>
              </w:rPr>
              <w:t>1,2</w:t>
            </w:r>
          </w:p>
        </w:tc>
        <w:tc>
          <w:tcPr>
            <w:tcW w:w="2266" w:type="dxa"/>
          </w:tcPr>
          <w:p w14:paraId="1B0F8647" w14:textId="77777777" w:rsidR="00E6032D" w:rsidRPr="00E6032D" w:rsidRDefault="00E6032D" w:rsidP="00E6032D">
            <w:pPr>
              <w:jc w:val="both"/>
              <w:rPr>
                <w:b/>
                <w:bCs/>
                <w:sz w:val="20"/>
                <w:szCs w:val="20"/>
              </w:rPr>
            </w:pPr>
          </w:p>
        </w:tc>
      </w:tr>
    </w:tbl>
    <w:p w14:paraId="0C64269B" w14:textId="77777777" w:rsidR="009A6FBA" w:rsidRDefault="009A6FBA" w:rsidP="009A6FBA">
      <w:pPr>
        <w:spacing w:after="0" w:line="240" w:lineRule="auto"/>
        <w:jc w:val="both"/>
        <w:rPr>
          <w:b/>
          <w:bCs/>
          <w:sz w:val="20"/>
          <w:szCs w:val="20"/>
        </w:rPr>
      </w:pPr>
    </w:p>
    <w:p w14:paraId="7E9CB081" w14:textId="05EDBC79" w:rsidR="00DB475C" w:rsidRPr="00DB475C" w:rsidRDefault="00DB475C" w:rsidP="00DB475C">
      <w:pPr>
        <w:jc w:val="both"/>
        <w:rPr>
          <w:b/>
          <w:bCs/>
          <w:sz w:val="20"/>
          <w:szCs w:val="20"/>
        </w:rPr>
      </w:pPr>
      <w:r w:rsidRPr="00DB475C">
        <w:rPr>
          <w:b/>
          <w:bCs/>
          <w:sz w:val="20"/>
          <w:szCs w:val="20"/>
        </w:rPr>
        <w:t>Z tohoto důvodu dochází k rozšíření programu o nový režim, režim Sanace, jehož cílem je poskytnout zaměstnavatelům v nejvíce zasažených lokalitách dodatečnou pomoc v podobě částečné kompenzace mzdových nákladů za dobu, kdy zaměstnanci pro zaměstnavatele nevykonávali nebo stále nevykonávají sjednanou práci ve sjednaném rozsahu a nepřinášejí tedy svým zaměstnavatelům produktivní hospodářkou činnost.</w:t>
      </w:r>
    </w:p>
    <w:p w14:paraId="2F15C2C6" w14:textId="3802FABF" w:rsidR="00992BD5" w:rsidRDefault="00992BD5">
      <w:pPr>
        <w:rPr>
          <w:sz w:val="20"/>
          <w:szCs w:val="20"/>
        </w:rPr>
      </w:pPr>
      <w:r>
        <w:rPr>
          <w:sz w:val="20"/>
          <w:szCs w:val="20"/>
        </w:rPr>
        <w:br w:type="page"/>
      </w:r>
    </w:p>
    <w:p w14:paraId="6097C833" w14:textId="533C4453" w:rsidR="00E74E9C" w:rsidRDefault="002F6A38" w:rsidP="002F6A38">
      <w:pPr>
        <w:ind w:firstLine="284"/>
        <w:rPr>
          <w:sz w:val="20"/>
          <w:szCs w:val="20"/>
        </w:rPr>
      </w:pPr>
      <w:r>
        <w:rPr>
          <w:b/>
          <w:bCs/>
          <w:color w:val="0070C0"/>
          <w:sz w:val="20"/>
          <w:szCs w:val="20"/>
        </w:rPr>
        <w:lastRenderedPageBreak/>
        <w:t>Č</w:t>
      </w:r>
      <w:r w:rsidR="00BC3D20" w:rsidRPr="00E74E9C">
        <w:rPr>
          <w:b/>
          <w:bCs/>
          <w:color w:val="0070C0"/>
          <w:sz w:val="20"/>
          <w:szCs w:val="20"/>
        </w:rPr>
        <w:t>lán</w:t>
      </w:r>
      <w:r>
        <w:rPr>
          <w:b/>
          <w:bCs/>
          <w:color w:val="0070C0"/>
          <w:sz w:val="20"/>
          <w:szCs w:val="20"/>
        </w:rPr>
        <w:t>e</w:t>
      </w:r>
      <w:r w:rsidR="00BC3D20" w:rsidRPr="00E74E9C">
        <w:rPr>
          <w:b/>
          <w:bCs/>
          <w:color w:val="0070C0"/>
          <w:sz w:val="20"/>
          <w:szCs w:val="20"/>
        </w:rPr>
        <w:t>k I</w:t>
      </w:r>
      <w:r w:rsidR="00BC3D20">
        <w:rPr>
          <w:b/>
          <w:bCs/>
          <w:color w:val="0070C0"/>
          <w:sz w:val="20"/>
          <w:szCs w:val="20"/>
        </w:rPr>
        <w:t>I</w:t>
      </w:r>
      <w:r w:rsidR="00BC3D20" w:rsidRPr="00E74E9C">
        <w:rPr>
          <w:b/>
          <w:bCs/>
          <w:color w:val="0070C0"/>
          <w:sz w:val="20"/>
          <w:szCs w:val="20"/>
        </w:rPr>
        <w:t xml:space="preserve"> „</w:t>
      </w:r>
      <w:r w:rsidR="00BC3D20">
        <w:rPr>
          <w:b/>
          <w:bCs/>
          <w:color w:val="0070C0"/>
          <w:sz w:val="20"/>
          <w:szCs w:val="20"/>
        </w:rPr>
        <w:t>Odhad rozsahu dopadu</w:t>
      </w:r>
      <w:r w:rsidR="00BC3D20" w:rsidRPr="00E74E9C">
        <w:rPr>
          <w:b/>
          <w:bCs/>
          <w:color w:val="0070C0"/>
          <w:sz w:val="20"/>
          <w:szCs w:val="20"/>
        </w:rPr>
        <w:t xml:space="preserve">“ </w:t>
      </w:r>
    </w:p>
    <w:p w14:paraId="39E82505" w14:textId="0DDB1631" w:rsidR="00E74E9C" w:rsidRDefault="00E74E9C" w:rsidP="00E74E9C">
      <w:pPr>
        <w:pStyle w:val="Odstavecseseznamem"/>
        <w:ind w:left="284"/>
        <w:contextualSpacing w:val="0"/>
        <w:jc w:val="both"/>
        <w:rPr>
          <w:sz w:val="20"/>
          <w:szCs w:val="20"/>
        </w:rPr>
      </w:pPr>
      <w:r>
        <w:rPr>
          <w:sz w:val="20"/>
          <w:szCs w:val="20"/>
        </w:rPr>
        <w:t>MPSV nemá v současné době detailní individuální informace o zasažených subjektech. Dle dat ČSÚ bylo k 31. 12. 2023 na území zasažených ORP</w:t>
      </w:r>
      <w:r w:rsidR="00875830">
        <w:rPr>
          <w:sz w:val="20"/>
          <w:szCs w:val="20"/>
        </w:rPr>
        <w:t xml:space="preserve"> (viz článek IV., bod 2.)</w:t>
      </w:r>
      <w:r>
        <w:rPr>
          <w:sz w:val="20"/>
          <w:szCs w:val="20"/>
        </w:rPr>
        <w:t xml:space="preserve"> celkem evidováno 86 759 ekonomických subjektů se zjištěnou aktivitou, z čehož 15 823 mělo alespoň 1 zaměstnance. MPSV předpokládá, že na území správních obvodů ORP, v nichž byl v souvislosti s povodněmi vyhlášen stav nebezpečí, může být zaměstnáno cca 160 000 zaměstnanců. Dominantní je v tomto smyslu zejména ORP Ostrava (60 % z uvedeného počtu ekonomických subjektů).</w:t>
      </w:r>
    </w:p>
    <w:p w14:paraId="19E0F827" w14:textId="77777777" w:rsidR="00E74E9C" w:rsidRDefault="00E74E9C" w:rsidP="00E74E9C">
      <w:pPr>
        <w:pStyle w:val="Odstavecseseznamem"/>
        <w:ind w:left="284"/>
        <w:contextualSpacing w:val="0"/>
        <w:jc w:val="both"/>
        <w:rPr>
          <w:sz w:val="20"/>
          <w:szCs w:val="20"/>
        </w:rPr>
      </w:pPr>
      <w:r>
        <w:rPr>
          <w:sz w:val="20"/>
          <w:szCs w:val="20"/>
        </w:rPr>
        <w:t>Režim Sanace je do značné míry, co se rozsahu krytých překážek v práci, resp. převedení na jinou práci, týká podobný regionálnímu cílenému programu podpory zaměstnanosti Tornádo, který MPSV realizovalo v návaznosti na škody způsobené silnými bouřkami v červnu 2021 zejména na jižní Moravě. V zasaženém území využilo možnosti programu 99 ekonomických subjektů z celkem 2 914 ekonomických subjektů se zjištěnou aktivitou k 31. 12. 2020, tedy možností programu využilo 3,4 % ekonomických subjektů v zasažených ORP. V případě odstraňování povodňových škod MPSV předpokládá obdobný rozsah zájemců.</w:t>
      </w:r>
    </w:p>
    <w:p w14:paraId="669CA0A5" w14:textId="77777777" w:rsidR="00E74E9C" w:rsidRDefault="00E74E9C" w:rsidP="00E74E9C">
      <w:pPr>
        <w:pStyle w:val="Odstavecseseznamem"/>
        <w:ind w:left="284"/>
        <w:contextualSpacing w:val="0"/>
        <w:jc w:val="both"/>
        <w:rPr>
          <w:sz w:val="20"/>
          <w:szCs w:val="20"/>
        </w:rPr>
      </w:pPr>
      <w:r>
        <w:rPr>
          <w:sz w:val="20"/>
          <w:szCs w:val="20"/>
        </w:rPr>
        <w:t xml:space="preserve">MPSV tedy předpokládá využití režimu sanace u cca 600 subjektů s průměrným počtem zaměstnanců 10 na ekonomický subjekt, tj. celkem s 6 000 zaměstnanci, nicméně využití podpory přepokládá MPSV max u 50 % z nich, tj. </w:t>
      </w:r>
      <w:r w:rsidRPr="00E74E9C">
        <w:rPr>
          <w:b/>
          <w:bCs/>
          <w:sz w:val="20"/>
          <w:szCs w:val="20"/>
        </w:rPr>
        <w:t>3 000 zaměstnanců</w:t>
      </w:r>
      <w:r>
        <w:rPr>
          <w:sz w:val="20"/>
          <w:szCs w:val="20"/>
        </w:rPr>
        <w:t>.</w:t>
      </w:r>
    </w:p>
    <w:p w14:paraId="705BE278" w14:textId="2AE2F65B" w:rsidR="00E13824" w:rsidRDefault="00E74E9C" w:rsidP="00E13824">
      <w:pPr>
        <w:pStyle w:val="Odstavecseseznamem"/>
        <w:ind w:left="284"/>
        <w:contextualSpacing w:val="0"/>
        <w:jc w:val="both"/>
        <w:rPr>
          <w:rFonts w:cs="Arial"/>
          <w:sz w:val="22"/>
        </w:rPr>
      </w:pPr>
      <w:r w:rsidRPr="009C329E">
        <w:rPr>
          <w:sz w:val="20"/>
          <w:szCs w:val="20"/>
        </w:rPr>
        <w:t xml:space="preserve">Maximální rozsah podpory činí 18 400 Kč na zaměstnance po dobu maximálně </w:t>
      </w:r>
      <w:r w:rsidR="00E13824">
        <w:rPr>
          <w:sz w:val="20"/>
          <w:szCs w:val="20"/>
        </w:rPr>
        <w:t>5</w:t>
      </w:r>
      <w:r w:rsidRPr="009C329E">
        <w:rPr>
          <w:sz w:val="20"/>
          <w:szCs w:val="20"/>
        </w:rPr>
        <w:t xml:space="preserve"> měsíců, tj. celkem </w:t>
      </w:r>
      <w:r w:rsidRPr="00E74E9C">
        <w:rPr>
          <w:b/>
          <w:bCs/>
          <w:sz w:val="20"/>
          <w:szCs w:val="20"/>
        </w:rPr>
        <w:t xml:space="preserve">maximálně </w:t>
      </w:r>
      <w:r w:rsidR="00E13824">
        <w:rPr>
          <w:b/>
          <w:bCs/>
          <w:sz w:val="20"/>
          <w:szCs w:val="20"/>
        </w:rPr>
        <w:t>276</w:t>
      </w:r>
      <w:r w:rsidRPr="00E74E9C">
        <w:rPr>
          <w:b/>
          <w:bCs/>
          <w:sz w:val="20"/>
          <w:szCs w:val="20"/>
        </w:rPr>
        <w:t xml:space="preserve"> mil. Kč.</w:t>
      </w:r>
      <w:r>
        <w:rPr>
          <w:sz w:val="20"/>
          <w:szCs w:val="20"/>
        </w:rPr>
        <w:t xml:space="preserve"> Není však pravděpodobné, že by zaměstnavatelé využili celé podpůrčí období (období uznatelnosti).</w:t>
      </w:r>
      <w:r w:rsidRPr="009C329E">
        <w:rPr>
          <w:sz w:val="20"/>
          <w:szCs w:val="20"/>
        </w:rPr>
        <w:t xml:space="preserve"> </w:t>
      </w:r>
    </w:p>
    <w:p w14:paraId="6D01C8F4" w14:textId="1E34357C" w:rsidR="00E13824" w:rsidRDefault="00E13824" w:rsidP="00E13824">
      <w:pPr>
        <w:ind w:left="284"/>
        <w:jc w:val="both"/>
        <w:rPr>
          <w:rFonts w:cs="Arial"/>
          <w:sz w:val="20"/>
          <w:szCs w:val="20"/>
        </w:rPr>
      </w:pPr>
      <w:r w:rsidRPr="00E13824">
        <w:rPr>
          <w:rFonts w:cs="Arial"/>
          <w:b/>
          <w:bCs/>
          <w:sz w:val="20"/>
          <w:szCs w:val="20"/>
        </w:rPr>
        <w:t xml:space="preserve">Ke dni 12. 3. 2025 bylo v rámci původního znění programu na celkem 147 podaných žádostí o příspěvek čerpáno 22,4 mil. Kč. </w:t>
      </w:r>
      <w:r w:rsidRPr="00E13824">
        <w:rPr>
          <w:rFonts w:cs="Arial"/>
          <w:sz w:val="20"/>
          <w:szCs w:val="20"/>
        </w:rPr>
        <w:t xml:space="preserve">V roce 2024 bylo na realizaci programu </w:t>
      </w:r>
      <w:r w:rsidRPr="00E13824">
        <w:rPr>
          <w:rFonts w:cs="Arial"/>
          <w:b/>
          <w:bCs/>
          <w:sz w:val="20"/>
          <w:szCs w:val="20"/>
        </w:rPr>
        <w:t>uvolněno do rozpočtové kapitoly MPSV na realizaci programu 200 mil. Kč</w:t>
      </w:r>
      <w:r w:rsidRPr="00E13824">
        <w:rPr>
          <w:rFonts w:cs="Arial"/>
          <w:sz w:val="20"/>
          <w:szCs w:val="20"/>
        </w:rPr>
        <w:t xml:space="preserve">. </w:t>
      </w:r>
      <w:r>
        <w:rPr>
          <w:rFonts w:cs="Arial"/>
          <w:sz w:val="20"/>
          <w:szCs w:val="20"/>
        </w:rPr>
        <w:t>Zbývající</w:t>
      </w:r>
      <w:r w:rsidRPr="00E13824">
        <w:rPr>
          <w:rFonts w:cs="Arial"/>
          <w:sz w:val="20"/>
          <w:szCs w:val="20"/>
        </w:rPr>
        <w:t xml:space="preserve"> prostředky jsou doposud součástí nároků z nespotřebovaných výdajů.</w:t>
      </w:r>
      <w:r>
        <w:rPr>
          <w:rFonts w:cs="Arial"/>
          <w:sz w:val="20"/>
          <w:szCs w:val="20"/>
        </w:rPr>
        <w:t xml:space="preserve"> </w:t>
      </w:r>
      <w:r w:rsidRPr="00E273EA">
        <w:rPr>
          <w:rFonts w:cs="Arial"/>
          <w:b/>
          <w:bCs/>
          <w:sz w:val="20"/>
          <w:szCs w:val="20"/>
          <w:u w:val="single"/>
        </w:rPr>
        <w:t xml:space="preserve">Změna cíleného programu podpory zaměstnanosti „Povodeň 2024“ nezatíží státní rozpočet nad rámec již přidělených prostředků na tento účel (viz </w:t>
      </w:r>
      <w:r w:rsidR="00162A3F" w:rsidRPr="00E273EA">
        <w:rPr>
          <w:rFonts w:cs="Arial"/>
          <w:b/>
          <w:bCs/>
          <w:sz w:val="20"/>
          <w:szCs w:val="20"/>
          <w:u w:val="single"/>
        </w:rPr>
        <w:t xml:space="preserve">článek VIII </w:t>
      </w:r>
      <w:r w:rsidRPr="00E273EA">
        <w:rPr>
          <w:rFonts w:cs="Arial"/>
          <w:b/>
          <w:bCs/>
          <w:sz w:val="20"/>
          <w:szCs w:val="20"/>
          <w:u w:val="single"/>
        </w:rPr>
        <w:t xml:space="preserve">bod </w:t>
      </w:r>
      <w:r w:rsidR="00162A3F" w:rsidRPr="00E273EA">
        <w:rPr>
          <w:rFonts w:cs="Arial"/>
          <w:b/>
          <w:bCs/>
          <w:sz w:val="20"/>
          <w:szCs w:val="20"/>
          <w:u w:val="single"/>
        </w:rPr>
        <w:t>6 programu).</w:t>
      </w:r>
      <w:r w:rsidR="00162A3F">
        <w:rPr>
          <w:rFonts w:cs="Arial"/>
          <w:sz w:val="20"/>
          <w:szCs w:val="20"/>
        </w:rPr>
        <w:t xml:space="preserve"> </w:t>
      </w:r>
    </w:p>
    <w:p w14:paraId="6810228E" w14:textId="77777777" w:rsidR="00E273EA" w:rsidRDefault="00E273EA" w:rsidP="00E13824">
      <w:pPr>
        <w:ind w:left="284"/>
        <w:jc w:val="both"/>
        <w:rPr>
          <w:sz w:val="20"/>
          <w:szCs w:val="20"/>
        </w:rPr>
      </w:pPr>
    </w:p>
    <w:p w14:paraId="6499D61F" w14:textId="0D14FD7D" w:rsidR="00B6623B" w:rsidRDefault="002F6A38" w:rsidP="002F6A38">
      <w:pPr>
        <w:spacing w:after="0" w:line="240" w:lineRule="auto"/>
        <w:ind w:firstLine="425"/>
        <w:rPr>
          <w:sz w:val="20"/>
          <w:szCs w:val="20"/>
        </w:rPr>
      </w:pPr>
      <w:r>
        <w:rPr>
          <w:b/>
          <w:bCs/>
          <w:color w:val="0070C0"/>
          <w:sz w:val="20"/>
          <w:szCs w:val="20"/>
        </w:rPr>
        <w:t>Č</w:t>
      </w:r>
      <w:r w:rsidR="00B6623B" w:rsidRPr="00E74E9C">
        <w:rPr>
          <w:b/>
          <w:bCs/>
          <w:color w:val="0070C0"/>
          <w:sz w:val="20"/>
          <w:szCs w:val="20"/>
        </w:rPr>
        <w:t>lán</w:t>
      </w:r>
      <w:r>
        <w:rPr>
          <w:b/>
          <w:bCs/>
          <w:color w:val="0070C0"/>
          <w:sz w:val="20"/>
          <w:szCs w:val="20"/>
        </w:rPr>
        <w:t>e</w:t>
      </w:r>
      <w:r w:rsidR="00B6623B" w:rsidRPr="00E74E9C">
        <w:rPr>
          <w:b/>
          <w:bCs/>
          <w:color w:val="0070C0"/>
          <w:sz w:val="20"/>
          <w:szCs w:val="20"/>
        </w:rPr>
        <w:t>k I</w:t>
      </w:r>
      <w:r w:rsidR="00B6623B">
        <w:rPr>
          <w:b/>
          <w:bCs/>
          <w:color w:val="0070C0"/>
          <w:sz w:val="20"/>
          <w:szCs w:val="20"/>
        </w:rPr>
        <w:t>II</w:t>
      </w:r>
      <w:r w:rsidR="00B6623B" w:rsidRPr="00E74E9C">
        <w:rPr>
          <w:b/>
          <w:bCs/>
          <w:color w:val="0070C0"/>
          <w:sz w:val="20"/>
          <w:szCs w:val="20"/>
        </w:rPr>
        <w:t xml:space="preserve"> „</w:t>
      </w:r>
      <w:r w:rsidR="00B6623B">
        <w:rPr>
          <w:b/>
          <w:bCs/>
          <w:color w:val="0070C0"/>
          <w:sz w:val="20"/>
          <w:szCs w:val="20"/>
        </w:rPr>
        <w:t>Zákonné zmocnění</w:t>
      </w:r>
      <w:r w:rsidR="00B6623B" w:rsidRPr="00E74E9C">
        <w:rPr>
          <w:b/>
          <w:bCs/>
          <w:color w:val="0070C0"/>
          <w:sz w:val="20"/>
          <w:szCs w:val="20"/>
        </w:rPr>
        <w:t xml:space="preserve">“ </w:t>
      </w:r>
    </w:p>
    <w:p w14:paraId="2318492E" w14:textId="77777777" w:rsidR="00B6623B" w:rsidRPr="004E62C3" w:rsidRDefault="00B6623B" w:rsidP="00B6623B">
      <w:pPr>
        <w:spacing w:after="0" w:line="240" w:lineRule="auto"/>
        <w:jc w:val="center"/>
        <w:rPr>
          <w:b/>
          <w:bCs/>
          <w:color w:val="0070C0"/>
          <w:sz w:val="20"/>
          <w:szCs w:val="20"/>
        </w:rPr>
      </w:pPr>
    </w:p>
    <w:p w14:paraId="75BC23C7" w14:textId="77777777" w:rsidR="00B6623B" w:rsidRPr="0078786B" w:rsidRDefault="00B6623B" w:rsidP="00B6623B">
      <w:pPr>
        <w:pStyle w:val="Odstavecseseznamem"/>
        <w:numPr>
          <w:ilvl w:val="0"/>
          <w:numId w:val="18"/>
        </w:numPr>
        <w:ind w:left="425" w:hanging="357"/>
        <w:contextualSpacing w:val="0"/>
        <w:jc w:val="both"/>
        <w:rPr>
          <w:sz w:val="20"/>
          <w:szCs w:val="20"/>
        </w:rPr>
      </w:pPr>
      <w:r w:rsidRPr="0078786B">
        <w:rPr>
          <w:sz w:val="20"/>
          <w:szCs w:val="20"/>
        </w:rPr>
        <w:t xml:space="preserve">Podmínky realizace regionálního cíleného programu podpory zaměstnanosti </w:t>
      </w:r>
      <w:r w:rsidRPr="0078786B">
        <w:rPr>
          <w:b/>
          <w:bCs/>
          <w:sz w:val="20"/>
          <w:szCs w:val="20"/>
        </w:rPr>
        <w:t>schvaluje v rámci své působnosti MPSV</w:t>
      </w:r>
      <w:r w:rsidRPr="0078786B">
        <w:rPr>
          <w:sz w:val="20"/>
          <w:szCs w:val="20"/>
        </w:rPr>
        <w:t>, a to na základě § 120 odst. 2 zákona o zaměstnanosti, podmínky realizace cíleného programu s celostátní působností schvaluje podle téhož ustanovení zákona o</w:t>
      </w:r>
      <w:r>
        <w:rPr>
          <w:sz w:val="20"/>
          <w:szCs w:val="20"/>
        </w:rPr>
        <w:t> </w:t>
      </w:r>
      <w:r w:rsidRPr="0078786B">
        <w:rPr>
          <w:sz w:val="20"/>
          <w:szCs w:val="20"/>
        </w:rPr>
        <w:t xml:space="preserve">zaměstnanosti vláda. </w:t>
      </w:r>
    </w:p>
    <w:p w14:paraId="4DB580BA" w14:textId="6314D0AD" w:rsidR="00B6623B" w:rsidRPr="00AC5F24" w:rsidRDefault="00AC5F24" w:rsidP="00AC5F24">
      <w:pPr>
        <w:pStyle w:val="Odstavecseseznamem"/>
        <w:numPr>
          <w:ilvl w:val="0"/>
          <w:numId w:val="18"/>
        </w:numPr>
        <w:ind w:left="425" w:hanging="357"/>
        <w:contextualSpacing w:val="0"/>
        <w:jc w:val="both"/>
        <w:rPr>
          <w:sz w:val="20"/>
          <w:szCs w:val="20"/>
        </w:rPr>
      </w:pPr>
      <w:r>
        <w:rPr>
          <w:sz w:val="20"/>
          <w:szCs w:val="20"/>
        </w:rPr>
        <w:t xml:space="preserve">Původní </w:t>
      </w:r>
      <w:r w:rsidR="00E13824">
        <w:rPr>
          <w:sz w:val="20"/>
          <w:szCs w:val="20"/>
        </w:rPr>
        <w:t xml:space="preserve">znění </w:t>
      </w:r>
      <w:r>
        <w:rPr>
          <w:sz w:val="20"/>
          <w:szCs w:val="20"/>
        </w:rPr>
        <w:t>program</w:t>
      </w:r>
      <w:r w:rsidR="00E13824">
        <w:rPr>
          <w:sz w:val="20"/>
          <w:szCs w:val="20"/>
        </w:rPr>
        <w:t>u</w:t>
      </w:r>
      <w:r>
        <w:rPr>
          <w:sz w:val="20"/>
          <w:szCs w:val="20"/>
        </w:rPr>
        <w:t xml:space="preserve"> </w:t>
      </w:r>
      <w:r w:rsidRPr="00DB475C">
        <w:rPr>
          <w:sz w:val="20"/>
          <w:szCs w:val="20"/>
        </w:rPr>
        <w:t>Povodeň 2024 byl</w:t>
      </w:r>
      <w:r w:rsidR="00E13824">
        <w:rPr>
          <w:sz w:val="20"/>
          <w:szCs w:val="20"/>
        </w:rPr>
        <w:t>o</w:t>
      </w:r>
      <w:r w:rsidRPr="00DB475C">
        <w:rPr>
          <w:sz w:val="20"/>
          <w:szCs w:val="20"/>
        </w:rPr>
        <w:t xml:space="preserve"> schválen</w:t>
      </w:r>
      <w:r w:rsidR="00E13824">
        <w:rPr>
          <w:sz w:val="20"/>
          <w:szCs w:val="20"/>
        </w:rPr>
        <w:t>o</w:t>
      </w:r>
      <w:r w:rsidRPr="00DB475C">
        <w:rPr>
          <w:sz w:val="20"/>
          <w:szCs w:val="20"/>
        </w:rPr>
        <w:t xml:space="preserve"> usnesením vlády č. 689 ze dne 2. října 2024.</w:t>
      </w:r>
      <w:r>
        <w:rPr>
          <w:sz w:val="20"/>
          <w:szCs w:val="20"/>
        </w:rPr>
        <w:t xml:space="preserve"> </w:t>
      </w:r>
      <w:r w:rsidR="00B6623B" w:rsidRPr="001A46FA">
        <w:rPr>
          <w:sz w:val="20"/>
          <w:szCs w:val="20"/>
        </w:rPr>
        <w:t xml:space="preserve">Přestože </w:t>
      </w:r>
      <w:r w:rsidR="00B6623B">
        <w:rPr>
          <w:sz w:val="20"/>
          <w:szCs w:val="20"/>
        </w:rPr>
        <w:t>původní znění programu Povodeň 2024 umožňo</w:t>
      </w:r>
      <w:r>
        <w:rPr>
          <w:sz w:val="20"/>
          <w:szCs w:val="20"/>
        </w:rPr>
        <w:t xml:space="preserve">valo činit změny programu v působnosti MPSV v případě, že změny podmínek programu nemají dopad </w:t>
      </w:r>
      <w:r w:rsidRPr="001A46FA">
        <w:rPr>
          <w:sz w:val="20"/>
          <w:szCs w:val="20"/>
        </w:rPr>
        <w:t>na finanční náročnost programu ve smyslu navýšení jeho výdajů</w:t>
      </w:r>
      <w:r>
        <w:rPr>
          <w:sz w:val="20"/>
          <w:szCs w:val="20"/>
        </w:rPr>
        <w:t xml:space="preserve">, </w:t>
      </w:r>
      <w:r w:rsidRPr="00AC5F24">
        <w:rPr>
          <w:b/>
          <w:bCs/>
          <w:sz w:val="20"/>
          <w:szCs w:val="20"/>
        </w:rPr>
        <w:t xml:space="preserve">je s ohledem na rozsah změn a změnu celkového principu poskytování příspěvku předkládána změna </w:t>
      </w:r>
      <w:r w:rsidR="00217B90">
        <w:rPr>
          <w:b/>
          <w:bCs/>
          <w:sz w:val="20"/>
          <w:szCs w:val="20"/>
        </w:rPr>
        <w:t>„</w:t>
      </w:r>
      <w:r w:rsidRPr="00AC5F24">
        <w:rPr>
          <w:b/>
          <w:bCs/>
          <w:sz w:val="20"/>
          <w:szCs w:val="20"/>
        </w:rPr>
        <w:t>cíleného programu podpory zaměstnanosti Povodeň 2024</w:t>
      </w:r>
      <w:r w:rsidR="00217B90">
        <w:rPr>
          <w:b/>
          <w:bCs/>
          <w:sz w:val="20"/>
          <w:szCs w:val="20"/>
        </w:rPr>
        <w:t xml:space="preserve">, režim Sanace“ (dále jen „program Povodeň 2024, režim Sanace“) </w:t>
      </w:r>
      <w:r w:rsidRPr="00AC5F24">
        <w:rPr>
          <w:b/>
          <w:bCs/>
          <w:sz w:val="20"/>
          <w:szCs w:val="20"/>
        </w:rPr>
        <w:t xml:space="preserve">vládě </w:t>
      </w:r>
      <w:r w:rsidR="00727F65">
        <w:rPr>
          <w:b/>
          <w:bCs/>
          <w:sz w:val="20"/>
          <w:szCs w:val="20"/>
        </w:rPr>
        <w:t>pro informaci</w:t>
      </w:r>
      <w:r>
        <w:rPr>
          <w:sz w:val="20"/>
          <w:szCs w:val="20"/>
        </w:rPr>
        <w:t xml:space="preserve">. Příspěvek bude nově možné poskytovat, nejen, jako doposud na náhrady mzdy za dobu příslušných překážek v práci, ale také za dobu převedení zaměstnance na jinou práci. </w:t>
      </w:r>
      <w:r w:rsidR="00B6623B" w:rsidRPr="00AC5F24">
        <w:rPr>
          <w:sz w:val="20"/>
          <w:szCs w:val="20"/>
        </w:rPr>
        <w:t xml:space="preserve">MPSV </w:t>
      </w:r>
      <w:r>
        <w:rPr>
          <w:sz w:val="20"/>
          <w:szCs w:val="20"/>
        </w:rPr>
        <w:t xml:space="preserve">bude nadále </w:t>
      </w:r>
      <w:r w:rsidR="00B6623B" w:rsidRPr="00AC5F24">
        <w:rPr>
          <w:sz w:val="20"/>
          <w:szCs w:val="20"/>
        </w:rPr>
        <w:t xml:space="preserve">oprávněno dále rozpracovat a konkretizovat program, zejména stanovit další podmínky realizace, resp. poskytnutí příspěvku, vycházející z jiných právních předpisů vztahujících se k realizaci aktivní politiky zaměstnanosti, nakládání s veřejnými rozpočty, předpisů upravujících poskytování veřejné podpory nebo vyžadovaných administrací programu, zajištění kontroly, oprávněnosti poskytnutí příspěvku či monitoringu programu. Tedy případné další změny programu mohou být schváleny v působnosti MPSV s výjimkou případů, kdy by takovéto změny podmínek měly dopad na finanční náročnost programu ve smyslu navýšení jeho výdajů. </w:t>
      </w:r>
    </w:p>
    <w:p w14:paraId="32E82B77" w14:textId="77777777" w:rsidR="00B6623B" w:rsidRDefault="00B6623B" w:rsidP="00024BA5">
      <w:pPr>
        <w:jc w:val="center"/>
        <w:rPr>
          <w:b/>
          <w:bCs/>
          <w:color w:val="0070C0"/>
          <w:sz w:val="20"/>
          <w:szCs w:val="20"/>
        </w:rPr>
      </w:pPr>
    </w:p>
    <w:p w14:paraId="14D2D53B" w14:textId="77777777" w:rsidR="00727F65" w:rsidRDefault="00727F65" w:rsidP="00024BA5">
      <w:pPr>
        <w:jc w:val="center"/>
        <w:rPr>
          <w:b/>
          <w:bCs/>
          <w:color w:val="0070C0"/>
          <w:sz w:val="20"/>
          <w:szCs w:val="20"/>
        </w:rPr>
      </w:pPr>
    </w:p>
    <w:p w14:paraId="015B67B3" w14:textId="581F2655" w:rsidR="00024BA5" w:rsidRDefault="00EF5D8E" w:rsidP="00EF5D8E">
      <w:pPr>
        <w:rPr>
          <w:b/>
          <w:bCs/>
          <w:color w:val="0070C0"/>
          <w:sz w:val="20"/>
          <w:szCs w:val="20"/>
        </w:rPr>
      </w:pPr>
      <w:r>
        <w:rPr>
          <w:b/>
          <w:bCs/>
          <w:color w:val="0070C0"/>
          <w:sz w:val="20"/>
          <w:szCs w:val="20"/>
        </w:rPr>
        <w:lastRenderedPageBreak/>
        <w:t>Č</w:t>
      </w:r>
      <w:r w:rsidR="00024BA5" w:rsidRPr="00E74E9C">
        <w:rPr>
          <w:b/>
          <w:bCs/>
          <w:color w:val="0070C0"/>
          <w:sz w:val="20"/>
          <w:szCs w:val="20"/>
        </w:rPr>
        <w:t>lán</w:t>
      </w:r>
      <w:r>
        <w:rPr>
          <w:b/>
          <w:bCs/>
          <w:color w:val="0070C0"/>
          <w:sz w:val="20"/>
          <w:szCs w:val="20"/>
        </w:rPr>
        <w:t>e</w:t>
      </w:r>
      <w:r w:rsidR="00024BA5" w:rsidRPr="00E74E9C">
        <w:rPr>
          <w:b/>
          <w:bCs/>
          <w:color w:val="0070C0"/>
          <w:sz w:val="20"/>
          <w:szCs w:val="20"/>
        </w:rPr>
        <w:t>k I</w:t>
      </w:r>
      <w:r w:rsidR="00024BA5">
        <w:rPr>
          <w:b/>
          <w:bCs/>
          <w:color w:val="0070C0"/>
          <w:sz w:val="20"/>
          <w:szCs w:val="20"/>
        </w:rPr>
        <w:t>V</w:t>
      </w:r>
      <w:r w:rsidR="00024BA5" w:rsidRPr="00E74E9C">
        <w:rPr>
          <w:b/>
          <w:bCs/>
          <w:color w:val="0070C0"/>
          <w:sz w:val="20"/>
          <w:szCs w:val="20"/>
        </w:rPr>
        <w:t xml:space="preserve"> „Z</w:t>
      </w:r>
      <w:r w:rsidR="00024BA5">
        <w:rPr>
          <w:b/>
          <w:bCs/>
          <w:color w:val="0070C0"/>
          <w:sz w:val="20"/>
          <w:szCs w:val="20"/>
        </w:rPr>
        <w:t xml:space="preserve">aměření </w:t>
      </w:r>
      <w:r w:rsidR="00024BA5" w:rsidRPr="00E74E9C">
        <w:rPr>
          <w:b/>
          <w:bCs/>
          <w:color w:val="0070C0"/>
          <w:sz w:val="20"/>
          <w:szCs w:val="20"/>
        </w:rPr>
        <w:t xml:space="preserve">programu“ </w:t>
      </w:r>
    </w:p>
    <w:p w14:paraId="0CDE665A" w14:textId="38924609" w:rsidR="00024BA5" w:rsidRPr="00864720" w:rsidRDefault="00024BA5" w:rsidP="00024BA5">
      <w:pPr>
        <w:pStyle w:val="Odstavecseseznamem"/>
        <w:numPr>
          <w:ilvl w:val="0"/>
          <w:numId w:val="9"/>
        </w:numPr>
        <w:ind w:left="357" w:hanging="357"/>
        <w:contextualSpacing w:val="0"/>
        <w:jc w:val="both"/>
        <w:rPr>
          <w:sz w:val="20"/>
          <w:szCs w:val="20"/>
        </w:rPr>
      </w:pPr>
      <w:r w:rsidRPr="00864720">
        <w:rPr>
          <w:sz w:val="20"/>
          <w:szCs w:val="20"/>
        </w:rPr>
        <w:t xml:space="preserve">Účelem </w:t>
      </w:r>
      <w:r>
        <w:rPr>
          <w:sz w:val="20"/>
          <w:szCs w:val="20"/>
        </w:rPr>
        <w:t>programu</w:t>
      </w:r>
      <w:r w:rsidRPr="00864720">
        <w:rPr>
          <w:sz w:val="20"/>
          <w:szCs w:val="20"/>
        </w:rPr>
        <w:t xml:space="preserve"> </w:t>
      </w:r>
      <w:r w:rsidR="00217B90">
        <w:rPr>
          <w:sz w:val="20"/>
          <w:szCs w:val="20"/>
        </w:rPr>
        <w:t>„</w:t>
      </w:r>
      <w:r w:rsidRPr="00864720">
        <w:rPr>
          <w:sz w:val="20"/>
          <w:szCs w:val="20"/>
        </w:rPr>
        <w:t>Povodeň 2024</w:t>
      </w:r>
      <w:r w:rsidR="00D167A4">
        <w:rPr>
          <w:sz w:val="20"/>
          <w:szCs w:val="20"/>
        </w:rPr>
        <w:t>, režim Sanace“</w:t>
      </w:r>
      <w:r w:rsidRPr="00864720">
        <w:rPr>
          <w:sz w:val="20"/>
          <w:szCs w:val="20"/>
        </w:rPr>
        <w:t xml:space="preserve"> je </w:t>
      </w:r>
      <w:r w:rsidRPr="00864720">
        <w:rPr>
          <w:b/>
          <w:bCs/>
          <w:sz w:val="20"/>
          <w:szCs w:val="20"/>
        </w:rPr>
        <w:t xml:space="preserve">poskytnutí příspěvku zaměstnavatelům, kteří v přímém důsledku povodní nastalých od 13. září 2024 </w:t>
      </w:r>
      <w:r w:rsidRPr="00A14105">
        <w:rPr>
          <w:i/>
          <w:iCs/>
          <w:sz w:val="20"/>
          <w:szCs w:val="20"/>
        </w:rPr>
        <w:t xml:space="preserve">(dále jen „živelní událost“) </w:t>
      </w:r>
      <w:r w:rsidRPr="00864720">
        <w:rPr>
          <w:b/>
          <w:bCs/>
          <w:sz w:val="20"/>
          <w:szCs w:val="20"/>
        </w:rPr>
        <w:t>nejsou schopni svým zaměstnancům přidělovat práci</w:t>
      </w:r>
      <w:r w:rsidRPr="00864720">
        <w:rPr>
          <w:sz w:val="20"/>
          <w:szCs w:val="20"/>
        </w:rPr>
        <w:t xml:space="preserve"> ve sjednaném rozsahu a z tohoto důvodu u nich vznikají </w:t>
      </w:r>
      <w:r w:rsidRPr="00024BA5">
        <w:rPr>
          <w:b/>
          <w:bCs/>
          <w:sz w:val="20"/>
          <w:szCs w:val="20"/>
        </w:rPr>
        <w:t>příslušné překážky v práci</w:t>
      </w:r>
      <w:r w:rsidRPr="00864720">
        <w:rPr>
          <w:sz w:val="20"/>
          <w:szCs w:val="20"/>
        </w:rPr>
        <w:t xml:space="preserve"> podle zákoníku práce, a kteří z tohoto důvodu vyplácejí zaměstnancům příslušné náhrady mezd</w:t>
      </w:r>
      <w:r>
        <w:rPr>
          <w:sz w:val="20"/>
          <w:szCs w:val="20"/>
        </w:rPr>
        <w:t xml:space="preserve"> nebo zaměstnance </w:t>
      </w:r>
      <w:r w:rsidRPr="00024BA5">
        <w:rPr>
          <w:b/>
          <w:bCs/>
          <w:sz w:val="20"/>
          <w:szCs w:val="20"/>
        </w:rPr>
        <w:t>převedli na jinou práci</w:t>
      </w:r>
      <w:r w:rsidRPr="00864720">
        <w:rPr>
          <w:sz w:val="20"/>
          <w:szCs w:val="20"/>
        </w:rPr>
        <w:t xml:space="preserve">. </w:t>
      </w:r>
    </w:p>
    <w:p w14:paraId="79AEB3A5" w14:textId="28CA9C48" w:rsidR="00024BA5" w:rsidRPr="00864720" w:rsidRDefault="00024BA5" w:rsidP="00024BA5">
      <w:pPr>
        <w:pStyle w:val="Odstavecseseznamem"/>
        <w:numPr>
          <w:ilvl w:val="0"/>
          <w:numId w:val="9"/>
        </w:numPr>
        <w:contextualSpacing w:val="0"/>
        <w:jc w:val="both"/>
        <w:rPr>
          <w:rFonts w:cs="Arial"/>
          <w:sz w:val="20"/>
          <w:szCs w:val="20"/>
        </w:rPr>
      </w:pPr>
      <w:r w:rsidRPr="00864720">
        <w:rPr>
          <w:rFonts w:cs="Arial"/>
          <w:sz w:val="20"/>
          <w:szCs w:val="20"/>
        </w:rPr>
        <w:t xml:space="preserve">Příspěvek je určen zaměstnavatelům v případě, že jejich provozovna nebo sídlo se nachází </w:t>
      </w:r>
      <w:r>
        <w:rPr>
          <w:rFonts w:cs="Arial"/>
          <w:sz w:val="20"/>
          <w:szCs w:val="20"/>
        </w:rPr>
        <w:t xml:space="preserve">na území, na němž byl v souvislosti s povodní nastalou od 13. září 2024 vyhlášen </w:t>
      </w:r>
      <w:r w:rsidRPr="00024BA5">
        <w:rPr>
          <w:rFonts w:cs="Arial"/>
          <w:b/>
          <w:bCs/>
          <w:sz w:val="20"/>
          <w:szCs w:val="20"/>
        </w:rPr>
        <w:t>stav nebezpečí</w:t>
      </w:r>
      <w:r>
        <w:rPr>
          <w:rFonts w:cs="Arial"/>
          <w:sz w:val="20"/>
          <w:szCs w:val="20"/>
        </w:rPr>
        <w:t xml:space="preserve">, tj. ve správním obvodu obcí s rozšířenou působností </w:t>
      </w:r>
      <w:r w:rsidRPr="00024BA5">
        <w:rPr>
          <w:rFonts w:cs="Arial"/>
          <w:b/>
          <w:bCs/>
          <w:sz w:val="20"/>
          <w:szCs w:val="20"/>
        </w:rPr>
        <w:t xml:space="preserve">Krnov, Bruntál, Bohumín, Opava, Ostrava, Jeseník, Šumperk, Frýdlant </w:t>
      </w:r>
      <w:r w:rsidRPr="00A14105">
        <w:rPr>
          <w:rFonts w:cs="Arial"/>
          <w:i/>
          <w:iCs/>
          <w:sz w:val="20"/>
          <w:szCs w:val="20"/>
        </w:rPr>
        <w:t>(dále jen „nejvíce zasažená oblast“).</w:t>
      </w:r>
      <w:r w:rsidRPr="00864720">
        <w:rPr>
          <w:rFonts w:cs="Arial"/>
          <w:sz w:val="20"/>
          <w:szCs w:val="20"/>
        </w:rPr>
        <w:t xml:space="preserve">  </w:t>
      </w:r>
    </w:p>
    <w:p w14:paraId="64FB6919" w14:textId="6D0952BB" w:rsidR="00060F6B" w:rsidRPr="00864720" w:rsidRDefault="00060F6B" w:rsidP="00060F6B">
      <w:pPr>
        <w:pStyle w:val="Daltextbodudohody"/>
        <w:numPr>
          <w:ilvl w:val="0"/>
          <w:numId w:val="9"/>
        </w:numPr>
      </w:pPr>
      <w:r w:rsidRPr="00864720">
        <w:rPr>
          <w:b/>
          <w:bCs/>
        </w:rPr>
        <w:t>Konkrétně je příspěvek určen zaměstnavatelům, u kterých</w:t>
      </w:r>
      <w:r w:rsidR="00217B90">
        <w:rPr>
          <w:b/>
          <w:bCs/>
        </w:rPr>
        <w:t xml:space="preserve"> v uznatelném období (článek VI) trvala</w:t>
      </w:r>
      <w:r w:rsidRPr="00864720">
        <w:rPr>
          <w:b/>
          <w:bCs/>
        </w:rPr>
        <w:t xml:space="preserve"> některá z těchto situací</w:t>
      </w:r>
      <w:r w:rsidRPr="00864720">
        <w:t>:</w:t>
      </w:r>
    </w:p>
    <w:p w14:paraId="1BFBC5B7" w14:textId="77777777" w:rsidR="00060F6B" w:rsidRPr="00864720" w:rsidRDefault="00060F6B" w:rsidP="00060F6B">
      <w:pPr>
        <w:pStyle w:val="Odstavecseseznamem"/>
        <w:rPr>
          <w:sz w:val="20"/>
          <w:szCs w:val="20"/>
        </w:rPr>
      </w:pPr>
    </w:p>
    <w:p w14:paraId="24DCCAF5" w14:textId="67CD1975" w:rsidR="00060F6B" w:rsidRPr="00864720" w:rsidRDefault="00060F6B" w:rsidP="00060F6B">
      <w:pPr>
        <w:pStyle w:val="Odstavecseseznamem"/>
        <w:numPr>
          <w:ilvl w:val="1"/>
          <w:numId w:val="9"/>
        </w:numPr>
        <w:spacing w:after="120" w:line="240" w:lineRule="auto"/>
        <w:ind w:left="788" w:hanging="431"/>
        <w:contextualSpacing w:val="0"/>
        <w:jc w:val="both"/>
        <w:rPr>
          <w:rFonts w:cs="Arial"/>
          <w:sz w:val="20"/>
          <w:szCs w:val="20"/>
        </w:rPr>
      </w:pPr>
      <w:r w:rsidRPr="00864720">
        <w:rPr>
          <w:rFonts w:cs="Arial"/>
          <w:sz w:val="20"/>
          <w:szCs w:val="20"/>
        </w:rPr>
        <w:t xml:space="preserve">Zaměstnavatel je přímo zasažen živelní událostí, tj. </w:t>
      </w:r>
      <w:r w:rsidRPr="00864720">
        <w:rPr>
          <w:rFonts w:cs="Arial"/>
          <w:b/>
          <w:bCs/>
          <w:sz w:val="20"/>
          <w:szCs w:val="20"/>
        </w:rPr>
        <w:t>jeho sídlo či provozovna se nachází v</w:t>
      </w:r>
      <w:r>
        <w:rPr>
          <w:rFonts w:cs="Arial"/>
          <w:b/>
          <w:bCs/>
          <w:sz w:val="20"/>
          <w:szCs w:val="20"/>
        </w:rPr>
        <w:t xml:space="preserve"> nejvíce </w:t>
      </w:r>
      <w:r w:rsidRPr="00864720">
        <w:rPr>
          <w:rFonts w:cs="Arial"/>
          <w:b/>
          <w:bCs/>
          <w:sz w:val="20"/>
          <w:szCs w:val="20"/>
        </w:rPr>
        <w:t>zasažené oblasti</w:t>
      </w:r>
      <w:r w:rsidRPr="00864720">
        <w:rPr>
          <w:rFonts w:cs="Arial"/>
          <w:sz w:val="20"/>
          <w:szCs w:val="20"/>
        </w:rPr>
        <w:t xml:space="preserve">. Zaměstnavatel byl nucen z důvodu škod na majetku ve svém sídle či provozovně přerušit práci. V tomto případě se jedná o překážku v práci na straně zaměstnavatele </w:t>
      </w:r>
      <w:r w:rsidRPr="00864720">
        <w:rPr>
          <w:rFonts w:cs="Arial"/>
          <w:b/>
          <w:bCs/>
          <w:sz w:val="20"/>
          <w:szCs w:val="20"/>
        </w:rPr>
        <w:t>[§ 207 písm. b) zákoníku práce]</w:t>
      </w:r>
      <w:r w:rsidR="00C13941">
        <w:rPr>
          <w:rFonts w:cs="Arial"/>
          <w:b/>
          <w:bCs/>
          <w:sz w:val="20"/>
          <w:szCs w:val="20"/>
        </w:rPr>
        <w:t xml:space="preserve">, </w:t>
      </w:r>
      <w:r w:rsidR="00C13941" w:rsidRPr="00C13941">
        <w:rPr>
          <w:rFonts w:cs="Arial"/>
          <w:sz w:val="20"/>
          <w:szCs w:val="20"/>
        </w:rPr>
        <w:t xml:space="preserve">a nebyl-li zaměstnanec převeden na jinou práci, </w:t>
      </w:r>
      <w:r w:rsidR="00D513A4">
        <w:rPr>
          <w:rFonts w:cs="Arial"/>
          <w:sz w:val="20"/>
          <w:szCs w:val="20"/>
        </w:rPr>
        <w:t xml:space="preserve">zaměstnavatel mu vyplácí </w:t>
      </w:r>
      <w:r w:rsidRPr="00C13941">
        <w:rPr>
          <w:rFonts w:cs="Arial"/>
          <w:sz w:val="20"/>
          <w:szCs w:val="20"/>
        </w:rPr>
        <w:t>náhrad</w:t>
      </w:r>
      <w:r w:rsidR="00D513A4">
        <w:rPr>
          <w:rFonts w:cs="Arial"/>
          <w:sz w:val="20"/>
          <w:szCs w:val="20"/>
        </w:rPr>
        <w:t>u</w:t>
      </w:r>
      <w:r w:rsidRPr="00C13941">
        <w:rPr>
          <w:rFonts w:cs="Arial"/>
          <w:sz w:val="20"/>
          <w:szCs w:val="20"/>
        </w:rPr>
        <w:t xml:space="preserve"> mzdy v souladu se zákoníkem </w:t>
      </w:r>
      <w:r w:rsidRPr="00864720">
        <w:rPr>
          <w:rFonts w:cs="Arial"/>
          <w:sz w:val="20"/>
          <w:szCs w:val="20"/>
        </w:rPr>
        <w:t>práce ve výši nejméně 60 % průměrného výdělku.</w:t>
      </w:r>
    </w:p>
    <w:p w14:paraId="4562EBCD" w14:textId="42839CB5" w:rsidR="00060F6B" w:rsidRPr="00060F6B" w:rsidRDefault="00060F6B" w:rsidP="00060F6B">
      <w:pPr>
        <w:pStyle w:val="Odstavecseseznamem"/>
        <w:numPr>
          <w:ilvl w:val="1"/>
          <w:numId w:val="9"/>
        </w:numPr>
        <w:spacing w:after="120" w:line="240" w:lineRule="auto"/>
        <w:ind w:left="788" w:hanging="431"/>
        <w:contextualSpacing w:val="0"/>
        <w:jc w:val="both"/>
        <w:rPr>
          <w:rFonts w:cs="Arial"/>
          <w:sz w:val="20"/>
          <w:szCs w:val="20"/>
        </w:rPr>
      </w:pPr>
      <w:r w:rsidRPr="00864720">
        <w:rPr>
          <w:rFonts w:cs="Arial"/>
          <w:b/>
          <w:bCs/>
          <w:sz w:val="20"/>
          <w:szCs w:val="20"/>
        </w:rPr>
        <w:t>Provozovna</w:t>
      </w:r>
      <w:r w:rsidRPr="00864720">
        <w:rPr>
          <w:rFonts w:cs="Arial"/>
          <w:sz w:val="20"/>
          <w:szCs w:val="20"/>
        </w:rPr>
        <w:t xml:space="preserve"> zaměstnavatele se </w:t>
      </w:r>
      <w:r w:rsidRPr="00864720">
        <w:rPr>
          <w:rFonts w:cs="Arial"/>
          <w:b/>
          <w:bCs/>
          <w:sz w:val="20"/>
          <w:szCs w:val="20"/>
        </w:rPr>
        <w:t>nachází v</w:t>
      </w:r>
      <w:r>
        <w:rPr>
          <w:rFonts w:cs="Arial"/>
          <w:b/>
          <w:bCs/>
          <w:sz w:val="20"/>
          <w:szCs w:val="20"/>
        </w:rPr>
        <w:t xml:space="preserve"> nejvíce </w:t>
      </w:r>
      <w:r w:rsidRPr="00864720">
        <w:rPr>
          <w:rFonts w:cs="Arial"/>
          <w:b/>
          <w:bCs/>
          <w:sz w:val="20"/>
          <w:szCs w:val="20"/>
        </w:rPr>
        <w:t>zasažené oblasti</w:t>
      </w:r>
      <w:r w:rsidRPr="00864720">
        <w:rPr>
          <w:rFonts w:cs="Arial"/>
          <w:sz w:val="20"/>
          <w:szCs w:val="20"/>
        </w:rPr>
        <w:t xml:space="preserve"> a zaměstnavatel byl z důvodu výpadku dodávek energie nebo surovin nucen přerušit práci v provozovně. V tomto případě se jedná o prostoj </w:t>
      </w:r>
      <w:r w:rsidRPr="00864720">
        <w:rPr>
          <w:rFonts w:cs="Arial"/>
          <w:b/>
          <w:bCs/>
          <w:sz w:val="20"/>
          <w:szCs w:val="20"/>
          <w:lang w:val="en-US"/>
        </w:rPr>
        <w:t xml:space="preserve">[§ 207 </w:t>
      </w:r>
      <w:proofErr w:type="spellStart"/>
      <w:r w:rsidRPr="00864720">
        <w:rPr>
          <w:rFonts w:cs="Arial"/>
          <w:b/>
          <w:bCs/>
          <w:sz w:val="20"/>
          <w:szCs w:val="20"/>
          <w:lang w:val="en-US"/>
        </w:rPr>
        <w:t>písm</w:t>
      </w:r>
      <w:proofErr w:type="spellEnd"/>
      <w:r w:rsidRPr="00864720">
        <w:rPr>
          <w:rFonts w:cs="Arial"/>
          <w:b/>
          <w:bCs/>
          <w:sz w:val="20"/>
          <w:szCs w:val="20"/>
          <w:lang w:val="en-US"/>
        </w:rPr>
        <w:t>. a</w:t>
      </w:r>
      <w:r w:rsidRPr="00F30981">
        <w:rPr>
          <w:rFonts w:cs="Arial"/>
          <w:b/>
          <w:bCs/>
          <w:sz w:val="20"/>
          <w:szCs w:val="20"/>
        </w:rPr>
        <w:t>) zákoníku práce</w:t>
      </w:r>
      <w:r w:rsidRPr="00864720">
        <w:rPr>
          <w:rFonts w:cs="Arial"/>
          <w:sz w:val="20"/>
          <w:szCs w:val="20"/>
          <w:lang w:val="en-US"/>
        </w:rPr>
        <w:t>]</w:t>
      </w:r>
      <w:r w:rsidRPr="00864720">
        <w:rPr>
          <w:rFonts w:cs="Arial"/>
          <w:sz w:val="20"/>
          <w:szCs w:val="20"/>
        </w:rPr>
        <w:t>, a nebyl-li zaměstnanec</w:t>
      </w:r>
      <w:r w:rsidRPr="00864720">
        <w:rPr>
          <w:rFonts w:cs="Arial"/>
          <w:sz w:val="20"/>
          <w:szCs w:val="20"/>
          <w:shd w:val="clear" w:color="auto" w:fill="FFFFFF"/>
        </w:rPr>
        <w:t xml:space="preserve"> převeden na jinou práci, </w:t>
      </w:r>
      <w:r w:rsidR="00D513A4">
        <w:rPr>
          <w:rFonts w:cs="Arial"/>
          <w:sz w:val="20"/>
          <w:szCs w:val="20"/>
          <w:shd w:val="clear" w:color="auto" w:fill="FFFFFF"/>
        </w:rPr>
        <w:t xml:space="preserve">zaměstnavatel mu vyplácí náhradu mzdy v souladu se zákoníkem práce ve </w:t>
      </w:r>
      <w:r w:rsidRPr="00864720">
        <w:rPr>
          <w:rFonts w:cs="Arial"/>
          <w:sz w:val="20"/>
          <w:szCs w:val="20"/>
          <w:shd w:val="clear" w:color="auto" w:fill="FFFFFF"/>
        </w:rPr>
        <w:t>výši nejméně 80 % průměrného výdělku.</w:t>
      </w:r>
    </w:p>
    <w:p w14:paraId="2D72CF8A" w14:textId="01E36FFE" w:rsidR="00060F6B" w:rsidRDefault="00DE4921" w:rsidP="00060F6B">
      <w:pPr>
        <w:pStyle w:val="Odstavecseseznamem"/>
        <w:numPr>
          <w:ilvl w:val="1"/>
          <w:numId w:val="9"/>
        </w:numPr>
        <w:spacing w:after="120" w:line="240" w:lineRule="auto"/>
        <w:ind w:left="788" w:hanging="431"/>
        <w:contextualSpacing w:val="0"/>
        <w:jc w:val="both"/>
        <w:rPr>
          <w:rFonts w:cs="Arial"/>
          <w:sz w:val="20"/>
          <w:szCs w:val="20"/>
        </w:rPr>
      </w:pPr>
      <w:r w:rsidRPr="00DE4921">
        <w:rPr>
          <w:rFonts w:cs="Arial"/>
          <w:b/>
          <w:bCs/>
          <w:sz w:val="20"/>
          <w:szCs w:val="20"/>
        </w:rPr>
        <w:t>Provozovna</w:t>
      </w:r>
      <w:r>
        <w:rPr>
          <w:rFonts w:cs="Arial"/>
          <w:sz w:val="20"/>
          <w:szCs w:val="20"/>
        </w:rPr>
        <w:t xml:space="preserve"> zaměstnavatele se </w:t>
      </w:r>
      <w:r w:rsidRPr="00DE4921">
        <w:rPr>
          <w:rFonts w:cs="Arial"/>
          <w:b/>
          <w:bCs/>
          <w:sz w:val="20"/>
          <w:szCs w:val="20"/>
        </w:rPr>
        <w:t>nachází v nejvíce zasažené oblasti</w:t>
      </w:r>
      <w:r>
        <w:rPr>
          <w:rFonts w:cs="Arial"/>
          <w:sz w:val="20"/>
          <w:szCs w:val="20"/>
        </w:rPr>
        <w:t xml:space="preserve"> a zaměstnavatel byl nucen z důvodu </w:t>
      </w:r>
      <w:r w:rsidR="00060F6B">
        <w:rPr>
          <w:rFonts w:cs="Arial"/>
          <w:sz w:val="20"/>
          <w:szCs w:val="20"/>
        </w:rPr>
        <w:t>jin</w:t>
      </w:r>
      <w:r>
        <w:rPr>
          <w:rFonts w:cs="Arial"/>
          <w:sz w:val="20"/>
          <w:szCs w:val="20"/>
        </w:rPr>
        <w:t>é</w:t>
      </w:r>
      <w:r w:rsidR="00060F6B">
        <w:rPr>
          <w:rFonts w:cs="Arial"/>
          <w:sz w:val="20"/>
          <w:szCs w:val="20"/>
        </w:rPr>
        <w:t xml:space="preserve"> překážk</w:t>
      </w:r>
      <w:r>
        <w:rPr>
          <w:rFonts w:cs="Arial"/>
          <w:sz w:val="20"/>
          <w:szCs w:val="20"/>
        </w:rPr>
        <w:t>y</w:t>
      </w:r>
      <w:r w:rsidR="00060F6B">
        <w:rPr>
          <w:rFonts w:cs="Arial"/>
          <w:sz w:val="20"/>
          <w:szCs w:val="20"/>
        </w:rPr>
        <w:t xml:space="preserve"> v práci, než jaká je uvedena v § 207 zákoníku práce</w:t>
      </w:r>
      <w:r>
        <w:rPr>
          <w:rFonts w:cs="Arial"/>
          <w:sz w:val="20"/>
          <w:szCs w:val="20"/>
        </w:rPr>
        <w:t>, přerušit práci</w:t>
      </w:r>
      <w:r w:rsidR="00060F6B">
        <w:rPr>
          <w:rFonts w:cs="Arial"/>
          <w:sz w:val="20"/>
          <w:szCs w:val="20"/>
        </w:rPr>
        <w:t xml:space="preserve">. </w:t>
      </w:r>
      <w:r w:rsidR="00060F6B" w:rsidRPr="00864720">
        <w:rPr>
          <w:rFonts w:cs="Arial"/>
          <w:sz w:val="20"/>
          <w:szCs w:val="20"/>
        </w:rPr>
        <w:t xml:space="preserve">V tomto případě se jedná o </w:t>
      </w:r>
      <w:r w:rsidR="00060F6B">
        <w:rPr>
          <w:rFonts w:cs="Arial"/>
          <w:sz w:val="20"/>
          <w:szCs w:val="20"/>
        </w:rPr>
        <w:t xml:space="preserve">jinou </w:t>
      </w:r>
      <w:r w:rsidR="00060F6B" w:rsidRPr="00864720">
        <w:rPr>
          <w:rFonts w:cs="Arial"/>
          <w:sz w:val="20"/>
          <w:szCs w:val="20"/>
        </w:rPr>
        <w:t xml:space="preserve">překážku v práci na straně zaměstnavatele </w:t>
      </w:r>
      <w:r w:rsidR="00060F6B" w:rsidRPr="00864720">
        <w:rPr>
          <w:rFonts w:cs="Arial"/>
          <w:b/>
          <w:bCs/>
          <w:sz w:val="20"/>
          <w:szCs w:val="20"/>
        </w:rPr>
        <w:t>[§ 20</w:t>
      </w:r>
      <w:r w:rsidR="00060F6B">
        <w:rPr>
          <w:rFonts w:cs="Arial"/>
          <w:b/>
          <w:bCs/>
          <w:sz w:val="20"/>
          <w:szCs w:val="20"/>
        </w:rPr>
        <w:t>8</w:t>
      </w:r>
      <w:r w:rsidR="00060F6B" w:rsidRPr="00864720">
        <w:rPr>
          <w:rFonts w:cs="Arial"/>
          <w:b/>
          <w:bCs/>
          <w:sz w:val="20"/>
          <w:szCs w:val="20"/>
        </w:rPr>
        <w:t xml:space="preserve"> zákoníku práce]</w:t>
      </w:r>
      <w:r w:rsidR="00060F6B" w:rsidRPr="00864720">
        <w:rPr>
          <w:rFonts w:cs="Arial"/>
          <w:sz w:val="20"/>
          <w:szCs w:val="20"/>
        </w:rPr>
        <w:t>.</w:t>
      </w:r>
      <w:r w:rsidR="00060F6B" w:rsidRPr="00060F6B">
        <w:rPr>
          <w:rFonts w:cs="Arial"/>
          <w:sz w:val="20"/>
          <w:szCs w:val="20"/>
        </w:rPr>
        <w:t xml:space="preserve"> </w:t>
      </w:r>
      <w:r w:rsidR="00060F6B" w:rsidRPr="00864720">
        <w:rPr>
          <w:rFonts w:cs="Arial"/>
          <w:sz w:val="20"/>
          <w:szCs w:val="20"/>
        </w:rPr>
        <w:t>Zaměstnavatel vyplácí zaměstnancům náhradu mzdy v souladu se zákoníkem práce ve výši průměrného výdělku</w:t>
      </w:r>
      <w:r w:rsidR="001B1ACC">
        <w:rPr>
          <w:rFonts w:cs="Arial"/>
          <w:sz w:val="20"/>
          <w:szCs w:val="20"/>
        </w:rPr>
        <w:t>.</w:t>
      </w:r>
    </w:p>
    <w:p w14:paraId="4F89605F" w14:textId="6B506512" w:rsidR="00665EAB" w:rsidRPr="00665EAB" w:rsidRDefault="00DE4921" w:rsidP="00665EAB">
      <w:pPr>
        <w:pStyle w:val="Odstavecseseznamem"/>
        <w:numPr>
          <w:ilvl w:val="1"/>
          <w:numId w:val="9"/>
        </w:numPr>
        <w:spacing w:after="120" w:line="240" w:lineRule="auto"/>
        <w:ind w:left="788" w:hanging="431"/>
        <w:contextualSpacing w:val="0"/>
        <w:jc w:val="both"/>
        <w:rPr>
          <w:rFonts w:cs="Arial"/>
          <w:sz w:val="20"/>
          <w:szCs w:val="20"/>
        </w:rPr>
      </w:pPr>
      <w:r w:rsidRPr="00665EAB">
        <w:rPr>
          <w:rFonts w:cs="Arial"/>
          <w:sz w:val="20"/>
          <w:szCs w:val="20"/>
        </w:rPr>
        <w:t xml:space="preserve">Zaměstnavatel je přímo zasažen živelní událostí, tj. </w:t>
      </w:r>
      <w:r w:rsidRPr="00665EAB">
        <w:rPr>
          <w:rFonts w:cs="Arial"/>
          <w:b/>
          <w:bCs/>
          <w:sz w:val="20"/>
          <w:szCs w:val="20"/>
        </w:rPr>
        <w:t>jeho sídlo či provozovna se nachází v nejvíce zasažené oblasti</w:t>
      </w:r>
      <w:r w:rsidRPr="00665EAB">
        <w:rPr>
          <w:rFonts w:cs="Arial"/>
          <w:sz w:val="20"/>
          <w:szCs w:val="20"/>
        </w:rPr>
        <w:t xml:space="preserve">. Zaměstnavatel byl nucen z důvodu nutnosti likvidace škod na majetku ve svém sídle či provozovně </w:t>
      </w:r>
      <w:r w:rsidRPr="00665EAB">
        <w:rPr>
          <w:rFonts w:cs="Arial"/>
          <w:b/>
          <w:bCs/>
          <w:sz w:val="20"/>
          <w:szCs w:val="20"/>
        </w:rPr>
        <w:t xml:space="preserve">převést zaměstnance na jinou práci v souladu s ustanovením § 41 odst. </w:t>
      </w:r>
      <w:r w:rsidR="006B03BC">
        <w:rPr>
          <w:rFonts w:cs="Arial"/>
          <w:b/>
          <w:bCs/>
          <w:sz w:val="20"/>
          <w:szCs w:val="20"/>
        </w:rPr>
        <w:t xml:space="preserve">4 </w:t>
      </w:r>
      <w:r w:rsidR="006B03BC" w:rsidRPr="003F6FE2">
        <w:rPr>
          <w:rFonts w:cs="Arial"/>
          <w:sz w:val="20"/>
          <w:szCs w:val="20"/>
        </w:rPr>
        <w:t>nebo</w:t>
      </w:r>
      <w:r w:rsidR="003F6FE2" w:rsidRPr="003F6FE2">
        <w:rPr>
          <w:rFonts w:cs="Arial"/>
          <w:sz w:val="20"/>
          <w:szCs w:val="20"/>
        </w:rPr>
        <w:t xml:space="preserve"> z důvodu prostoje v souladu s ustanovením</w:t>
      </w:r>
      <w:r w:rsidR="003F6FE2">
        <w:rPr>
          <w:rFonts w:cs="Arial"/>
          <w:b/>
          <w:bCs/>
          <w:sz w:val="20"/>
          <w:szCs w:val="20"/>
        </w:rPr>
        <w:t xml:space="preserve"> § 41 odst.</w:t>
      </w:r>
      <w:r w:rsidR="006B03BC">
        <w:rPr>
          <w:rFonts w:cs="Arial"/>
          <w:b/>
          <w:bCs/>
          <w:sz w:val="20"/>
          <w:szCs w:val="20"/>
        </w:rPr>
        <w:t xml:space="preserve"> </w:t>
      </w:r>
      <w:r w:rsidRPr="00665EAB">
        <w:rPr>
          <w:rFonts w:cs="Arial"/>
          <w:b/>
          <w:bCs/>
          <w:sz w:val="20"/>
          <w:szCs w:val="20"/>
        </w:rPr>
        <w:t>5 zákoníku práce</w:t>
      </w:r>
      <w:r w:rsidRPr="00665EAB">
        <w:rPr>
          <w:rFonts w:cs="Arial"/>
          <w:sz w:val="20"/>
          <w:szCs w:val="20"/>
        </w:rPr>
        <w:t xml:space="preserve">. </w:t>
      </w:r>
      <w:r w:rsidR="00665EAB" w:rsidRPr="00665EAB">
        <w:rPr>
          <w:rFonts w:cs="Arial"/>
          <w:sz w:val="20"/>
          <w:szCs w:val="20"/>
        </w:rPr>
        <w:t xml:space="preserve">Zaměstnavatel vyplácí zaměstnancům mzdu podle vykonávané práce. Zaměstnavatel tímto postupem nemůže zaměstnance znevýhodnit na mzdě, resp. pokud by mzda zaměstnance byla nižší než mzda, která zaměstnanci náležela před převedením, </w:t>
      </w:r>
      <w:r w:rsidR="003F6FE2">
        <w:rPr>
          <w:rFonts w:cs="Arial"/>
          <w:sz w:val="20"/>
          <w:szCs w:val="20"/>
        </w:rPr>
        <w:t>zaměstnavatel musí</w:t>
      </w:r>
      <w:r w:rsidR="00665EAB" w:rsidRPr="00665EAB">
        <w:rPr>
          <w:rFonts w:cs="Arial"/>
          <w:sz w:val="20"/>
          <w:szCs w:val="20"/>
        </w:rPr>
        <w:t xml:space="preserve"> zaměstnanci</w:t>
      </w:r>
      <w:r w:rsidR="003F6FE2">
        <w:rPr>
          <w:rFonts w:cs="Arial"/>
          <w:sz w:val="20"/>
          <w:szCs w:val="20"/>
        </w:rPr>
        <w:t xml:space="preserve"> vyplatit</w:t>
      </w:r>
      <w:r w:rsidR="00665EAB" w:rsidRPr="00665EAB">
        <w:rPr>
          <w:rFonts w:cs="Arial"/>
          <w:sz w:val="20"/>
          <w:szCs w:val="20"/>
        </w:rPr>
        <w:t xml:space="preserve"> podle § 139 odst. 1 písm. </w:t>
      </w:r>
      <w:r w:rsidR="006B03BC">
        <w:rPr>
          <w:rFonts w:cs="Arial"/>
          <w:sz w:val="20"/>
          <w:szCs w:val="20"/>
        </w:rPr>
        <w:t xml:space="preserve">c) nebo </w:t>
      </w:r>
      <w:r w:rsidR="00665EAB" w:rsidRPr="00665EAB">
        <w:rPr>
          <w:rFonts w:cs="Arial"/>
          <w:sz w:val="20"/>
          <w:szCs w:val="20"/>
        </w:rPr>
        <w:t xml:space="preserve">d) zákoníku práce doplatek do výše průměrného výdělku. </w:t>
      </w:r>
    </w:p>
    <w:p w14:paraId="471BCEBF" w14:textId="4615257A" w:rsidR="00060F6B" w:rsidRDefault="00060F6B" w:rsidP="00060F6B">
      <w:pPr>
        <w:pStyle w:val="Odstavecseseznamem"/>
        <w:ind w:left="1068"/>
        <w:jc w:val="both"/>
        <w:rPr>
          <w:rFonts w:cs="Arial"/>
          <w:i/>
          <w:iCs/>
          <w:sz w:val="20"/>
          <w:szCs w:val="20"/>
        </w:rPr>
      </w:pPr>
      <w:r w:rsidRPr="00864720">
        <w:rPr>
          <w:rFonts w:cs="Arial"/>
          <w:i/>
          <w:iCs/>
          <w:sz w:val="20"/>
          <w:szCs w:val="20"/>
        </w:rPr>
        <w:t>(dále jen „</w:t>
      </w:r>
      <w:r w:rsidR="006B03BC">
        <w:rPr>
          <w:rFonts w:cs="Arial"/>
          <w:i/>
          <w:iCs/>
          <w:sz w:val="20"/>
          <w:szCs w:val="20"/>
        </w:rPr>
        <w:t xml:space="preserve">příslušná </w:t>
      </w:r>
      <w:r w:rsidR="00665EAB">
        <w:rPr>
          <w:rFonts w:cs="Arial"/>
          <w:i/>
          <w:iCs/>
          <w:sz w:val="20"/>
          <w:szCs w:val="20"/>
        </w:rPr>
        <w:t>situace</w:t>
      </w:r>
      <w:r w:rsidR="00D167A4">
        <w:rPr>
          <w:rFonts w:cs="Arial"/>
          <w:i/>
          <w:iCs/>
          <w:sz w:val="20"/>
          <w:szCs w:val="20"/>
        </w:rPr>
        <w:t xml:space="preserve"> režimu Sanace</w:t>
      </w:r>
      <w:r w:rsidRPr="00864720">
        <w:rPr>
          <w:rFonts w:cs="Arial"/>
          <w:i/>
          <w:iCs/>
          <w:sz w:val="20"/>
          <w:szCs w:val="20"/>
        </w:rPr>
        <w:t>“)</w:t>
      </w:r>
    </w:p>
    <w:p w14:paraId="2C174587" w14:textId="77777777" w:rsidR="006B03BC" w:rsidRDefault="006B03BC" w:rsidP="00060F6B">
      <w:pPr>
        <w:pStyle w:val="Odstavecseseznamem"/>
        <w:ind w:left="1068"/>
        <w:jc w:val="both"/>
        <w:rPr>
          <w:rFonts w:cs="Arial"/>
          <w:i/>
          <w:iCs/>
          <w:sz w:val="20"/>
          <w:szCs w:val="20"/>
        </w:rPr>
      </w:pPr>
    </w:p>
    <w:p w14:paraId="5F7A5B4D" w14:textId="77777777" w:rsidR="006B03BC" w:rsidRPr="003F63F7" w:rsidRDefault="006B03BC" w:rsidP="006B03BC">
      <w:pPr>
        <w:pStyle w:val="Odstavecseseznamem"/>
        <w:numPr>
          <w:ilvl w:val="0"/>
          <w:numId w:val="9"/>
        </w:numPr>
        <w:ind w:left="357" w:hanging="357"/>
        <w:contextualSpacing w:val="0"/>
        <w:jc w:val="both"/>
        <w:rPr>
          <w:b/>
          <w:bCs/>
          <w:sz w:val="20"/>
          <w:szCs w:val="20"/>
        </w:rPr>
      </w:pPr>
      <w:r w:rsidRPr="003F63F7">
        <w:rPr>
          <w:b/>
          <w:bCs/>
          <w:sz w:val="20"/>
          <w:szCs w:val="20"/>
        </w:rPr>
        <w:t>Příspěvek je určen na krytí nebo úhradu:</w:t>
      </w:r>
    </w:p>
    <w:p w14:paraId="0CB0CD96" w14:textId="2FA254ED" w:rsidR="003F63F7" w:rsidRPr="003F63F7" w:rsidRDefault="006B03BC" w:rsidP="006B03BC">
      <w:pPr>
        <w:pStyle w:val="Odstavecseseznamem"/>
        <w:numPr>
          <w:ilvl w:val="0"/>
          <w:numId w:val="11"/>
        </w:numPr>
        <w:contextualSpacing w:val="0"/>
        <w:jc w:val="both"/>
        <w:rPr>
          <w:sz w:val="20"/>
          <w:szCs w:val="20"/>
        </w:rPr>
      </w:pPr>
      <w:r>
        <w:rPr>
          <w:b/>
          <w:bCs/>
          <w:sz w:val="20"/>
          <w:szCs w:val="20"/>
        </w:rPr>
        <w:t xml:space="preserve"> </w:t>
      </w:r>
      <w:r w:rsidRPr="003F63F7">
        <w:rPr>
          <w:sz w:val="20"/>
          <w:szCs w:val="20"/>
        </w:rPr>
        <w:t>mezd, které zaměstnavatel řádně vynaložil v souladu s příslušnými právními předpisy za dobu převedení zaměstnance na jinou práci</w:t>
      </w:r>
      <w:r w:rsidR="00D95A96">
        <w:rPr>
          <w:sz w:val="20"/>
          <w:szCs w:val="20"/>
        </w:rPr>
        <w:t xml:space="preserve"> (příslušná situace režimu Sanace)</w:t>
      </w:r>
      <w:r w:rsidR="003F63F7" w:rsidRPr="003F63F7">
        <w:rPr>
          <w:sz w:val="20"/>
          <w:szCs w:val="20"/>
        </w:rPr>
        <w:t>, včetně pojistného na sociální zabezpečení a příspěvku na státní politiku zaměstnanosti a pojistného na veřejné zdravotní pojištění, které zaměstnavatel za sebe odvedl z vyměřovacího základu zaměstnanců,</w:t>
      </w:r>
    </w:p>
    <w:p w14:paraId="5A617E4F" w14:textId="36A4BF74" w:rsidR="003F63F7" w:rsidRPr="003F63F7" w:rsidRDefault="006B03BC" w:rsidP="006B03BC">
      <w:pPr>
        <w:pStyle w:val="Odstavecseseznamem"/>
        <w:numPr>
          <w:ilvl w:val="0"/>
          <w:numId w:val="11"/>
        </w:numPr>
        <w:contextualSpacing w:val="0"/>
        <w:jc w:val="both"/>
        <w:rPr>
          <w:sz w:val="20"/>
          <w:szCs w:val="20"/>
        </w:rPr>
      </w:pPr>
      <w:r w:rsidRPr="003F63F7">
        <w:rPr>
          <w:sz w:val="20"/>
          <w:szCs w:val="20"/>
        </w:rPr>
        <w:t>náhrad mezd, které zaměstnavatel řádně vynaložil v souladu s příslušnými právními předpisy za dobu trvání příslušných překážek v</w:t>
      </w:r>
      <w:r w:rsidR="00D95A96">
        <w:rPr>
          <w:sz w:val="20"/>
          <w:szCs w:val="20"/>
        </w:rPr>
        <w:t> </w:t>
      </w:r>
      <w:r w:rsidRPr="003F63F7">
        <w:rPr>
          <w:sz w:val="20"/>
          <w:szCs w:val="20"/>
        </w:rPr>
        <w:t>práci</w:t>
      </w:r>
      <w:r w:rsidR="00D95A96">
        <w:rPr>
          <w:sz w:val="20"/>
          <w:szCs w:val="20"/>
        </w:rPr>
        <w:t xml:space="preserve"> (příslušné situace režimu Sanace)</w:t>
      </w:r>
      <w:r w:rsidRPr="003F63F7">
        <w:rPr>
          <w:sz w:val="20"/>
          <w:szCs w:val="20"/>
        </w:rPr>
        <w:t xml:space="preserve">, včetně pojistného na sociální zabezpečení a příspěvku na státní politiku zaměstnanosti a pojistného na veřejné zdravotní pojištění, které zaměstnavatel za sebe odvedl z vyměřovacího základu zaměstnanců </w:t>
      </w:r>
    </w:p>
    <w:p w14:paraId="4F227EA0" w14:textId="4DE8BBD9" w:rsidR="006B03BC" w:rsidRPr="00A14105" w:rsidRDefault="006B03BC" w:rsidP="003F63F7">
      <w:pPr>
        <w:pStyle w:val="Odstavecseseznamem"/>
        <w:ind w:left="717"/>
        <w:contextualSpacing w:val="0"/>
        <w:jc w:val="both"/>
        <w:rPr>
          <w:i/>
          <w:iCs/>
          <w:sz w:val="20"/>
          <w:szCs w:val="20"/>
        </w:rPr>
      </w:pPr>
      <w:r w:rsidRPr="00A14105">
        <w:rPr>
          <w:i/>
          <w:iCs/>
          <w:sz w:val="20"/>
          <w:szCs w:val="20"/>
        </w:rPr>
        <w:t>(dále jen „</w:t>
      </w:r>
      <w:r w:rsidR="003F63F7" w:rsidRPr="00A14105">
        <w:rPr>
          <w:i/>
          <w:iCs/>
          <w:sz w:val="20"/>
          <w:szCs w:val="20"/>
        </w:rPr>
        <w:t>uznatelné náklady</w:t>
      </w:r>
      <w:r w:rsidRPr="00A14105">
        <w:rPr>
          <w:i/>
          <w:iCs/>
          <w:sz w:val="20"/>
          <w:szCs w:val="20"/>
        </w:rPr>
        <w:t>“)</w:t>
      </w:r>
      <w:r w:rsidRPr="00A14105">
        <w:rPr>
          <w:b/>
          <w:bCs/>
          <w:i/>
          <w:iCs/>
          <w:sz w:val="20"/>
          <w:szCs w:val="20"/>
        </w:rPr>
        <w:t>.</w:t>
      </w:r>
    </w:p>
    <w:p w14:paraId="42BD0D00" w14:textId="77777777" w:rsidR="00024BA5" w:rsidRDefault="00024BA5" w:rsidP="00E74E9C">
      <w:pPr>
        <w:jc w:val="center"/>
        <w:rPr>
          <w:sz w:val="20"/>
          <w:szCs w:val="20"/>
        </w:rPr>
      </w:pPr>
    </w:p>
    <w:p w14:paraId="65FB73B2" w14:textId="77777777" w:rsidR="00E273EA" w:rsidRDefault="00E273EA" w:rsidP="00E74E9C">
      <w:pPr>
        <w:jc w:val="center"/>
        <w:rPr>
          <w:sz w:val="20"/>
          <w:szCs w:val="20"/>
        </w:rPr>
      </w:pPr>
    </w:p>
    <w:p w14:paraId="714EE230" w14:textId="5A5657DB" w:rsidR="003F63F7" w:rsidRDefault="00EF5D8E" w:rsidP="00EF5D8E">
      <w:pPr>
        <w:ind w:firstLine="360"/>
        <w:rPr>
          <w:b/>
          <w:bCs/>
          <w:color w:val="0070C0"/>
          <w:sz w:val="20"/>
          <w:szCs w:val="20"/>
        </w:rPr>
      </w:pPr>
      <w:r>
        <w:rPr>
          <w:b/>
          <w:bCs/>
          <w:color w:val="0070C0"/>
          <w:sz w:val="20"/>
          <w:szCs w:val="20"/>
        </w:rPr>
        <w:t>Č</w:t>
      </w:r>
      <w:r w:rsidR="003F63F7" w:rsidRPr="00E74E9C">
        <w:rPr>
          <w:b/>
          <w:bCs/>
          <w:color w:val="0070C0"/>
          <w:sz w:val="20"/>
          <w:szCs w:val="20"/>
        </w:rPr>
        <w:t>lán</w:t>
      </w:r>
      <w:r>
        <w:rPr>
          <w:b/>
          <w:bCs/>
          <w:color w:val="0070C0"/>
          <w:sz w:val="20"/>
          <w:szCs w:val="20"/>
        </w:rPr>
        <w:t>e</w:t>
      </w:r>
      <w:r w:rsidR="003F63F7" w:rsidRPr="00E74E9C">
        <w:rPr>
          <w:b/>
          <w:bCs/>
          <w:color w:val="0070C0"/>
          <w:sz w:val="20"/>
          <w:szCs w:val="20"/>
        </w:rPr>
        <w:t xml:space="preserve">k </w:t>
      </w:r>
      <w:r w:rsidR="003F63F7">
        <w:rPr>
          <w:b/>
          <w:bCs/>
          <w:color w:val="0070C0"/>
          <w:sz w:val="20"/>
          <w:szCs w:val="20"/>
        </w:rPr>
        <w:t>V „Výše příspěvku“</w:t>
      </w:r>
    </w:p>
    <w:p w14:paraId="7CC2774D" w14:textId="06D23204" w:rsidR="003F63F7" w:rsidRDefault="003F63F7" w:rsidP="003F63F7">
      <w:pPr>
        <w:numPr>
          <w:ilvl w:val="0"/>
          <w:numId w:val="12"/>
        </w:numPr>
        <w:spacing w:after="120" w:line="240" w:lineRule="auto"/>
        <w:jc w:val="both"/>
        <w:rPr>
          <w:sz w:val="20"/>
          <w:szCs w:val="20"/>
        </w:rPr>
      </w:pPr>
      <w:r w:rsidRPr="00CA23C6">
        <w:rPr>
          <w:sz w:val="20"/>
          <w:szCs w:val="20"/>
        </w:rPr>
        <w:t xml:space="preserve">Příspěvek bude poskytován zaměstnavatelům ve výši </w:t>
      </w:r>
      <w:r w:rsidRPr="00CA23C6">
        <w:rPr>
          <w:b/>
          <w:bCs/>
          <w:sz w:val="20"/>
          <w:szCs w:val="20"/>
        </w:rPr>
        <w:t xml:space="preserve">50 % vyplacené </w:t>
      </w:r>
      <w:r>
        <w:rPr>
          <w:b/>
          <w:bCs/>
          <w:sz w:val="20"/>
          <w:szCs w:val="20"/>
        </w:rPr>
        <w:t xml:space="preserve">mzdy nebo </w:t>
      </w:r>
      <w:r w:rsidRPr="00CA23C6">
        <w:rPr>
          <w:b/>
          <w:bCs/>
          <w:sz w:val="20"/>
          <w:szCs w:val="20"/>
        </w:rPr>
        <w:t>náhrady mzdy</w:t>
      </w:r>
      <w:r>
        <w:rPr>
          <w:b/>
          <w:bCs/>
          <w:sz w:val="20"/>
          <w:szCs w:val="20"/>
        </w:rPr>
        <w:t xml:space="preserve"> </w:t>
      </w:r>
      <w:r w:rsidRPr="00CA23C6">
        <w:rPr>
          <w:b/>
          <w:bCs/>
          <w:sz w:val="20"/>
          <w:szCs w:val="20"/>
        </w:rPr>
        <w:t>včetně povinných odvodů</w:t>
      </w:r>
      <w:r w:rsidR="00D167A4">
        <w:rPr>
          <w:b/>
          <w:bCs/>
          <w:sz w:val="20"/>
          <w:szCs w:val="20"/>
        </w:rPr>
        <w:t xml:space="preserve"> v rámci příslušných situací režimu Sanace</w:t>
      </w:r>
      <w:r w:rsidRPr="00CA23C6">
        <w:rPr>
          <w:sz w:val="20"/>
          <w:szCs w:val="20"/>
        </w:rPr>
        <w:t xml:space="preserve">, </w:t>
      </w:r>
      <w:r w:rsidRPr="00CA23C6">
        <w:rPr>
          <w:b/>
          <w:bCs/>
          <w:sz w:val="20"/>
          <w:szCs w:val="20"/>
          <w:u w:val="single"/>
        </w:rPr>
        <w:t>maximálně však 18 400 Kč měsíčně</w:t>
      </w:r>
      <w:r w:rsidRPr="00CA23C6">
        <w:rPr>
          <w:sz w:val="20"/>
          <w:szCs w:val="20"/>
        </w:rPr>
        <w:t xml:space="preserve"> na jednoho zaměstnance. </w:t>
      </w:r>
    </w:p>
    <w:p w14:paraId="2BC56319" w14:textId="77777777" w:rsidR="00E273EA" w:rsidRPr="00711C75" w:rsidRDefault="00E273EA" w:rsidP="00E273EA">
      <w:pPr>
        <w:pStyle w:val="Boddohody"/>
        <w:numPr>
          <w:ilvl w:val="0"/>
          <w:numId w:val="12"/>
        </w:numPr>
        <w:spacing w:before="120"/>
      </w:pPr>
      <w:bookmarkStart w:id="0" w:name="_Hlk178065319"/>
      <w:r w:rsidRPr="00CA23C6">
        <w:t xml:space="preserve">Příspěvek je veřejnou podporou podle příslušných právních předpisů EU a ČR a je poskytován v režimu podpory malého rozsahu – </w:t>
      </w:r>
      <w:r w:rsidRPr="00CA23C6">
        <w:rPr>
          <w:b/>
          <w:bCs/>
        </w:rPr>
        <w:t>de minimis</w:t>
      </w:r>
      <w:r w:rsidRPr="00CA23C6">
        <w:t xml:space="preserve"> podle</w:t>
      </w:r>
      <w:r>
        <w:rPr>
          <w:shd w:val="clear" w:color="auto" w:fill="FFFFFF"/>
        </w:rPr>
        <w:t>:</w:t>
      </w:r>
    </w:p>
    <w:p w14:paraId="4E7773D3" w14:textId="77777777" w:rsidR="00E273EA" w:rsidRPr="00251BE4" w:rsidRDefault="00E273EA" w:rsidP="00E273EA">
      <w:pPr>
        <w:pStyle w:val="Boddohody"/>
        <w:numPr>
          <w:ilvl w:val="1"/>
          <w:numId w:val="12"/>
        </w:numPr>
        <w:spacing w:before="120"/>
        <w:rPr>
          <w:shd w:val="clear" w:color="auto" w:fill="FFFFFF"/>
        </w:rPr>
      </w:pPr>
      <w:r w:rsidRPr="00251BE4">
        <w:rPr>
          <w:shd w:val="clear" w:color="auto" w:fill="FFFFFF"/>
        </w:rPr>
        <w:t>nařízení Komise (EU) 2023/2831 ze dne 13. prosince 2023 o použití článků 107 a 108 Smlouvy o fungování Evropské unie na podporu de minimis – ostatní odvětví – strop 300 000 EUR, národní strop není stanoven,</w:t>
      </w:r>
    </w:p>
    <w:p w14:paraId="57A332E7" w14:textId="77777777" w:rsidR="00E273EA" w:rsidRPr="00251BE4" w:rsidRDefault="00E273EA" w:rsidP="00E273EA">
      <w:pPr>
        <w:pStyle w:val="Boddohody"/>
        <w:numPr>
          <w:ilvl w:val="1"/>
          <w:numId w:val="12"/>
        </w:numPr>
        <w:spacing w:before="120"/>
        <w:rPr>
          <w:shd w:val="clear" w:color="auto" w:fill="FFFFFF"/>
        </w:rPr>
      </w:pPr>
      <w:r w:rsidRPr="00251BE4">
        <w:rPr>
          <w:shd w:val="clear" w:color="auto" w:fill="FFFFFF"/>
        </w:rPr>
        <w:t>nařízení Komise (EU) 2023/2832 ze dne 13. prosince 2023 o použití článků 107 a 108 Smlouvy o fungování EU na podporu de minimis udílenou podnikům poskytujícím služby obecného hospodářského zájmu – strop 750 000 EUR, národní strop není stanoven.</w:t>
      </w:r>
    </w:p>
    <w:p w14:paraId="2AE4AC2C" w14:textId="77777777" w:rsidR="00E273EA" w:rsidRPr="00251BE4" w:rsidRDefault="00E273EA" w:rsidP="00E273EA">
      <w:pPr>
        <w:pStyle w:val="Boddohody"/>
        <w:numPr>
          <w:ilvl w:val="1"/>
          <w:numId w:val="12"/>
        </w:numPr>
        <w:spacing w:before="120"/>
        <w:rPr>
          <w:shd w:val="clear" w:color="auto" w:fill="FFFFFF"/>
        </w:rPr>
      </w:pPr>
      <w:r w:rsidRPr="00251BE4">
        <w:rPr>
          <w:shd w:val="clear" w:color="auto" w:fill="FFFFFF"/>
        </w:rPr>
        <w:t>nařízení Komise (EU) č. 1408/2013 ze dne 18. prosince 2013 o použití článků o použití článků 107 a 108 Smlouvy o fungování Evropské unie na podporu de minimis v odvětví zemědělství – strop 20 000 EUR, národní strop činí 61 865 750 EUR,</w:t>
      </w:r>
    </w:p>
    <w:p w14:paraId="21ADEF2D" w14:textId="222AEBCD" w:rsidR="00E273EA" w:rsidRPr="00251BE4" w:rsidRDefault="00E273EA" w:rsidP="00E273EA">
      <w:pPr>
        <w:pStyle w:val="Boddohody"/>
        <w:numPr>
          <w:ilvl w:val="1"/>
          <w:numId w:val="12"/>
        </w:numPr>
        <w:spacing w:before="120"/>
        <w:rPr>
          <w:shd w:val="clear" w:color="auto" w:fill="FFFFFF"/>
        </w:rPr>
      </w:pPr>
      <w:r w:rsidRPr="00251BE4">
        <w:rPr>
          <w:shd w:val="clear" w:color="auto" w:fill="FFFFFF"/>
        </w:rPr>
        <w:t>nařízení Komise (EU) č. 717/2014 ze dne 27. června 2014 o použití článků 107 a 108 Smlouvy o fungování Evropské unie na podporu de minimis v odvětví rybolovu a</w:t>
      </w:r>
      <w:r w:rsidR="00E7788D">
        <w:rPr>
          <w:shd w:val="clear" w:color="auto" w:fill="FFFFFF"/>
        </w:rPr>
        <w:t> </w:t>
      </w:r>
      <w:r w:rsidRPr="00251BE4">
        <w:rPr>
          <w:shd w:val="clear" w:color="auto" w:fill="FFFFFF"/>
        </w:rPr>
        <w:t>akvakultury – strop 40 000 EUR, národní strop činí 1 208 000 EUR.</w:t>
      </w:r>
    </w:p>
    <w:p w14:paraId="28BD4700" w14:textId="77777777" w:rsidR="00E273EA" w:rsidRDefault="00E273EA" w:rsidP="00E273EA">
      <w:pPr>
        <w:pStyle w:val="Boddohody"/>
        <w:numPr>
          <w:ilvl w:val="0"/>
          <w:numId w:val="12"/>
        </w:numPr>
        <w:spacing w:before="120"/>
        <w:rPr>
          <w:shd w:val="clear" w:color="auto" w:fill="FFFFFF"/>
        </w:rPr>
      </w:pPr>
      <w:r w:rsidRPr="00251BE4">
        <w:rPr>
          <w:shd w:val="clear" w:color="auto" w:fill="FFFFFF"/>
        </w:rPr>
        <w:t>Výše limitu de minimis se vztahuje k subjektu a rozhodnému období</w:t>
      </w:r>
      <w:r>
        <w:rPr>
          <w:shd w:val="clear" w:color="auto" w:fill="FFFFFF"/>
        </w:rPr>
        <w:t>:</w:t>
      </w:r>
      <w:r w:rsidRPr="00251BE4">
        <w:rPr>
          <w:shd w:val="clear" w:color="auto" w:fill="FFFFFF"/>
        </w:rPr>
        <w:t xml:space="preserve"> </w:t>
      </w:r>
    </w:p>
    <w:p w14:paraId="00598094" w14:textId="77777777" w:rsidR="00E273EA" w:rsidRPr="00251BE4" w:rsidRDefault="00E273EA" w:rsidP="00E273EA">
      <w:pPr>
        <w:pStyle w:val="Boddohody"/>
        <w:numPr>
          <w:ilvl w:val="1"/>
          <w:numId w:val="12"/>
        </w:numPr>
        <w:spacing w:before="120"/>
        <w:rPr>
          <w:shd w:val="clear" w:color="auto" w:fill="FFFFFF"/>
        </w:rPr>
      </w:pPr>
      <w:r>
        <w:rPr>
          <w:shd w:val="clear" w:color="auto" w:fill="FFFFFF"/>
        </w:rPr>
        <w:t>v</w:t>
      </w:r>
      <w:r w:rsidRPr="00251BE4">
        <w:rPr>
          <w:shd w:val="clear" w:color="auto" w:fill="FFFFFF"/>
        </w:rPr>
        <w:t xml:space="preserve"> případě nařízení 2023/2831 </w:t>
      </w:r>
      <w:r>
        <w:rPr>
          <w:shd w:val="clear" w:color="auto" w:fill="FFFFFF"/>
        </w:rPr>
        <w:t xml:space="preserve">(bod 2.1.) </w:t>
      </w:r>
      <w:r w:rsidRPr="00251BE4">
        <w:rPr>
          <w:shd w:val="clear" w:color="auto" w:fill="FFFFFF"/>
        </w:rPr>
        <w:t xml:space="preserve">a 2023/2832 </w:t>
      </w:r>
      <w:r>
        <w:rPr>
          <w:shd w:val="clear" w:color="auto" w:fill="FFFFFF"/>
        </w:rPr>
        <w:t xml:space="preserve">(bod 2.2.) </w:t>
      </w:r>
      <w:r w:rsidRPr="00251BE4">
        <w:rPr>
          <w:shd w:val="clear" w:color="auto" w:fill="FFFFFF"/>
        </w:rPr>
        <w:t>je rozhodné období příjemce definováno jako tříleté období, které je posuzováno průběžně. Tedy např. je-li podpora de minimis poskytnuta dne 3. 7. 2024, rozhodným obdobím je 3. 7. 2021 až 3. 7. 2024.</w:t>
      </w:r>
    </w:p>
    <w:p w14:paraId="04A65C60" w14:textId="444CBAFA" w:rsidR="00E273EA" w:rsidRDefault="00E273EA" w:rsidP="00E273EA">
      <w:pPr>
        <w:pStyle w:val="Boddohody"/>
        <w:numPr>
          <w:ilvl w:val="1"/>
          <w:numId w:val="12"/>
        </w:numPr>
        <w:spacing w:before="120"/>
        <w:rPr>
          <w:shd w:val="clear" w:color="auto" w:fill="FFFFFF"/>
        </w:rPr>
      </w:pPr>
      <w:r w:rsidRPr="00251BE4">
        <w:rPr>
          <w:shd w:val="clear" w:color="auto" w:fill="FFFFFF"/>
        </w:rPr>
        <w:t xml:space="preserve">V případě nařízení č. 1408/2013 </w:t>
      </w:r>
      <w:r>
        <w:rPr>
          <w:shd w:val="clear" w:color="auto" w:fill="FFFFFF"/>
        </w:rPr>
        <w:t xml:space="preserve">(bod 2.3.) </w:t>
      </w:r>
      <w:r w:rsidRPr="00251BE4">
        <w:rPr>
          <w:shd w:val="clear" w:color="auto" w:fill="FFFFFF"/>
        </w:rPr>
        <w:t xml:space="preserve">a č. 717/2014 </w:t>
      </w:r>
      <w:r>
        <w:rPr>
          <w:shd w:val="clear" w:color="auto" w:fill="FFFFFF"/>
        </w:rPr>
        <w:t xml:space="preserve">(bod 2.4.) </w:t>
      </w:r>
      <w:r w:rsidRPr="00251BE4">
        <w:rPr>
          <w:shd w:val="clear" w:color="auto" w:fill="FFFFFF"/>
        </w:rPr>
        <w:t>je rozhodné období příjemce definováno jako tři po sobě jdoucí účetní období, tj. je vztaženo ke třem po sobě následujícím účetním obdobím stanovených příjemcem podpory dle zákona o</w:t>
      </w:r>
      <w:r w:rsidR="00E7788D">
        <w:rPr>
          <w:shd w:val="clear" w:color="auto" w:fill="FFFFFF"/>
        </w:rPr>
        <w:t> </w:t>
      </w:r>
      <w:r w:rsidRPr="00251BE4">
        <w:rPr>
          <w:shd w:val="clear" w:color="auto" w:fill="FFFFFF"/>
        </w:rPr>
        <w:t>účetnictví. Vždy se jedná o současné období a</w:t>
      </w:r>
      <w:r>
        <w:rPr>
          <w:shd w:val="clear" w:color="auto" w:fill="FFFFFF"/>
        </w:rPr>
        <w:t> </w:t>
      </w:r>
      <w:r w:rsidRPr="00251BE4">
        <w:rPr>
          <w:shd w:val="clear" w:color="auto" w:fill="FFFFFF"/>
        </w:rPr>
        <w:t>dvě předcházející. V závislosti na účetní praxi příjemce se účetní období shoduje s</w:t>
      </w:r>
      <w:r>
        <w:rPr>
          <w:shd w:val="clear" w:color="auto" w:fill="FFFFFF"/>
        </w:rPr>
        <w:t> </w:t>
      </w:r>
      <w:r w:rsidRPr="00251BE4">
        <w:rPr>
          <w:shd w:val="clear" w:color="auto" w:fill="FFFFFF"/>
        </w:rPr>
        <w:t>kalendářním nebo hospodářským rokem.</w:t>
      </w:r>
    </w:p>
    <w:p w14:paraId="7D328199" w14:textId="77777777" w:rsidR="00E273EA" w:rsidRPr="00711C75" w:rsidRDefault="00E273EA" w:rsidP="00E273EA">
      <w:pPr>
        <w:pStyle w:val="Daltextbodudohody"/>
        <w:numPr>
          <w:ilvl w:val="0"/>
          <w:numId w:val="12"/>
        </w:numPr>
        <w:spacing w:before="120"/>
      </w:pPr>
      <w:r>
        <w:t>Příspěvek se zaměstnavateli poskytne v součtu za všechny zaměstnance maximálně do výše volného limitu podpory de minimis tohoto zaměstnavatele podle příslušných nařízení Komise uvedených v bodě 3, tj. do dosažení výše uvedených stropů podpory de minimis.</w:t>
      </w:r>
    </w:p>
    <w:bookmarkEnd w:id="0"/>
    <w:p w14:paraId="70599D37" w14:textId="77777777" w:rsidR="00D167A4" w:rsidRDefault="00D167A4" w:rsidP="00D167A4">
      <w:pPr>
        <w:spacing w:after="120" w:line="240" w:lineRule="auto"/>
        <w:ind w:left="720"/>
        <w:jc w:val="both"/>
        <w:rPr>
          <w:sz w:val="20"/>
          <w:szCs w:val="20"/>
        </w:rPr>
      </w:pPr>
    </w:p>
    <w:p w14:paraId="1EF80ACA" w14:textId="77777777" w:rsidR="00EF5D8E" w:rsidRPr="00CA23C6" w:rsidRDefault="00EF5D8E" w:rsidP="00D167A4">
      <w:pPr>
        <w:spacing w:after="120" w:line="240" w:lineRule="auto"/>
        <w:ind w:left="720"/>
        <w:jc w:val="both"/>
        <w:rPr>
          <w:sz w:val="20"/>
          <w:szCs w:val="20"/>
        </w:rPr>
      </w:pPr>
    </w:p>
    <w:p w14:paraId="757B9070" w14:textId="317CDD5F" w:rsidR="00D167A4" w:rsidRPr="00EF5D8E" w:rsidRDefault="00EF5D8E" w:rsidP="00EF5D8E">
      <w:pPr>
        <w:rPr>
          <w:b/>
          <w:bCs/>
          <w:color w:val="0070C0"/>
          <w:sz w:val="20"/>
          <w:szCs w:val="20"/>
        </w:rPr>
      </w:pPr>
      <w:r>
        <w:rPr>
          <w:b/>
          <w:bCs/>
          <w:color w:val="0070C0"/>
          <w:sz w:val="20"/>
          <w:szCs w:val="20"/>
        </w:rPr>
        <w:t>Č</w:t>
      </w:r>
      <w:r w:rsidR="00D167A4" w:rsidRPr="00EF5D8E">
        <w:rPr>
          <w:b/>
          <w:bCs/>
          <w:color w:val="0070C0"/>
          <w:sz w:val="20"/>
          <w:szCs w:val="20"/>
        </w:rPr>
        <w:t>lán</w:t>
      </w:r>
      <w:r>
        <w:rPr>
          <w:b/>
          <w:bCs/>
          <w:color w:val="0070C0"/>
          <w:sz w:val="20"/>
          <w:szCs w:val="20"/>
        </w:rPr>
        <w:t>e</w:t>
      </w:r>
      <w:r w:rsidR="00D167A4" w:rsidRPr="00EF5D8E">
        <w:rPr>
          <w:b/>
          <w:bCs/>
          <w:color w:val="0070C0"/>
          <w:sz w:val="20"/>
          <w:szCs w:val="20"/>
        </w:rPr>
        <w:t xml:space="preserve">k VI „Uznatelné období“ </w:t>
      </w:r>
    </w:p>
    <w:p w14:paraId="37A044E7" w14:textId="4B8AE3DF" w:rsidR="00D167A4" w:rsidRDefault="00D167A4" w:rsidP="00D167A4">
      <w:pPr>
        <w:pStyle w:val="Odstavecseseznamem"/>
        <w:numPr>
          <w:ilvl w:val="0"/>
          <w:numId w:val="3"/>
        </w:numPr>
        <w:ind w:left="426"/>
        <w:contextualSpacing w:val="0"/>
        <w:jc w:val="both"/>
        <w:rPr>
          <w:sz w:val="20"/>
          <w:szCs w:val="20"/>
        </w:rPr>
      </w:pPr>
      <w:r>
        <w:rPr>
          <w:sz w:val="20"/>
          <w:szCs w:val="20"/>
        </w:rPr>
        <w:t xml:space="preserve">Uznatelné období </w:t>
      </w:r>
      <w:r w:rsidR="00217B90">
        <w:rPr>
          <w:sz w:val="20"/>
          <w:szCs w:val="20"/>
        </w:rPr>
        <w:t>„programu Povodeň 2024, režim Sanace“</w:t>
      </w:r>
      <w:r>
        <w:rPr>
          <w:sz w:val="20"/>
          <w:szCs w:val="20"/>
        </w:rPr>
        <w:t xml:space="preserve"> počíná dnem </w:t>
      </w:r>
      <w:r w:rsidRPr="001F2006">
        <w:rPr>
          <w:b/>
          <w:bCs/>
          <w:sz w:val="20"/>
          <w:szCs w:val="20"/>
        </w:rPr>
        <w:t>1. 11. 2024</w:t>
      </w:r>
      <w:r>
        <w:rPr>
          <w:sz w:val="20"/>
          <w:szCs w:val="20"/>
        </w:rPr>
        <w:t xml:space="preserve"> a končí dnem </w:t>
      </w:r>
      <w:r w:rsidRPr="001F2006">
        <w:rPr>
          <w:b/>
          <w:bCs/>
          <w:sz w:val="20"/>
          <w:szCs w:val="20"/>
        </w:rPr>
        <w:t>31. 3. 2025</w:t>
      </w:r>
      <w:r>
        <w:rPr>
          <w:sz w:val="20"/>
          <w:szCs w:val="20"/>
        </w:rPr>
        <w:t>, tzn. příspěvek bude zaměstnavateli poskytnut na náklady, které vznikly v souvislosti s příslušnou situací režimu Sanace v tomto období. Uznatelné období režimu Sanace může být prodlouženo</w:t>
      </w:r>
      <w:r w:rsidR="001F2006">
        <w:rPr>
          <w:sz w:val="20"/>
          <w:szCs w:val="20"/>
        </w:rPr>
        <w:t xml:space="preserve">, a to v působnosti MPSV s výjimkou případů, kdy prodloužení tohoto období by vyžadovalo dodatečné uvolnění finančních prostředků nad rámec prostředků na program již vládou uvolněných. </w:t>
      </w:r>
    </w:p>
    <w:p w14:paraId="636F0A7F" w14:textId="25DD1C41" w:rsidR="001F2006" w:rsidRDefault="001F2006" w:rsidP="00D167A4">
      <w:pPr>
        <w:pStyle w:val="Odstavecseseznamem"/>
        <w:numPr>
          <w:ilvl w:val="0"/>
          <w:numId w:val="3"/>
        </w:numPr>
        <w:ind w:left="426"/>
        <w:contextualSpacing w:val="0"/>
        <w:jc w:val="both"/>
        <w:rPr>
          <w:sz w:val="20"/>
          <w:szCs w:val="20"/>
        </w:rPr>
      </w:pPr>
      <w:r>
        <w:rPr>
          <w:sz w:val="20"/>
          <w:szCs w:val="20"/>
        </w:rPr>
        <w:t>Příspěvek se poskytuje pouze za dobu trvání některé ze situací</w:t>
      </w:r>
      <w:r w:rsidR="00217B90">
        <w:rPr>
          <w:sz w:val="20"/>
          <w:szCs w:val="20"/>
        </w:rPr>
        <w:t xml:space="preserve"> „programu Povodeň 2024,</w:t>
      </w:r>
      <w:r>
        <w:rPr>
          <w:sz w:val="20"/>
          <w:szCs w:val="20"/>
        </w:rPr>
        <w:t xml:space="preserve"> režim Sanace</w:t>
      </w:r>
      <w:r w:rsidR="00217B90">
        <w:rPr>
          <w:sz w:val="20"/>
          <w:szCs w:val="20"/>
        </w:rPr>
        <w:t>“</w:t>
      </w:r>
      <w:r>
        <w:rPr>
          <w:sz w:val="20"/>
          <w:szCs w:val="20"/>
        </w:rPr>
        <w:t xml:space="preserve"> v rámci uznatelného období; tyto situace však nemusí trvat kontinuálně a mohou být přerušeny (např. přechodným návratem do práce). </w:t>
      </w:r>
    </w:p>
    <w:p w14:paraId="71A05B00" w14:textId="77777777" w:rsidR="00217B90" w:rsidRPr="003F63F7" w:rsidRDefault="00217B90" w:rsidP="003F63F7">
      <w:pPr>
        <w:pStyle w:val="Odstavecseseznamem"/>
        <w:rPr>
          <w:b/>
          <w:bCs/>
          <w:color w:val="0070C0"/>
          <w:sz w:val="20"/>
          <w:szCs w:val="20"/>
        </w:rPr>
      </w:pPr>
    </w:p>
    <w:p w14:paraId="74783656" w14:textId="77777777" w:rsidR="00EF5D8E" w:rsidRDefault="00EF5D8E" w:rsidP="00EF5D8E">
      <w:pPr>
        <w:rPr>
          <w:b/>
          <w:bCs/>
          <w:color w:val="0070C0"/>
          <w:sz w:val="20"/>
          <w:szCs w:val="20"/>
        </w:rPr>
      </w:pPr>
    </w:p>
    <w:p w14:paraId="4427E151" w14:textId="77777777" w:rsidR="00EF5D8E" w:rsidRDefault="00EF5D8E" w:rsidP="00EF5D8E">
      <w:pPr>
        <w:rPr>
          <w:b/>
          <w:bCs/>
          <w:color w:val="0070C0"/>
          <w:sz w:val="20"/>
          <w:szCs w:val="20"/>
        </w:rPr>
      </w:pPr>
    </w:p>
    <w:p w14:paraId="23A3CB39" w14:textId="42C96B58" w:rsidR="00661915" w:rsidRPr="00EF5D8E" w:rsidRDefault="00EF5D8E" w:rsidP="00EF5D8E">
      <w:pPr>
        <w:rPr>
          <w:b/>
          <w:bCs/>
          <w:color w:val="0070C0"/>
          <w:sz w:val="20"/>
          <w:szCs w:val="20"/>
        </w:rPr>
      </w:pPr>
      <w:r>
        <w:rPr>
          <w:b/>
          <w:bCs/>
          <w:color w:val="0070C0"/>
          <w:sz w:val="20"/>
          <w:szCs w:val="20"/>
        </w:rPr>
        <w:lastRenderedPageBreak/>
        <w:t>Č</w:t>
      </w:r>
      <w:r w:rsidR="00661915" w:rsidRPr="00EF5D8E">
        <w:rPr>
          <w:b/>
          <w:bCs/>
          <w:color w:val="0070C0"/>
          <w:sz w:val="20"/>
          <w:szCs w:val="20"/>
        </w:rPr>
        <w:t>lán</w:t>
      </w:r>
      <w:r>
        <w:rPr>
          <w:b/>
          <w:bCs/>
          <w:color w:val="0070C0"/>
          <w:sz w:val="20"/>
          <w:szCs w:val="20"/>
        </w:rPr>
        <w:t>e</w:t>
      </w:r>
      <w:r w:rsidR="00661915" w:rsidRPr="00EF5D8E">
        <w:rPr>
          <w:b/>
          <w:bCs/>
          <w:color w:val="0070C0"/>
          <w:sz w:val="20"/>
          <w:szCs w:val="20"/>
        </w:rPr>
        <w:t xml:space="preserve">k VII „Podmínky poskytování příspěvku“ </w:t>
      </w:r>
    </w:p>
    <w:p w14:paraId="1F7C3B52" w14:textId="62363B0A" w:rsidR="00661915" w:rsidRDefault="00661915" w:rsidP="00661915">
      <w:pPr>
        <w:pStyle w:val="Odstavecseseznamem"/>
        <w:numPr>
          <w:ilvl w:val="0"/>
          <w:numId w:val="5"/>
        </w:numPr>
        <w:ind w:left="425" w:hanging="425"/>
        <w:contextualSpacing w:val="0"/>
        <w:jc w:val="both"/>
        <w:rPr>
          <w:sz w:val="20"/>
          <w:szCs w:val="20"/>
        </w:rPr>
      </w:pPr>
      <w:r>
        <w:rPr>
          <w:sz w:val="20"/>
          <w:szCs w:val="20"/>
        </w:rPr>
        <w:t>Program</w:t>
      </w:r>
      <w:r w:rsidR="00217B90">
        <w:rPr>
          <w:sz w:val="20"/>
          <w:szCs w:val="20"/>
        </w:rPr>
        <w:t xml:space="preserve"> „Povodeň 2024, režim Sanace“</w:t>
      </w:r>
      <w:r>
        <w:rPr>
          <w:sz w:val="20"/>
          <w:szCs w:val="20"/>
        </w:rPr>
        <w:t xml:space="preserve"> je </w:t>
      </w:r>
      <w:r w:rsidRPr="0059036C">
        <w:rPr>
          <w:sz w:val="20"/>
          <w:szCs w:val="20"/>
        </w:rPr>
        <w:t>na základě ustanovení § 105 odst. 1 písm. d) zákona o zaměstnanosti</w:t>
      </w:r>
      <w:r>
        <w:rPr>
          <w:sz w:val="20"/>
          <w:szCs w:val="20"/>
        </w:rPr>
        <w:t xml:space="preserve"> opatřením aktivní politiky zaměstnanosti a </w:t>
      </w:r>
      <w:r w:rsidRPr="0059036C">
        <w:rPr>
          <w:sz w:val="20"/>
          <w:szCs w:val="20"/>
        </w:rPr>
        <w:t xml:space="preserve">vztahují </w:t>
      </w:r>
      <w:r>
        <w:rPr>
          <w:sz w:val="20"/>
          <w:szCs w:val="20"/>
        </w:rPr>
        <w:t xml:space="preserve">se na něj </w:t>
      </w:r>
      <w:r w:rsidRPr="00CB2C51">
        <w:rPr>
          <w:b/>
          <w:bCs/>
          <w:sz w:val="20"/>
          <w:szCs w:val="20"/>
        </w:rPr>
        <w:t>stejné obecné podmínky jako na jiné příspěvky</w:t>
      </w:r>
      <w:r>
        <w:rPr>
          <w:b/>
          <w:bCs/>
          <w:sz w:val="20"/>
          <w:szCs w:val="20"/>
        </w:rPr>
        <w:t xml:space="preserve"> poskytované v rámci nástrojů nebo</w:t>
      </w:r>
      <w:r w:rsidRPr="00CB2C51">
        <w:rPr>
          <w:b/>
          <w:bCs/>
          <w:sz w:val="20"/>
          <w:szCs w:val="20"/>
        </w:rPr>
        <w:t xml:space="preserve"> opatření aktivní politiky zaměstnanosti, zejména ustanovení § 107, § 118 a § 119 zákona o zaměstnanosti</w:t>
      </w:r>
      <w:r w:rsidRPr="0059036C">
        <w:rPr>
          <w:sz w:val="20"/>
          <w:szCs w:val="20"/>
        </w:rPr>
        <w:t>.</w:t>
      </w:r>
    </w:p>
    <w:p w14:paraId="618B3EC3" w14:textId="41DE7D99" w:rsidR="00661915" w:rsidRDefault="00661915" w:rsidP="00661915">
      <w:pPr>
        <w:pStyle w:val="Odstavecseseznamem"/>
        <w:numPr>
          <w:ilvl w:val="0"/>
          <w:numId w:val="5"/>
        </w:numPr>
        <w:ind w:left="425" w:hanging="425"/>
        <w:contextualSpacing w:val="0"/>
        <w:jc w:val="both"/>
        <w:rPr>
          <w:sz w:val="20"/>
          <w:szCs w:val="20"/>
        </w:rPr>
      </w:pPr>
      <w:r>
        <w:rPr>
          <w:sz w:val="20"/>
          <w:szCs w:val="20"/>
        </w:rPr>
        <w:t>Příspěvek na příslušné situace</w:t>
      </w:r>
      <w:r w:rsidR="00217B90">
        <w:rPr>
          <w:sz w:val="20"/>
          <w:szCs w:val="20"/>
        </w:rPr>
        <w:t xml:space="preserve"> „programu Povodeň 2024,</w:t>
      </w:r>
      <w:r>
        <w:rPr>
          <w:sz w:val="20"/>
          <w:szCs w:val="20"/>
        </w:rPr>
        <w:t xml:space="preserve"> režim Sanace</w:t>
      </w:r>
      <w:r w:rsidR="00217B90">
        <w:rPr>
          <w:sz w:val="20"/>
          <w:szCs w:val="20"/>
        </w:rPr>
        <w:t>“</w:t>
      </w:r>
      <w:r>
        <w:rPr>
          <w:sz w:val="20"/>
          <w:szCs w:val="20"/>
        </w:rPr>
        <w:t xml:space="preserve"> bude poskytován pouze na zaměstnance v pracovním poměru. </w:t>
      </w:r>
    </w:p>
    <w:p w14:paraId="1EDC6CDB" w14:textId="6059522B" w:rsidR="00661915" w:rsidRDefault="00661915" w:rsidP="00661915">
      <w:pPr>
        <w:pStyle w:val="Odstavecseseznamem"/>
        <w:numPr>
          <w:ilvl w:val="0"/>
          <w:numId w:val="5"/>
        </w:numPr>
        <w:ind w:left="425" w:hanging="425"/>
        <w:contextualSpacing w:val="0"/>
        <w:jc w:val="both"/>
        <w:rPr>
          <w:sz w:val="20"/>
          <w:szCs w:val="20"/>
        </w:rPr>
      </w:pPr>
      <w:r>
        <w:rPr>
          <w:sz w:val="20"/>
          <w:szCs w:val="20"/>
        </w:rPr>
        <w:t>Příspěvek nebude poskytován:</w:t>
      </w:r>
    </w:p>
    <w:p w14:paraId="7857083C" w14:textId="77777777" w:rsidR="00661915" w:rsidRDefault="00661915" w:rsidP="00661915">
      <w:pPr>
        <w:pStyle w:val="Boddohody"/>
        <w:numPr>
          <w:ilvl w:val="1"/>
          <w:numId w:val="5"/>
        </w:numPr>
        <w:spacing w:before="120"/>
        <w:ind w:left="993" w:hanging="426"/>
      </w:pPr>
      <w:r w:rsidRPr="004F443A">
        <w:rPr>
          <w:b/>
          <w:bCs/>
        </w:rPr>
        <w:t>na stejný účel</w:t>
      </w:r>
      <w:r w:rsidRPr="004F443A">
        <w:t xml:space="preserve">, tj. na tu část </w:t>
      </w:r>
      <w:r>
        <w:t xml:space="preserve">mezd nebo </w:t>
      </w:r>
      <w:r w:rsidRPr="004F443A">
        <w:t>náhrad mezd včetně povinných odvodů, která je kryta z jiných prostředků poskytovaných ze státního rozpočtu, rozpočtu územních samosprávných celků, vyšších územních samosprávných celků, Evropských strukturálních a investičních fondů, popř. z jiných programů a projektů EU či jiných veřejných zdrojů,</w:t>
      </w:r>
    </w:p>
    <w:p w14:paraId="16A8A21E" w14:textId="6AA523A0" w:rsidR="00661915" w:rsidRDefault="00661915" w:rsidP="00661915">
      <w:pPr>
        <w:pStyle w:val="Boddohody"/>
        <w:numPr>
          <w:ilvl w:val="1"/>
          <w:numId w:val="5"/>
        </w:numPr>
        <w:spacing w:before="120"/>
        <w:ind w:left="993" w:hanging="426"/>
        <w:rPr>
          <w:b/>
          <w:bCs/>
        </w:rPr>
      </w:pPr>
      <w:r w:rsidRPr="00661915">
        <w:rPr>
          <w:b/>
          <w:bCs/>
        </w:rPr>
        <w:t>zaměstnavateli uvedenému v § 109 odst. 3 zákoníku práce (platová sféra</w:t>
      </w:r>
      <w:r>
        <w:rPr>
          <w:b/>
          <w:bCs/>
        </w:rPr>
        <w:t>),</w:t>
      </w:r>
    </w:p>
    <w:p w14:paraId="675E36F0" w14:textId="77777777" w:rsidR="00390676" w:rsidRDefault="00661915" w:rsidP="00390676">
      <w:pPr>
        <w:pStyle w:val="Boddohody"/>
        <w:numPr>
          <w:ilvl w:val="1"/>
          <w:numId w:val="5"/>
        </w:numPr>
        <w:spacing w:before="120"/>
        <w:ind w:left="993" w:hanging="426"/>
      </w:pPr>
      <w:r w:rsidRPr="004F443A">
        <w:t xml:space="preserve">zaměstnavateli na zaměstnance, u kterých zaměstnavatel uplatňuje </w:t>
      </w:r>
      <w:r w:rsidRPr="00D675C1">
        <w:rPr>
          <w:b/>
          <w:bCs/>
        </w:rPr>
        <w:t>konto pracovní doby</w:t>
      </w:r>
      <w:r w:rsidRPr="004F443A">
        <w:t xml:space="preserve"> podle ustanovení § 86 a § 87 zákoníku práce</w:t>
      </w:r>
      <w:r>
        <w:t>,</w:t>
      </w:r>
    </w:p>
    <w:p w14:paraId="4FCEFA89" w14:textId="0A0FB99D" w:rsidR="00390676" w:rsidRPr="00390676" w:rsidRDefault="00390676" w:rsidP="00390676">
      <w:pPr>
        <w:pStyle w:val="Boddohody"/>
        <w:numPr>
          <w:ilvl w:val="1"/>
          <w:numId w:val="5"/>
        </w:numPr>
        <w:spacing w:before="120"/>
        <w:ind w:left="993" w:hanging="426"/>
      </w:pPr>
      <w:r>
        <w:t xml:space="preserve">na zaměstnance, který </w:t>
      </w:r>
      <w:r w:rsidRPr="00390676">
        <w:rPr>
          <w:b/>
          <w:bCs/>
        </w:rPr>
        <w:t>není u zaměstnavatele zaměstnán podle českých právních předpisů</w:t>
      </w:r>
      <w:r>
        <w:t xml:space="preserve"> (zákoník práce),</w:t>
      </w:r>
    </w:p>
    <w:p w14:paraId="46637617" w14:textId="77777777" w:rsidR="00390676" w:rsidRDefault="00390676" w:rsidP="00390676">
      <w:pPr>
        <w:pStyle w:val="Boddohody"/>
        <w:numPr>
          <w:ilvl w:val="1"/>
          <w:numId w:val="5"/>
        </w:numPr>
        <w:spacing w:before="120"/>
        <w:ind w:left="993" w:hanging="426"/>
        <w:rPr>
          <w:i/>
          <w:iCs/>
        </w:rPr>
      </w:pPr>
      <w:r>
        <w:t xml:space="preserve">na zaměstnance, </w:t>
      </w:r>
      <w:r w:rsidRPr="00B75708">
        <w:t xml:space="preserve">který jakožto jednatel či člen statutárního orgánu </w:t>
      </w:r>
      <w:r w:rsidRPr="00D675C1">
        <w:rPr>
          <w:b/>
          <w:bCs/>
        </w:rPr>
        <w:t>podepsal pracovní smlouvu jak na straně zaměstnavatele, tak na straně zaměstnance</w:t>
      </w:r>
      <w:r w:rsidRPr="00B75708">
        <w:t xml:space="preserve">; </w:t>
      </w:r>
      <w:r w:rsidRPr="00D675C1">
        <w:rPr>
          <w:i/>
          <w:iCs/>
        </w:rPr>
        <w:t xml:space="preserve">pozn.: Úřad práce </w:t>
      </w:r>
      <w:r>
        <w:rPr>
          <w:i/>
          <w:iCs/>
        </w:rPr>
        <w:t xml:space="preserve">ČR </w:t>
      </w:r>
      <w:r w:rsidRPr="00D675C1">
        <w:rPr>
          <w:i/>
          <w:iCs/>
        </w:rPr>
        <w:t>pro účely příspěvku z programu, nepřihlíží k pracovní smlouvě, která byla podepsána stejnou osobou na jedné straně jakožto zaměstnavatelem a na druhé straně jakožto zaměstnancem, a to z důvodu rozdílnosti zájmů obou stran</w:t>
      </w:r>
      <w:r>
        <w:rPr>
          <w:i/>
          <w:iCs/>
        </w:rPr>
        <w:t>,</w:t>
      </w:r>
    </w:p>
    <w:p w14:paraId="74F0E77B" w14:textId="77777777" w:rsidR="00484F88" w:rsidRDefault="00390676" w:rsidP="00484F88">
      <w:pPr>
        <w:pStyle w:val="Boddohody"/>
        <w:numPr>
          <w:ilvl w:val="1"/>
          <w:numId w:val="5"/>
        </w:numPr>
        <w:spacing w:before="120"/>
        <w:ind w:left="993" w:hanging="426"/>
      </w:pPr>
      <w:r>
        <w:t xml:space="preserve">na zaměstnance, který pracuje u zaměstnavatele </w:t>
      </w:r>
      <w:r w:rsidRPr="00390676">
        <w:rPr>
          <w:b/>
          <w:bCs/>
        </w:rPr>
        <w:t>na základě dohod o pracích konaných mimo pracovní poměr</w:t>
      </w:r>
      <w:r>
        <w:t>,</w:t>
      </w:r>
    </w:p>
    <w:p w14:paraId="2518FDB4" w14:textId="77777777" w:rsidR="00484F88" w:rsidRDefault="00484F88" w:rsidP="00484F88">
      <w:pPr>
        <w:pStyle w:val="Boddohody"/>
        <w:numPr>
          <w:ilvl w:val="1"/>
          <w:numId w:val="5"/>
        </w:numPr>
        <w:spacing w:before="120"/>
        <w:ind w:left="993" w:hanging="426"/>
      </w:pPr>
      <w:r>
        <w:t>na zaměstnance za dobu dočasného přidělení podle ustanovení § 43a zákoníku práce,</w:t>
      </w:r>
    </w:p>
    <w:p w14:paraId="74FE12D1" w14:textId="6A58C410" w:rsidR="00484F88" w:rsidRPr="00484F88" w:rsidRDefault="00484F88" w:rsidP="00484F88">
      <w:pPr>
        <w:pStyle w:val="Boddohody"/>
        <w:numPr>
          <w:ilvl w:val="1"/>
          <w:numId w:val="5"/>
        </w:numPr>
        <w:spacing w:before="120"/>
        <w:ind w:left="993" w:hanging="426"/>
      </w:pPr>
      <w:r>
        <w:t xml:space="preserve">na zaměstnance agentury práce za dobu dočasného přidělení k uživateli podle ustanovení § 307a a násl. zákoníku práce, </w:t>
      </w:r>
    </w:p>
    <w:p w14:paraId="114BCCDB" w14:textId="77777777" w:rsidR="00484F88" w:rsidRDefault="00484F88" w:rsidP="00484F88">
      <w:pPr>
        <w:pStyle w:val="Odstavecseseznamem"/>
        <w:ind w:left="567"/>
        <w:jc w:val="both"/>
        <w:rPr>
          <w:sz w:val="20"/>
          <w:szCs w:val="20"/>
        </w:rPr>
      </w:pPr>
    </w:p>
    <w:p w14:paraId="7C26E905" w14:textId="719236C3" w:rsidR="00484F88" w:rsidRPr="003949DD" w:rsidRDefault="00484F88" w:rsidP="00484F88">
      <w:pPr>
        <w:pStyle w:val="Odstavecseseznamem"/>
        <w:numPr>
          <w:ilvl w:val="0"/>
          <w:numId w:val="5"/>
        </w:numPr>
        <w:ind w:left="567" w:hanging="425"/>
        <w:jc w:val="both"/>
        <w:rPr>
          <w:sz w:val="20"/>
          <w:szCs w:val="20"/>
        </w:rPr>
      </w:pPr>
      <w:r w:rsidRPr="00082C0E">
        <w:rPr>
          <w:sz w:val="20"/>
          <w:szCs w:val="20"/>
        </w:rPr>
        <w:t xml:space="preserve">Příspěvek lze poskytnout pouze zaměstnavateli, </w:t>
      </w:r>
      <w:r w:rsidRPr="00082C0E">
        <w:rPr>
          <w:b/>
          <w:bCs/>
          <w:sz w:val="20"/>
          <w:szCs w:val="20"/>
        </w:rPr>
        <w:t xml:space="preserve">který </w:t>
      </w:r>
      <w:r w:rsidRPr="00082C0E">
        <w:rPr>
          <w:b/>
          <w:bCs/>
          <w:sz w:val="20"/>
          <w:szCs w:val="20"/>
          <w:shd w:val="clear" w:color="auto" w:fill="FFFFFF"/>
        </w:rPr>
        <w:t>nemá v evidenci daní zachyceny daňové nedoplatky vedené finančním nebo celním úřadem, nedoplatek na pojistném a na penále na veřejné zdravotní pojištění nebo na pojistném a na penále na sociální zabezpečení a příspěvku na státní politiku zaměstnanost</w:t>
      </w:r>
      <w:r w:rsidRPr="00082C0E">
        <w:rPr>
          <w:sz w:val="20"/>
          <w:szCs w:val="20"/>
          <w:shd w:val="clear" w:color="auto" w:fill="FFFFFF"/>
        </w:rPr>
        <w:t>i, s výjimkou případů, kdy bylo povoleno splácení ve splátkách a zaměstnavatel není v prodlení se splácením splátek nebo bylo povoleno posečkání daně</w:t>
      </w:r>
      <w:r>
        <w:rPr>
          <w:sz w:val="20"/>
          <w:szCs w:val="20"/>
          <w:shd w:val="clear" w:color="auto" w:fill="FFFFFF"/>
        </w:rPr>
        <w:t>.</w:t>
      </w:r>
    </w:p>
    <w:p w14:paraId="32C7DA5A" w14:textId="77777777" w:rsidR="00283EC7" w:rsidRDefault="00283EC7" w:rsidP="00484F88">
      <w:pPr>
        <w:pStyle w:val="Odstavecseseznamem"/>
        <w:jc w:val="center"/>
        <w:rPr>
          <w:b/>
          <w:bCs/>
          <w:color w:val="0070C0"/>
          <w:sz w:val="20"/>
          <w:szCs w:val="20"/>
        </w:rPr>
      </w:pPr>
    </w:p>
    <w:p w14:paraId="3682DA7F" w14:textId="61A5D10B" w:rsidR="00484F88" w:rsidRDefault="00EF5D8E" w:rsidP="00EF5D8E">
      <w:pPr>
        <w:rPr>
          <w:b/>
          <w:bCs/>
          <w:color w:val="0070C0"/>
          <w:sz w:val="20"/>
          <w:szCs w:val="20"/>
        </w:rPr>
      </w:pPr>
      <w:r>
        <w:rPr>
          <w:b/>
          <w:bCs/>
          <w:color w:val="0070C0"/>
          <w:sz w:val="20"/>
          <w:szCs w:val="20"/>
        </w:rPr>
        <w:t>Č</w:t>
      </w:r>
      <w:r w:rsidR="00484F88" w:rsidRPr="00EF5D8E">
        <w:rPr>
          <w:b/>
          <w:bCs/>
          <w:color w:val="0070C0"/>
          <w:sz w:val="20"/>
          <w:szCs w:val="20"/>
        </w:rPr>
        <w:t>lán</w:t>
      </w:r>
      <w:r>
        <w:rPr>
          <w:b/>
          <w:bCs/>
          <w:color w:val="0070C0"/>
          <w:sz w:val="20"/>
          <w:szCs w:val="20"/>
        </w:rPr>
        <w:t>e</w:t>
      </w:r>
      <w:r w:rsidR="00484F88" w:rsidRPr="00EF5D8E">
        <w:rPr>
          <w:b/>
          <w:bCs/>
          <w:color w:val="0070C0"/>
          <w:sz w:val="20"/>
          <w:szCs w:val="20"/>
        </w:rPr>
        <w:t xml:space="preserve">k VIII „Administrace programu“ </w:t>
      </w:r>
    </w:p>
    <w:p w14:paraId="541C5252" w14:textId="77777777" w:rsidR="00484F88" w:rsidRDefault="00484F88" w:rsidP="00484F88">
      <w:pPr>
        <w:pStyle w:val="Odstavecseseznamem"/>
        <w:numPr>
          <w:ilvl w:val="0"/>
          <w:numId w:val="13"/>
        </w:numPr>
        <w:spacing w:after="0" w:line="240" w:lineRule="auto"/>
        <w:ind w:left="426" w:hanging="426"/>
        <w:jc w:val="both"/>
        <w:rPr>
          <w:sz w:val="20"/>
          <w:szCs w:val="20"/>
        </w:rPr>
      </w:pPr>
      <w:r w:rsidRPr="00915430">
        <w:rPr>
          <w:sz w:val="20"/>
          <w:szCs w:val="20"/>
        </w:rPr>
        <w:t xml:space="preserve">Příspěvek bude poskytován zaměstnavateli </w:t>
      </w:r>
      <w:r w:rsidRPr="00915430">
        <w:rPr>
          <w:b/>
          <w:bCs/>
          <w:sz w:val="20"/>
          <w:szCs w:val="20"/>
        </w:rPr>
        <w:t>místně příslušným pracovištěm</w:t>
      </w:r>
      <w:r w:rsidRPr="00915430">
        <w:rPr>
          <w:sz w:val="20"/>
          <w:szCs w:val="20"/>
        </w:rPr>
        <w:t xml:space="preserve"> Úřadu práce ČR. Místní příslušnost se řídí adresou provozovny či sídla zaměstnavatele, v jehož rámci vzniká příslušná překážka v</w:t>
      </w:r>
      <w:r>
        <w:rPr>
          <w:sz w:val="20"/>
          <w:szCs w:val="20"/>
        </w:rPr>
        <w:t> </w:t>
      </w:r>
      <w:r w:rsidRPr="00915430">
        <w:rPr>
          <w:sz w:val="20"/>
          <w:szCs w:val="20"/>
        </w:rPr>
        <w:t>práci</w:t>
      </w:r>
      <w:r>
        <w:rPr>
          <w:sz w:val="20"/>
          <w:szCs w:val="20"/>
        </w:rPr>
        <w:t>, případně je MPSV nebo ÚP ČR, bude-li k tomu MPSV zmocněn, oprávněno určit dle organizačních a provozních možností jinou místní příslušnost</w:t>
      </w:r>
      <w:r w:rsidRPr="00915430">
        <w:rPr>
          <w:sz w:val="20"/>
          <w:szCs w:val="20"/>
        </w:rPr>
        <w:t>.</w:t>
      </w:r>
    </w:p>
    <w:p w14:paraId="38F4FB59" w14:textId="77777777" w:rsidR="00484F88" w:rsidRPr="00915430" w:rsidRDefault="00484F88" w:rsidP="00484F88">
      <w:pPr>
        <w:pStyle w:val="Odstavecseseznamem"/>
        <w:spacing w:after="0" w:line="240" w:lineRule="auto"/>
        <w:ind w:left="426"/>
        <w:jc w:val="both"/>
        <w:rPr>
          <w:sz w:val="20"/>
          <w:szCs w:val="20"/>
        </w:rPr>
      </w:pPr>
    </w:p>
    <w:p w14:paraId="4ED7F418" w14:textId="24B9F7B3" w:rsidR="00484F88" w:rsidRPr="00F32795" w:rsidRDefault="00484F88" w:rsidP="00484F88">
      <w:pPr>
        <w:pStyle w:val="Odstavecseseznamem"/>
        <w:numPr>
          <w:ilvl w:val="0"/>
          <w:numId w:val="13"/>
        </w:numPr>
        <w:spacing w:after="0" w:line="240" w:lineRule="auto"/>
        <w:ind w:left="426" w:hanging="426"/>
        <w:jc w:val="both"/>
        <w:rPr>
          <w:sz w:val="20"/>
          <w:szCs w:val="20"/>
        </w:rPr>
      </w:pPr>
      <w:r w:rsidRPr="00915430">
        <w:rPr>
          <w:sz w:val="20"/>
          <w:szCs w:val="20"/>
        </w:rPr>
        <w:t xml:space="preserve">Příspěvek bude poskytován </w:t>
      </w:r>
      <w:r w:rsidRPr="00915430">
        <w:rPr>
          <w:b/>
          <w:bCs/>
          <w:sz w:val="20"/>
          <w:szCs w:val="20"/>
        </w:rPr>
        <w:t>na základě písemné dohody</w:t>
      </w:r>
      <w:r w:rsidRPr="00915430">
        <w:rPr>
          <w:sz w:val="20"/>
          <w:szCs w:val="20"/>
        </w:rPr>
        <w:t xml:space="preserve"> uzavřené mezi Úřadem práce</w:t>
      </w:r>
      <w:r>
        <w:rPr>
          <w:sz w:val="20"/>
          <w:szCs w:val="20"/>
        </w:rPr>
        <w:t xml:space="preserve"> ČR</w:t>
      </w:r>
      <w:r w:rsidRPr="00915430">
        <w:rPr>
          <w:sz w:val="20"/>
          <w:szCs w:val="20"/>
        </w:rPr>
        <w:t xml:space="preserve"> a</w:t>
      </w:r>
      <w:r>
        <w:rPr>
          <w:sz w:val="20"/>
          <w:szCs w:val="20"/>
        </w:rPr>
        <w:t> </w:t>
      </w:r>
      <w:r w:rsidRPr="00915430">
        <w:rPr>
          <w:sz w:val="20"/>
          <w:szCs w:val="20"/>
        </w:rPr>
        <w:t>zaměstnavatelem.</w:t>
      </w:r>
      <w:r w:rsidR="000051F6">
        <w:rPr>
          <w:sz w:val="20"/>
          <w:szCs w:val="20"/>
        </w:rPr>
        <w:t xml:space="preserve"> Pro poskytování příspěvku </w:t>
      </w:r>
      <w:r w:rsidR="00217B90">
        <w:rPr>
          <w:sz w:val="20"/>
          <w:szCs w:val="20"/>
        </w:rPr>
        <w:t xml:space="preserve">z „programu Povodeň 2024, </w:t>
      </w:r>
      <w:r w:rsidR="000051F6">
        <w:rPr>
          <w:sz w:val="20"/>
          <w:szCs w:val="20"/>
        </w:rPr>
        <w:t>režim Sanace</w:t>
      </w:r>
      <w:r w:rsidR="00217B90">
        <w:rPr>
          <w:sz w:val="20"/>
          <w:szCs w:val="20"/>
        </w:rPr>
        <w:t>“</w:t>
      </w:r>
      <w:r w:rsidR="000051F6">
        <w:rPr>
          <w:sz w:val="20"/>
          <w:szCs w:val="20"/>
        </w:rPr>
        <w:t xml:space="preserve"> </w:t>
      </w:r>
      <w:r w:rsidR="000051F6" w:rsidRPr="000051F6">
        <w:rPr>
          <w:b/>
          <w:bCs/>
          <w:sz w:val="20"/>
          <w:szCs w:val="20"/>
        </w:rPr>
        <w:t>je potřeba uzavřít novou písemnou dohodu i v případě, že zaměstnavatel s Úřadem práce ČR dohodu</w:t>
      </w:r>
      <w:r w:rsidR="000051F6">
        <w:rPr>
          <w:b/>
          <w:bCs/>
          <w:sz w:val="20"/>
          <w:szCs w:val="20"/>
        </w:rPr>
        <w:t xml:space="preserve"> již</w:t>
      </w:r>
      <w:r w:rsidR="000051F6" w:rsidRPr="000051F6">
        <w:rPr>
          <w:b/>
          <w:bCs/>
          <w:sz w:val="20"/>
          <w:szCs w:val="20"/>
        </w:rPr>
        <w:t xml:space="preserve"> uzavřel podle původního znění programu.</w:t>
      </w:r>
      <w:r w:rsidR="000051F6">
        <w:rPr>
          <w:sz w:val="20"/>
          <w:szCs w:val="20"/>
        </w:rPr>
        <w:t xml:space="preserve"> </w:t>
      </w:r>
      <w:r>
        <w:rPr>
          <w:sz w:val="20"/>
          <w:szCs w:val="20"/>
        </w:rPr>
        <w:t xml:space="preserve">Dohoda je dvoustranným projevem svobodné vůle, její obsah je možné měnit pouze po dohodě obou smluvních stran prostřednictvím </w:t>
      </w:r>
      <w:r w:rsidR="00EB419C">
        <w:rPr>
          <w:sz w:val="20"/>
          <w:szCs w:val="20"/>
        </w:rPr>
        <w:t xml:space="preserve">písemných </w:t>
      </w:r>
      <w:r>
        <w:rPr>
          <w:sz w:val="20"/>
          <w:szCs w:val="20"/>
        </w:rPr>
        <w:t>dodatků</w:t>
      </w:r>
      <w:r w:rsidR="00EB419C">
        <w:rPr>
          <w:sz w:val="20"/>
          <w:szCs w:val="20"/>
        </w:rPr>
        <w:t>. T</w:t>
      </w:r>
      <w:r>
        <w:rPr>
          <w:sz w:val="20"/>
          <w:szCs w:val="20"/>
        </w:rPr>
        <w:t xml:space="preserve">o neplatí v případě </w:t>
      </w:r>
      <w:r w:rsidR="000051F6">
        <w:rPr>
          <w:sz w:val="20"/>
          <w:szCs w:val="20"/>
        </w:rPr>
        <w:t xml:space="preserve">technických nebo administrativních změn nebo </w:t>
      </w:r>
      <w:r>
        <w:rPr>
          <w:sz w:val="20"/>
          <w:szCs w:val="20"/>
        </w:rPr>
        <w:t xml:space="preserve">změn ve prospěch zaměstnavatele, kdy se bude postupovat podle platného znění podmínek </w:t>
      </w:r>
      <w:r w:rsidR="00217B90">
        <w:rPr>
          <w:sz w:val="20"/>
          <w:szCs w:val="20"/>
        </w:rPr>
        <w:t>„</w:t>
      </w:r>
      <w:r>
        <w:rPr>
          <w:sz w:val="20"/>
          <w:szCs w:val="20"/>
        </w:rPr>
        <w:t>programu Povodeň 2024</w:t>
      </w:r>
      <w:r w:rsidR="00217B90">
        <w:rPr>
          <w:sz w:val="20"/>
          <w:szCs w:val="20"/>
        </w:rPr>
        <w:t>, režim Sanace“</w:t>
      </w:r>
      <w:r>
        <w:rPr>
          <w:sz w:val="20"/>
          <w:szCs w:val="20"/>
        </w:rPr>
        <w:t xml:space="preserve"> bez nutnosti uzavírat písemné dodatky.</w:t>
      </w:r>
    </w:p>
    <w:p w14:paraId="3F046DAF" w14:textId="77777777" w:rsidR="00484F88" w:rsidRDefault="00484F88" w:rsidP="00484F88">
      <w:pPr>
        <w:pStyle w:val="Odstavecseseznamem"/>
        <w:jc w:val="center"/>
        <w:rPr>
          <w:b/>
          <w:bCs/>
          <w:color w:val="0070C0"/>
          <w:sz w:val="20"/>
          <w:szCs w:val="20"/>
        </w:rPr>
      </w:pPr>
    </w:p>
    <w:p w14:paraId="71DF2F7F" w14:textId="77777777" w:rsidR="000051F6" w:rsidRPr="00915430" w:rsidRDefault="000051F6" w:rsidP="000051F6">
      <w:pPr>
        <w:pStyle w:val="Odstavecseseznamem"/>
        <w:numPr>
          <w:ilvl w:val="0"/>
          <w:numId w:val="13"/>
        </w:numPr>
        <w:spacing w:after="0" w:line="240" w:lineRule="auto"/>
        <w:ind w:left="426" w:hanging="426"/>
        <w:jc w:val="both"/>
        <w:rPr>
          <w:sz w:val="20"/>
          <w:szCs w:val="20"/>
        </w:rPr>
      </w:pPr>
      <w:r w:rsidRPr="00915430">
        <w:rPr>
          <w:sz w:val="20"/>
          <w:szCs w:val="20"/>
        </w:rPr>
        <w:lastRenderedPageBreak/>
        <w:t xml:space="preserve">Písemná dohoda bude mezi Úřadem práce ČR a zaměstnavatelem uzavřena </w:t>
      </w:r>
      <w:r w:rsidRPr="00915430">
        <w:rPr>
          <w:b/>
          <w:bCs/>
          <w:sz w:val="20"/>
          <w:szCs w:val="20"/>
        </w:rPr>
        <w:t xml:space="preserve">na základě žádosti zaměstnavatele, která bude k dispozici na </w:t>
      </w:r>
      <w:r>
        <w:rPr>
          <w:b/>
          <w:bCs/>
          <w:sz w:val="20"/>
          <w:szCs w:val="20"/>
        </w:rPr>
        <w:t>webu MPSV</w:t>
      </w:r>
      <w:r w:rsidRPr="00915430">
        <w:rPr>
          <w:sz w:val="20"/>
          <w:szCs w:val="20"/>
        </w:rPr>
        <w:t xml:space="preserve">. Žádost bude zaměstnavatelem podána datovou schránkou nebo písemně. </w:t>
      </w:r>
    </w:p>
    <w:p w14:paraId="1F99FF2D" w14:textId="77777777" w:rsidR="000051F6" w:rsidRDefault="000051F6" w:rsidP="00484F88">
      <w:pPr>
        <w:pStyle w:val="Odstavecseseznamem"/>
        <w:jc w:val="center"/>
        <w:rPr>
          <w:b/>
          <w:bCs/>
          <w:color w:val="0070C0"/>
          <w:sz w:val="20"/>
          <w:szCs w:val="20"/>
        </w:rPr>
      </w:pPr>
    </w:p>
    <w:p w14:paraId="7280AAD0" w14:textId="56DAE580" w:rsidR="000051F6" w:rsidRDefault="000051F6" w:rsidP="000051F6">
      <w:pPr>
        <w:pStyle w:val="Odstavecseseznamem"/>
        <w:numPr>
          <w:ilvl w:val="0"/>
          <w:numId w:val="13"/>
        </w:numPr>
        <w:spacing w:after="0" w:line="240" w:lineRule="auto"/>
        <w:ind w:left="426" w:hanging="426"/>
        <w:jc w:val="both"/>
        <w:rPr>
          <w:sz w:val="20"/>
          <w:szCs w:val="20"/>
        </w:rPr>
      </w:pPr>
      <w:r w:rsidRPr="00915430">
        <w:rPr>
          <w:sz w:val="20"/>
          <w:szCs w:val="20"/>
        </w:rPr>
        <w:t>Žá</w:t>
      </w:r>
      <w:r w:rsidRPr="00915430">
        <w:rPr>
          <w:b/>
          <w:bCs/>
          <w:sz w:val="20"/>
          <w:szCs w:val="20"/>
        </w:rPr>
        <w:t xml:space="preserve">dost bude možné podávat </w:t>
      </w:r>
      <w:r>
        <w:rPr>
          <w:b/>
          <w:bCs/>
          <w:sz w:val="20"/>
          <w:szCs w:val="20"/>
        </w:rPr>
        <w:t>nejpozději</w:t>
      </w:r>
      <w:r w:rsidRPr="00915430">
        <w:rPr>
          <w:b/>
          <w:bCs/>
          <w:sz w:val="20"/>
          <w:szCs w:val="20"/>
        </w:rPr>
        <w:t xml:space="preserve"> do </w:t>
      </w:r>
      <w:r>
        <w:rPr>
          <w:b/>
          <w:bCs/>
          <w:sz w:val="20"/>
          <w:szCs w:val="20"/>
        </w:rPr>
        <w:t>3</w:t>
      </w:r>
      <w:r w:rsidR="00C54ED6">
        <w:rPr>
          <w:b/>
          <w:bCs/>
          <w:sz w:val="20"/>
          <w:szCs w:val="20"/>
        </w:rPr>
        <w:t>0</w:t>
      </w:r>
      <w:r>
        <w:rPr>
          <w:b/>
          <w:bCs/>
          <w:sz w:val="20"/>
          <w:szCs w:val="20"/>
        </w:rPr>
        <w:t>. května 2025</w:t>
      </w:r>
      <w:r>
        <w:rPr>
          <w:sz w:val="20"/>
          <w:szCs w:val="20"/>
        </w:rPr>
        <w:t>, přičemž dojde-li k prodloužení období uznatelného období uvedeného v článku VI, je MPSV oprávněno prodloužit rovněž období příjmu žádostí</w:t>
      </w:r>
      <w:r w:rsidRPr="00915430">
        <w:rPr>
          <w:sz w:val="20"/>
          <w:szCs w:val="20"/>
        </w:rPr>
        <w:t xml:space="preserve">. </w:t>
      </w:r>
    </w:p>
    <w:p w14:paraId="1CD98990" w14:textId="77777777" w:rsidR="000051F6" w:rsidRPr="000051F6" w:rsidRDefault="000051F6" w:rsidP="000051F6">
      <w:pPr>
        <w:pStyle w:val="Odstavecseseznamem"/>
        <w:rPr>
          <w:sz w:val="20"/>
          <w:szCs w:val="20"/>
        </w:rPr>
      </w:pPr>
    </w:p>
    <w:p w14:paraId="58829684" w14:textId="7D173F02" w:rsidR="00BC3D20" w:rsidRPr="00BC3D20" w:rsidRDefault="000051F6" w:rsidP="004517B6">
      <w:pPr>
        <w:pStyle w:val="Odstavecseseznamem"/>
        <w:numPr>
          <w:ilvl w:val="0"/>
          <w:numId w:val="13"/>
        </w:numPr>
        <w:spacing w:after="0" w:line="240" w:lineRule="auto"/>
        <w:ind w:left="426" w:hanging="426"/>
        <w:jc w:val="both"/>
        <w:rPr>
          <w:b/>
          <w:bCs/>
          <w:sz w:val="20"/>
          <w:szCs w:val="20"/>
        </w:rPr>
      </w:pPr>
      <w:r w:rsidRPr="00915430">
        <w:rPr>
          <w:sz w:val="20"/>
          <w:szCs w:val="20"/>
        </w:rPr>
        <w:t xml:space="preserve">Písemná dohoda bude </w:t>
      </w:r>
      <w:r w:rsidRPr="00915430">
        <w:rPr>
          <w:b/>
          <w:bCs/>
          <w:sz w:val="20"/>
          <w:szCs w:val="20"/>
        </w:rPr>
        <w:t>uzavřena s každým zaměstnavatelem</w:t>
      </w:r>
      <w:r w:rsidRPr="00915430">
        <w:rPr>
          <w:sz w:val="20"/>
          <w:szCs w:val="20"/>
        </w:rPr>
        <w:t>, který podá žádost podle bodu 3.</w:t>
      </w:r>
      <w:r>
        <w:rPr>
          <w:sz w:val="20"/>
          <w:szCs w:val="20"/>
        </w:rPr>
        <w:t> </w:t>
      </w:r>
      <w:r w:rsidRPr="00915430">
        <w:rPr>
          <w:sz w:val="20"/>
          <w:szCs w:val="20"/>
        </w:rPr>
        <w:t>tohoto článku programu</w:t>
      </w:r>
      <w:r w:rsidR="00BC3D20">
        <w:rPr>
          <w:sz w:val="20"/>
          <w:szCs w:val="20"/>
        </w:rPr>
        <w:t xml:space="preserve"> spolu s podklady uvedenými </w:t>
      </w:r>
      <w:r w:rsidR="001E2097">
        <w:rPr>
          <w:sz w:val="20"/>
          <w:szCs w:val="20"/>
        </w:rPr>
        <w:t xml:space="preserve">v bodech 5.1. a 5.2. tohoto článku </w:t>
      </w:r>
      <w:r w:rsidR="00217B90">
        <w:rPr>
          <w:sz w:val="20"/>
          <w:szCs w:val="20"/>
        </w:rPr>
        <w:t>„</w:t>
      </w:r>
      <w:r w:rsidR="001E2097">
        <w:rPr>
          <w:sz w:val="20"/>
          <w:szCs w:val="20"/>
        </w:rPr>
        <w:t>programu</w:t>
      </w:r>
      <w:r w:rsidR="00217B90">
        <w:rPr>
          <w:sz w:val="20"/>
          <w:szCs w:val="20"/>
        </w:rPr>
        <w:t xml:space="preserve"> Povodeň 2024, režim Sanace“</w:t>
      </w:r>
      <w:r w:rsidRPr="00915430">
        <w:rPr>
          <w:sz w:val="20"/>
          <w:szCs w:val="20"/>
        </w:rPr>
        <w:t xml:space="preserve"> a u kterého nastane některá z</w:t>
      </w:r>
      <w:r>
        <w:rPr>
          <w:sz w:val="20"/>
          <w:szCs w:val="20"/>
        </w:rPr>
        <w:t> příslušných situací režimu Sanace</w:t>
      </w:r>
      <w:r w:rsidRPr="00915430">
        <w:rPr>
          <w:sz w:val="20"/>
          <w:szCs w:val="20"/>
        </w:rPr>
        <w:t xml:space="preserve"> (resp. zaměstnavatel tuto situaci deklaruje v žádosti)</w:t>
      </w:r>
      <w:r>
        <w:rPr>
          <w:sz w:val="20"/>
          <w:szCs w:val="20"/>
        </w:rPr>
        <w:t xml:space="preserve"> a který bude způsobilý (splní podmínky) k poskytnutí příspěvku </w:t>
      </w:r>
      <w:r w:rsidR="00217B90">
        <w:rPr>
          <w:sz w:val="20"/>
          <w:szCs w:val="20"/>
        </w:rPr>
        <w:t>„</w:t>
      </w:r>
      <w:r>
        <w:rPr>
          <w:sz w:val="20"/>
          <w:szCs w:val="20"/>
        </w:rPr>
        <w:t>programu Povodeň 2024</w:t>
      </w:r>
      <w:r w:rsidR="00217B90">
        <w:rPr>
          <w:sz w:val="20"/>
          <w:szCs w:val="20"/>
        </w:rPr>
        <w:t>, režim Sanace“</w:t>
      </w:r>
      <w:r w:rsidRPr="00915430">
        <w:rPr>
          <w:sz w:val="20"/>
          <w:szCs w:val="20"/>
        </w:rPr>
        <w:t>.</w:t>
      </w:r>
      <w:r w:rsidR="004517B6">
        <w:rPr>
          <w:sz w:val="20"/>
          <w:szCs w:val="20"/>
        </w:rPr>
        <w:t xml:space="preserve"> </w:t>
      </w:r>
      <w:r w:rsidR="00D863EA">
        <w:rPr>
          <w:sz w:val="20"/>
          <w:szCs w:val="20"/>
        </w:rPr>
        <w:t>Nebude-li žádost a</w:t>
      </w:r>
      <w:r w:rsidR="00E7788D">
        <w:rPr>
          <w:sz w:val="20"/>
          <w:szCs w:val="20"/>
        </w:rPr>
        <w:t> </w:t>
      </w:r>
      <w:r w:rsidR="00D863EA">
        <w:rPr>
          <w:sz w:val="20"/>
          <w:szCs w:val="20"/>
        </w:rPr>
        <w:t>doklady uvedené v bodech 5.1. a 5.2. tohoto článku programu doložena nejpozději do 3</w:t>
      </w:r>
      <w:r w:rsidR="00C54ED6">
        <w:rPr>
          <w:sz w:val="20"/>
          <w:szCs w:val="20"/>
        </w:rPr>
        <w:t>0</w:t>
      </w:r>
      <w:r w:rsidR="00D863EA">
        <w:rPr>
          <w:sz w:val="20"/>
          <w:szCs w:val="20"/>
        </w:rPr>
        <w:t>. května 2025,</w:t>
      </w:r>
      <w:r w:rsidR="00C54ED6">
        <w:rPr>
          <w:sz w:val="20"/>
          <w:szCs w:val="20"/>
        </w:rPr>
        <w:t xml:space="preserve"> dohoda o poskytnutí příspěvku nebude se zaměstnavatelem uzavřena. </w:t>
      </w:r>
      <w:r w:rsidR="00D863EA">
        <w:rPr>
          <w:sz w:val="20"/>
          <w:szCs w:val="20"/>
        </w:rPr>
        <w:t xml:space="preserve"> </w:t>
      </w:r>
      <w:r w:rsidR="00BC3D20" w:rsidRPr="00F36C86">
        <w:rPr>
          <w:b/>
          <w:bCs/>
          <w:sz w:val="20"/>
          <w:szCs w:val="20"/>
        </w:rPr>
        <w:t>Zaměstnavatel spolu s žádostí doloží</w:t>
      </w:r>
      <w:r w:rsidR="00BC3D20">
        <w:rPr>
          <w:sz w:val="20"/>
          <w:szCs w:val="20"/>
        </w:rPr>
        <w:t>:</w:t>
      </w:r>
    </w:p>
    <w:p w14:paraId="3583F569" w14:textId="77777777" w:rsidR="00BC3D20" w:rsidRPr="00BC3D20" w:rsidRDefault="00BC3D20" w:rsidP="00BC3D20">
      <w:pPr>
        <w:pStyle w:val="Odstavecseseznamem"/>
        <w:rPr>
          <w:b/>
          <w:bCs/>
          <w:sz w:val="20"/>
          <w:szCs w:val="20"/>
        </w:rPr>
      </w:pPr>
    </w:p>
    <w:p w14:paraId="5A746B61" w14:textId="77777777" w:rsidR="001E2097" w:rsidRDefault="00BC3D20" w:rsidP="001E2097">
      <w:pPr>
        <w:pStyle w:val="Odstavecseseznamem"/>
        <w:numPr>
          <w:ilvl w:val="1"/>
          <w:numId w:val="13"/>
        </w:numPr>
        <w:spacing w:after="0" w:line="240" w:lineRule="auto"/>
        <w:jc w:val="both"/>
        <w:rPr>
          <w:b/>
          <w:bCs/>
          <w:sz w:val="20"/>
          <w:szCs w:val="20"/>
        </w:rPr>
      </w:pPr>
      <w:r w:rsidRPr="001E2097">
        <w:rPr>
          <w:b/>
          <w:bCs/>
          <w:sz w:val="20"/>
          <w:szCs w:val="20"/>
        </w:rPr>
        <w:t>výkaz nebo více výkazů „Vyúčtování mzdových nákladů – Povodeň 2024, režim Sanace</w:t>
      </w:r>
      <w:r w:rsidRPr="001E2097">
        <w:rPr>
          <w:sz w:val="20"/>
          <w:szCs w:val="20"/>
        </w:rPr>
        <w:t xml:space="preserve">“ (dále jen „výkaz“) ze jednotlivé kalendářní měsíce, </w:t>
      </w:r>
      <w:r w:rsidRPr="001E2097">
        <w:rPr>
          <w:b/>
          <w:bCs/>
          <w:sz w:val="20"/>
          <w:szCs w:val="20"/>
        </w:rPr>
        <w:t xml:space="preserve">za které požaduje poskytnutí příspěvku, </w:t>
      </w:r>
    </w:p>
    <w:p w14:paraId="523B6984" w14:textId="77777777" w:rsidR="001E2097" w:rsidRDefault="001E2097" w:rsidP="001E2097">
      <w:pPr>
        <w:pStyle w:val="Odstavecseseznamem"/>
        <w:spacing w:after="0" w:line="240" w:lineRule="auto"/>
        <w:jc w:val="both"/>
        <w:rPr>
          <w:b/>
          <w:bCs/>
          <w:sz w:val="20"/>
          <w:szCs w:val="20"/>
        </w:rPr>
      </w:pPr>
    </w:p>
    <w:p w14:paraId="395B61E4" w14:textId="3F4842E7" w:rsidR="00F36C86" w:rsidRDefault="00F36C86" w:rsidP="001E2097">
      <w:pPr>
        <w:pStyle w:val="Odstavecseseznamem"/>
        <w:numPr>
          <w:ilvl w:val="1"/>
          <w:numId w:val="13"/>
        </w:numPr>
        <w:spacing w:after="0" w:line="240" w:lineRule="auto"/>
        <w:jc w:val="both"/>
        <w:rPr>
          <w:b/>
          <w:bCs/>
          <w:sz w:val="20"/>
          <w:szCs w:val="20"/>
        </w:rPr>
      </w:pPr>
      <w:r w:rsidRPr="001E2097">
        <w:rPr>
          <w:b/>
          <w:bCs/>
          <w:sz w:val="20"/>
          <w:szCs w:val="20"/>
        </w:rPr>
        <w:t>doklad odpovídající příslušné situaci režimu Sanace:</w:t>
      </w:r>
    </w:p>
    <w:p w14:paraId="7F892CB4" w14:textId="77777777" w:rsidR="001E2097" w:rsidRPr="001E2097" w:rsidRDefault="001E2097" w:rsidP="001E2097">
      <w:pPr>
        <w:pStyle w:val="Odstavecseseznamem"/>
        <w:rPr>
          <w:b/>
          <w:bCs/>
          <w:sz w:val="20"/>
          <w:szCs w:val="20"/>
        </w:rPr>
      </w:pPr>
    </w:p>
    <w:p w14:paraId="6A5E1E9A" w14:textId="77777777" w:rsidR="001E2097" w:rsidRPr="001E2097" w:rsidRDefault="00F36C86" w:rsidP="001E2097">
      <w:pPr>
        <w:pStyle w:val="Odstavecseseznamem"/>
        <w:numPr>
          <w:ilvl w:val="2"/>
          <w:numId w:val="13"/>
        </w:numPr>
        <w:spacing w:after="0" w:line="240" w:lineRule="auto"/>
        <w:ind w:left="1560" w:hanging="709"/>
        <w:jc w:val="both"/>
        <w:rPr>
          <w:b/>
          <w:bCs/>
          <w:sz w:val="20"/>
          <w:szCs w:val="20"/>
        </w:rPr>
      </w:pPr>
      <w:r>
        <w:rPr>
          <w:b/>
          <w:bCs/>
          <w:sz w:val="20"/>
          <w:szCs w:val="20"/>
        </w:rPr>
        <w:t xml:space="preserve">doklad o ohlášení pojistné události nebo obdobný doklad, </w:t>
      </w:r>
      <w:r w:rsidRPr="00F36C86">
        <w:rPr>
          <w:sz w:val="20"/>
          <w:szCs w:val="20"/>
        </w:rPr>
        <w:t>ze kterého vyplyne řešení příslušné pojistné události, popř. potvrzení místní samosprávy o zasažení provozovny nebo sídla zaměstnavatele ve svém správním obvodu nebo potvrzení jiného orgánu veřejné správy (např. příslušná správa povodí),</w:t>
      </w:r>
      <w:r>
        <w:rPr>
          <w:b/>
          <w:bCs/>
          <w:sz w:val="20"/>
          <w:szCs w:val="20"/>
        </w:rPr>
        <w:t xml:space="preserve"> </w:t>
      </w:r>
      <w:r w:rsidRPr="00C54ED6">
        <w:rPr>
          <w:sz w:val="20"/>
          <w:szCs w:val="20"/>
          <w:u w:val="single"/>
        </w:rPr>
        <w:t>jestliže důvodem omezení provozu zaměstnavatele byla škoda na majetku</w:t>
      </w:r>
      <w:r w:rsidRPr="00F36C86">
        <w:rPr>
          <w:sz w:val="20"/>
          <w:szCs w:val="20"/>
        </w:rPr>
        <w:t>,</w:t>
      </w:r>
    </w:p>
    <w:p w14:paraId="09B6B5F5" w14:textId="77777777" w:rsidR="001E2097" w:rsidRDefault="00F36C86" w:rsidP="001E2097">
      <w:pPr>
        <w:pStyle w:val="Odstavecseseznamem"/>
        <w:numPr>
          <w:ilvl w:val="2"/>
          <w:numId w:val="13"/>
        </w:numPr>
        <w:spacing w:after="0" w:line="240" w:lineRule="auto"/>
        <w:ind w:left="1560" w:hanging="709"/>
        <w:jc w:val="both"/>
        <w:rPr>
          <w:b/>
          <w:bCs/>
          <w:sz w:val="20"/>
          <w:szCs w:val="20"/>
        </w:rPr>
      </w:pPr>
      <w:r w:rsidRPr="001E2097">
        <w:rPr>
          <w:b/>
          <w:bCs/>
          <w:sz w:val="20"/>
          <w:szCs w:val="20"/>
        </w:rPr>
        <w:t xml:space="preserve">potvrzení / vyjádření distributora energií nebo vody o přerušení dodávek </w:t>
      </w:r>
      <w:r w:rsidRPr="001E2097">
        <w:rPr>
          <w:sz w:val="20"/>
          <w:szCs w:val="20"/>
        </w:rPr>
        <w:t xml:space="preserve">s uvedením doby a termínů tohoto přerušení, </w:t>
      </w:r>
      <w:r w:rsidRPr="00C54ED6">
        <w:rPr>
          <w:sz w:val="20"/>
          <w:szCs w:val="20"/>
          <w:u w:val="single"/>
        </w:rPr>
        <w:t>jestliže důvodem omezení provozu zaměstnavatele byl výpadek těchto dodávek</w:t>
      </w:r>
      <w:r w:rsidRPr="001E2097">
        <w:rPr>
          <w:sz w:val="20"/>
          <w:szCs w:val="20"/>
        </w:rPr>
        <w:t>,</w:t>
      </w:r>
      <w:r w:rsidRPr="001E2097">
        <w:rPr>
          <w:b/>
          <w:bCs/>
          <w:sz w:val="20"/>
          <w:szCs w:val="20"/>
        </w:rPr>
        <w:t xml:space="preserve"> </w:t>
      </w:r>
    </w:p>
    <w:p w14:paraId="6E09CF43" w14:textId="39BA6EFE" w:rsidR="00D95A96" w:rsidRDefault="00A14105" w:rsidP="00D95A96">
      <w:pPr>
        <w:pStyle w:val="Odstavecseseznamem"/>
        <w:numPr>
          <w:ilvl w:val="2"/>
          <w:numId w:val="13"/>
        </w:numPr>
        <w:spacing w:after="0" w:line="240" w:lineRule="auto"/>
        <w:ind w:left="1560" w:hanging="709"/>
        <w:jc w:val="both"/>
        <w:rPr>
          <w:b/>
          <w:bCs/>
          <w:sz w:val="20"/>
          <w:szCs w:val="20"/>
        </w:rPr>
      </w:pPr>
      <w:r w:rsidRPr="001E2097">
        <w:rPr>
          <w:b/>
          <w:bCs/>
          <w:sz w:val="20"/>
          <w:szCs w:val="20"/>
        </w:rPr>
        <w:t xml:space="preserve">obchodní smlouvy, objednávky nebo jiné obdobné doklady, ze kterých bude patrný obchodní vztah mezi zasaženým dodavatelem a zaměstnavatelem, </w:t>
      </w:r>
      <w:r w:rsidRPr="00C54ED6">
        <w:rPr>
          <w:sz w:val="20"/>
          <w:szCs w:val="20"/>
          <w:u w:val="single"/>
        </w:rPr>
        <w:t>jestliže důvodem omezení provozu zaměstnavatele byl výpadek vstupních dodávek od dodavatele, který sám byl zasažen živelní událostí</w:t>
      </w:r>
      <w:r w:rsidRPr="001E2097">
        <w:rPr>
          <w:sz w:val="20"/>
          <w:szCs w:val="20"/>
        </w:rPr>
        <w:t>.</w:t>
      </w:r>
      <w:r w:rsidRPr="001E2097">
        <w:rPr>
          <w:b/>
          <w:bCs/>
          <w:sz w:val="20"/>
          <w:szCs w:val="20"/>
        </w:rPr>
        <w:t xml:space="preserve"> </w:t>
      </w:r>
      <w:r w:rsidRPr="001E2097">
        <w:rPr>
          <w:sz w:val="20"/>
          <w:szCs w:val="20"/>
        </w:rPr>
        <w:t>Skutečnost, že dodavatel zaměstnavatele byl zasažen živelní událostí bude potřeba prokázat doklady uvedenými v</w:t>
      </w:r>
      <w:r w:rsidR="00875830">
        <w:rPr>
          <w:sz w:val="20"/>
          <w:szCs w:val="20"/>
        </w:rPr>
        <w:t> bodě 5.2.1. tohoto článku</w:t>
      </w:r>
      <w:r w:rsidRPr="001E2097">
        <w:rPr>
          <w:sz w:val="20"/>
          <w:szCs w:val="20"/>
        </w:rPr>
        <w:t>, a to pouze v případě, že tyto doklady již nebyly doloženy zasaženým dodavatelem v rámci jeho žádosti o příspěvek z</w:t>
      </w:r>
      <w:r w:rsidR="00851C71">
        <w:rPr>
          <w:sz w:val="20"/>
          <w:szCs w:val="20"/>
        </w:rPr>
        <w:t> </w:t>
      </w:r>
      <w:r w:rsidRPr="001E2097">
        <w:rPr>
          <w:sz w:val="20"/>
          <w:szCs w:val="20"/>
        </w:rPr>
        <w:t>programu</w:t>
      </w:r>
      <w:r w:rsidR="00851C71">
        <w:rPr>
          <w:sz w:val="20"/>
          <w:szCs w:val="20"/>
        </w:rPr>
        <w:t>,</w:t>
      </w:r>
      <w:r w:rsidR="00D95A96" w:rsidRPr="00D95A96">
        <w:rPr>
          <w:b/>
          <w:bCs/>
          <w:sz w:val="20"/>
          <w:szCs w:val="20"/>
        </w:rPr>
        <w:t xml:space="preserve"> </w:t>
      </w:r>
    </w:p>
    <w:p w14:paraId="500E47AE" w14:textId="02115580" w:rsidR="00D95A96" w:rsidRPr="001E2097" w:rsidRDefault="00D95A96" w:rsidP="00D95A96">
      <w:pPr>
        <w:pStyle w:val="Odstavecseseznamem"/>
        <w:numPr>
          <w:ilvl w:val="2"/>
          <w:numId w:val="13"/>
        </w:numPr>
        <w:spacing w:after="0" w:line="240" w:lineRule="auto"/>
        <w:ind w:left="1560" w:hanging="709"/>
        <w:jc w:val="both"/>
        <w:rPr>
          <w:b/>
          <w:bCs/>
          <w:sz w:val="20"/>
          <w:szCs w:val="20"/>
        </w:rPr>
      </w:pPr>
      <w:r w:rsidRPr="001E2097">
        <w:rPr>
          <w:b/>
          <w:bCs/>
          <w:sz w:val="20"/>
          <w:szCs w:val="20"/>
        </w:rPr>
        <w:t xml:space="preserve">potvrzení správce komunikací, </w:t>
      </w:r>
      <w:r w:rsidRPr="00C54ED6">
        <w:rPr>
          <w:sz w:val="20"/>
          <w:szCs w:val="20"/>
          <w:u w:val="single"/>
        </w:rPr>
        <w:t>jestliže důvodem omezení provozu zaměstnavatele bylo poškození dopravních cest</w:t>
      </w:r>
      <w:r w:rsidRPr="001E2097">
        <w:rPr>
          <w:sz w:val="20"/>
          <w:szCs w:val="20"/>
        </w:rPr>
        <w:t>,</w:t>
      </w:r>
    </w:p>
    <w:p w14:paraId="243D0A27" w14:textId="01B2449F" w:rsidR="00D95A96" w:rsidRPr="00D95A96" w:rsidRDefault="00C54ED6" w:rsidP="00D95A96">
      <w:pPr>
        <w:pStyle w:val="Odstavecseseznamem"/>
        <w:numPr>
          <w:ilvl w:val="2"/>
          <w:numId w:val="13"/>
        </w:numPr>
        <w:spacing w:after="0" w:line="240" w:lineRule="auto"/>
        <w:ind w:left="1560" w:hanging="709"/>
        <w:jc w:val="both"/>
        <w:rPr>
          <w:b/>
          <w:bCs/>
          <w:sz w:val="20"/>
          <w:szCs w:val="20"/>
        </w:rPr>
      </w:pPr>
      <w:r w:rsidRPr="00D95A96">
        <w:rPr>
          <w:b/>
          <w:bCs/>
          <w:sz w:val="20"/>
          <w:szCs w:val="20"/>
        </w:rPr>
        <w:t xml:space="preserve">čestné prohlášení, ve kterém zaměstnavatel </w:t>
      </w:r>
      <w:r w:rsidR="00E10B04" w:rsidRPr="00D95A96">
        <w:rPr>
          <w:b/>
          <w:bCs/>
          <w:sz w:val="20"/>
          <w:szCs w:val="20"/>
        </w:rPr>
        <w:t>prohlašuje</w:t>
      </w:r>
      <w:r w:rsidRPr="00D95A96">
        <w:rPr>
          <w:b/>
          <w:bCs/>
          <w:sz w:val="20"/>
          <w:szCs w:val="20"/>
        </w:rPr>
        <w:t>, kteří zaměstnanci byli převedeni na jinou práci, o jakou jinou práci se jednalo, jak tato jiná práce souvisela s odstraňováním škod po živelní události</w:t>
      </w:r>
      <w:r w:rsidR="00E379EF" w:rsidRPr="00D95A96">
        <w:rPr>
          <w:b/>
          <w:bCs/>
          <w:sz w:val="20"/>
          <w:szCs w:val="20"/>
        </w:rPr>
        <w:t xml:space="preserve"> a jakou práci mají tito zaměstnanci sjednanou v pracovní smlouvě; </w:t>
      </w:r>
      <w:r w:rsidR="00E10B04" w:rsidRPr="00D95A96">
        <w:rPr>
          <w:sz w:val="20"/>
          <w:szCs w:val="20"/>
          <w:u w:val="single"/>
        </w:rPr>
        <w:t xml:space="preserve">toto čestné prohlášení zaměstnavatel dokládá </w:t>
      </w:r>
      <w:r w:rsidR="00875830">
        <w:rPr>
          <w:sz w:val="20"/>
          <w:szCs w:val="20"/>
          <w:u w:val="single"/>
        </w:rPr>
        <w:t xml:space="preserve">spolu s doklady uvedenými v bodě 5.2.1. tohoto článku </w:t>
      </w:r>
      <w:r w:rsidR="00E10B04" w:rsidRPr="00D95A96">
        <w:rPr>
          <w:sz w:val="20"/>
          <w:szCs w:val="20"/>
          <w:u w:val="single"/>
        </w:rPr>
        <w:t xml:space="preserve">pouze </w:t>
      </w:r>
      <w:r w:rsidR="00D95A96" w:rsidRPr="00D95A96">
        <w:rPr>
          <w:sz w:val="20"/>
          <w:szCs w:val="20"/>
          <w:u w:val="single"/>
        </w:rPr>
        <w:t xml:space="preserve">v případě, žádá-li </w:t>
      </w:r>
      <w:r w:rsidR="00E10B04" w:rsidRPr="00D95A96">
        <w:rPr>
          <w:sz w:val="20"/>
          <w:szCs w:val="20"/>
          <w:u w:val="single"/>
        </w:rPr>
        <w:t xml:space="preserve">o příspěvek na </w:t>
      </w:r>
      <w:r w:rsidR="00D95A96" w:rsidRPr="00D95A96">
        <w:rPr>
          <w:sz w:val="20"/>
          <w:szCs w:val="20"/>
          <w:u w:val="single"/>
        </w:rPr>
        <w:t>krytí nebo úhradu mezd za dobu převedení zaměstnance na jinou práci, včetně pojistného na sociální zabezpečení a příspěvku na státní politiku zaměstnanosti a pojistného na veřejné zdravotní pojištění, které zaměstnavatel za sebe odvedl z vyměřovacího základu zaměstnanců,</w:t>
      </w:r>
    </w:p>
    <w:p w14:paraId="353E9974" w14:textId="12CE213B" w:rsidR="00E379EF" w:rsidRPr="00D95A96" w:rsidRDefault="00E379EF" w:rsidP="00E379EF">
      <w:pPr>
        <w:pStyle w:val="Odstavecseseznamem"/>
        <w:numPr>
          <w:ilvl w:val="2"/>
          <w:numId w:val="13"/>
        </w:numPr>
        <w:spacing w:after="0" w:line="240" w:lineRule="auto"/>
        <w:ind w:left="1560" w:hanging="709"/>
        <w:jc w:val="both"/>
        <w:rPr>
          <w:b/>
          <w:bCs/>
          <w:sz w:val="20"/>
          <w:szCs w:val="20"/>
        </w:rPr>
      </w:pPr>
      <w:r>
        <w:rPr>
          <w:b/>
          <w:bCs/>
          <w:sz w:val="20"/>
          <w:szCs w:val="20"/>
        </w:rPr>
        <w:t xml:space="preserve">čestné prohlášení, </w:t>
      </w:r>
      <w:r w:rsidRPr="00851C71">
        <w:rPr>
          <w:sz w:val="20"/>
          <w:szCs w:val="20"/>
        </w:rPr>
        <w:t>ve kterém</w:t>
      </w:r>
      <w:r>
        <w:rPr>
          <w:sz w:val="20"/>
          <w:szCs w:val="20"/>
        </w:rPr>
        <w:t xml:space="preserve"> zaměstnavatel</w:t>
      </w:r>
      <w:r w:rsidRPr="00851C71">
        <w:rPr>
          <w:sz w:val="20"/>
          <w:szCs w:val="20"/>
        </w:rPr>
        <w:t xml:space="preserve"> </w:t>
      </w:r>
      <w:r w:rsidRPr="00E379EF">
        <w:rPr>
          <w:b/>
          <w:bCs/>
          <w:sz w:val="20"/>
          <w:szCs w:val="20"/>
        </w:rPr>
        <w:t>popíše rozsah a charakter povodňových škod</w:t>
      </w:r>
      <w:r w:rsidRPr="00851C71">
        <w:rPr>
          <w:sz w:val="20"/>
          <w:szCs w:val="20"/>
        </w:rPr>
        <w:t>, příčinnou souvislost mezi nimi a příslušnou situací režimu Sanace a</w:t>
      </w:r>
      <w:r>
        <w:rPr>
          <w:b/>
          <w:bCs/>
          <w:sz w:val="20"/>
          <w:szCs w:val="20"/>
        </w:rPr>
        <w:t xml:space="preserve"> čestně prohlásí, že příslušná situace režimu Sanace přetrvávala v období, za které žádá o příspěvek (tj. za které podává výkaz); </w:t>
      </w:r>
      <w:r w:rsidRPr="00E379EF">
        <w:rPr>
          <w:sz w:val="20"/>
          <w:szCs w:val="20"/>
          <w:u w:val="single"/>
        </w:rPr>
        <w:t xml:space="preserve">toto čestné prohlášení zaměstnavatel předloží </w:t>
      </w:r>
      <w:r w:rsidR="00D95A96">
        <w:rPr>
          <w:sz w:val="20"/>
          <w:szCs w:val="20"/>
          <w:u w:val="single"/>
        </w:rPr>
        <w:t>ve</w:t>
      </w:r>
      <w:r w:rsidRPr="00E379EF">
        <w:rPr>
          <w:sz w:val="20"/>
          <w:szCs w:val="20"/>
          <w:u w:val="single"/>
        </w:rPr>
        <w:t xml:space="preserve"> vše</w:t>
      </w:r>
      <w:r w:rsidR="00D95A96">
        <w:rPr>
          <w:sz w:val="20"/>
          <w:szCs w:val="20"/>
          <w:u w:val="single"/>
        </w:rPr>
        <w:t>ch případech</w:t>
      </w:r>
      <w:r w:rsidRPr="00E379EF">
        <w:rPr>
          <w:sz w:val="20"/>
          <w:szCs w:val="20"/>
          <w:u w:val="single"/>
        </w:rPr>
        <w:t xml:space="preserve"> uvedený</w:t>
      </w:r>
      <w:r w:rsidR="00D95A96">
        <w:rPr>
          <w:sz w:val="20"/>
          <w:szCs w:val="20"/>
          <w:u w:val="single"/>
        </w:rPr>
        <w:t>ch pod body 5.2.1. až 5.2.5. tohoto článku programu.</w:t>
      </w:r>
    </w:p>
    <w:p w14:paraId="38CA43C1" w14:textId="77777777" w:rsidR="00D95A96" w:rsidRDefault="00D95A96" w:rsidP="00D95A96">
      <w:pPr>
        <w:spacing w:after="0" w:line="240" w:lineRule="auto"/>
        <w:jc w:val="both"/>
        <w:rPr>
          <w:b/>
          <w:bCs/>
          <w:sz w:val="20"/>
          <w:szCs w:val="20"/>
        </w:rPr>
      </w:pPr>
    </w:p>
    <w:p w14:paraId="0ED5B05E" w14:textId="22352FC4" w:rsidR="00D95A96" w:rsidRPr="00D95A96" w:rsidRDefault="00D95A96" w:rsidP="00D95A96">
      <w:pPr>
        <w:pStyle w:val="Odstavecseseznamem"/>
        <w:numPr>
          <w:ilvl w:val="1"/>
          <w:numId w:val="13"/>
        </w:numPr>
        <w:spacing w:after="0" w:line="240" w:lineRule="auto"/>
        <w:jc w:val="both"/>
        <w:rPr>
          <w:sz w:val="20"/>
          <w:szCs w:val="20"/>
        </w:rPr>
      </w:pPr>
      <w:r>
        <w:rPr>
          <w:b/>
          <w:bCs/>
          <w:sz w:val="20"/>
          <w:szCs w:val="20"/>
        </w:rPr>
        <w:t xml:space="preserve"> </w:t>
      </w:r>
      <w:r w:rsidRPr="00D95A96">
        <w:rPr>
          <w:sz w:val="20"/>
          <w:szCs w:val="20"/>
        </w:rPr>
        <w:t>Doklady uvedené pod body 5.2.1. až 5.2.3. nemusí zaměstnavatel dokládat v případě, že v roce 2024 uzavřel s Úřadem práce ČR dohodu o poskytnutí příspěvku</w:t>
      </w:r>
      <w:r w:rsidR="008E0CE6">
        <w:rPr>
          <w:sz w:val="20"/>
          <w:szCs w:val="20"/>
        </w:rPr>
        <w:t xml:space="preserve"> dle původního znění programu</w:t>
      </w:r>
      <w:r w:rsidRPr="00D95A96">
        <w:rPr>
          <w:sz w:val="20"/>
          <w:szCs w:val="20"/>
        </w:rPr>
        <w:t xml:space="preserve"> a v této souvislosti již tyto doklady v minulosti Úřadu práce ČR doložil. </w:t>
      </w:r>
    </w:p>
    <w:p w14:paraId="7F493453" w14:textId="77777777" w:rsidR="00A14105" w:rsidRPr="00BC3D20" w:rsidRDefault="00A14105" w:rsidP="00BC3D20">
      <w:pPr>
        <w:pStyle w:val="Odstavecseseznamem"/>
        <w:rPr>
          <w:b/>
          <w:bCs/>
          <w:sz w:val="20"/>
          <w:szCs w:val="20"/>
        </w:rPr>
      </w:pPr>
    </w:p>
    <w:p w14:paraId="156FAEBD" w14:textId="6A5EF8FB" w:rsidR="004517B6" w:rsidRPr="004517B6" w:rsidRDefault="000051F6" w:rsidP="004517B6">
      <w:pPr>
        <w:pStyle w:val="Odstavecseseznamem"/>
        <w:numPr>
          <w:ilvl w:val="0"/>
          <w:numId w:val="13"/>
        </w:numPr>
        <w:spacing w:after="0" w:line="240" w:lineRule="auto"/>
        <w:ind w:left="426" w:hanging="426"/>
        <w:jc w:val="both"/>
        <w:rPr>
          <w:b/>
          <w:bCs/>
          <w:sz w:val="20"/>
          <w:szCs w:val="20"/>
        </w:rPr>
      </w:pPr>
      <w:r w:rsidRPr="004517B6">
        <w:rPr>
          <w:b/>
          <w:bCs/>
          <w:sz w:val="20"/>
          <w:szCs w:val="20"/>
        </w:rPr>
        <w:lastRenderedPageBreak/>
        <w:t>Dohoda o poskytnutí příspěvku z cíleného programu Povodeň 2024</w:t>
      </w:r>
      <w:r w:rsidR="004517B6" w:rsidRPr="004517B6">
        <w:rPr>
          <w:b/>
          <w:bCs/>
          <w:sz w:val="20"/>
          <w:szCs w:val="20"/>
        </w:rPr>
        <w:t xml:space="preserve">, </w:t>
      </w:r>
      <w:r w:rsidRPr="004517B6">
        <w:rPr>
          <w:b/>
          <w:bCs/>
          <w:sz w:val="20"/>
          <w:szCs w:val="20"/>
        </w:rPr>
        <w:t>režim Sanace, bude</w:t>
      </w:r>
      <w:r w:rsidR="004517B6" w:rsidRPr="004517B6">
        <w:rPr>
          <w:b/>
          <w:bCs/>
          <w:sz w:val="20"/>
          <w:szCs w:val="20"/>
        </w:rPr>
        <w:t xml:space="preserve"> Úřadu práce ČR umožňovat nevyplatit příspěvek za </w:t>
      </w:r>
      <w:r w:rsidR="004517B6">
        <w:rPr>
          <w:b/>
          <w:bCs/>
          <w:sz w:val="20"/>
          <w:szCs w:val="20"/>
        </w:rPr>
        <w:t>kalendářní měsíce</w:t>
      </w:r>
      <w:r w:rsidR="004517B6" w:rsidRPr="004517B6">
        <w:rPr>
          <w:b/>
          <w:bCs/>
          <w:sz w:val="20"/>
          <w:szCs w:val="20"/>
        </w:rPr>
        <w:t xml:space="preserve"> uznatelné</w:t>
      </w:r>
      <w:r w:rsidR="004517B6">
        <w:rPr>
          <w:b/>
          <w:bCs/>
          <w:sz w:val="20"/>
          <w:szCs w:val="20"/>
        </w:rPr>
        <w:t>ho</w:t>
      </w:r>
      <w:r w:rsidR="004517B6" w:rsidRPr="004517B6">
        <w:rPr>
          <w:b/>
          <w:bCs/>
          <w:sz w:val="20"/>
          <w:szCs w:val="20"/>
        </w:rPr>
        <w:t xml:space="preserve"> období </w:t>
      </w:r>
      <w:r w:rsidRPr="004517B6">
        <w:rPr>
          <w:b/>
          <w:bCs/>
          <w:sz w:val="20"/>
          <w:szCs w:val="20"/>
        </w:rPr>
        <w:t>v případě nedostatku finančních prostředků</w:t>
      </w:r>
      <w:r w:rsidR="004517B6" w:rsidRPr="004517B6">
        <w:rPr>
          <w:b/>
          <w:bCs/>
          <w:sz w:val="20"/>
          <w:szCs w:val="20"/>
        </w:rPr>
        <w:t>.</w:t>
      </w:r>
      <w:r w:rsidRPr="004517B6">
        <w:rPr>
          <w:b/>
          <w:bCs/>
          <w:sz w:val="20"/>
          <w:szCs w:val="20"/>
        </w:rPr>
        <w:t xml:space="preserve"> </w:t>
      </w:r>
    </w:p>
    <w:p w14:paraId="788F46EC" w14:textId="77777777" w:rsidR="004517B6" w:rsidRPr="004517B6" w:rsidRDefault="004517B6" w:rsidP="004517B6">
      <w:pPr>
        <w:pStyle w:val="Odstavecseseznamem"/>
        <w:rPr>
          <w:sz w:val="20"/>
          <w:szCs w:val="20"/>
        </w:rPr>
      </w:pPr>
    </w:p>
    <w:p w14:paraId="3C01EC7D" w14:textId="2EFF480D" w:rsidR="000051F6" w:rsidRPr="004517B6" w:rsidRDefault="004517B6" w:rsidP="004517B6">
      <w:pPr>
        <w:pStyle w:val="Odstavecseseznamem"/>
        <w:spacing w:after="0" w:line="240" w:lineRule="auto"/>
        <w:ind w:left="426"/>
        <w:jc w:val="both"/>
        <w:rPr>
          <w:sz w:val="20"/>
          <w:szCs w:val="20"/>
        </w:rPr>
      </w:pPr>
      <w:r w:rsidRPr="004517B6">
        <w:rPr>
          <w:sz w:val="20"/>
          <w:szCs w:val="20"/>
        </w:rPr>
        <w:t xml:space="preserve">V případě nedostatku finančních prostředků se bude postupovat následujícím způsobem. </w:t>
      </w:r>
      <w:r w:rsidRPr="0060549B">
        <w:rPr>
          <w:b/>
          <w:bCs/>
          <w:sz w:val="20"/>
          <w:szCs w:val="20"/>
        </w:rPr>
        <w:t xml:space="preserve">Prostředky budou vypláceny postupně od prvního kalendářního měsíce uznatelného období </w:t>
      </w:r>
      <w:r w:rsidRPr="004517B6">
        <w:rPr>
          <w:sz w:val="20"/>
          <w:szCs w:val="20"/>
        </w:rPr>
        <w:t xml:space="preserve">(tj. nejprve za měsíc listopad 2024, dále za měsíc prosinec 2024 atd.). </w:t>
      </w:r>
      <w:r w:rsidRPr="0060549B">
        <w:rPr>
          <w:b/>
          <w:bCs/>
          <w:sz w:val="20"/>
          <w:szCs w:val="20"/>
        </w:rPr>
        <w:t>V případě, že</w:t>
      </w:r>
      <w:r w:rsidR="0060549B">
        <w:rPr>
          <w:b/>
          <w:bCs/>
          <w:sz w:val="20"/>
          <w:szCs w:val="20"/>
        </w:rPr>
        <w:t xml:space="preserve"> </w:t>
      </w:r>
      <w:r w:rsidRPr="0060549B">
        <w:rPr>
          <w:b/>
          <w:bCs/>
          <w:sz w:val="20"/>
          <w:szCs w:val="20"/>
        </w:rPr>
        <w:t>finanční prostředky</w:t>
      </w:r>
      <w:r w:rsidR="0060549B">
        <w:rPr>
          <w:b/>
          <w:bCs/>
          <w:sz w:val="20"/>
          <w:szCs w:val="20"/>
        </w:rPr>
        <w:t xml:space="preserve"> </w:t>
      </w:r>
      <w:r w:rsidR="00EB419C">
        <w:rPr>
          <w:b/>
          <w:bCs/>
          <w:sz w:val="20"/>
          <w:szCs w:val="20"/>
        </w:rPr>
        <w:t xml:space="preserve">již vládou uvolněné </w:t>
      </w:r>
      <w:r w:rsidR="0060549B">
        <w:rPr>
          <w:b/>
          <w:bCs/>
          <w:sz w:val="20"/>
          <w:szCs w:val="20"/>
        </w:rPr>
        <w:t>na realizaci programu</w:t>
      </w:r>
      <w:r w:rsidR="008E0CE6">
        <w:rPr>
          <w:b/>
          <w:bCs/>
          <w:sz w:val="20"/>
          <w:szCs w:val="20"/>
        </w:rPr>
        <w:t xml:space="preserve"> v původním znění </w:t>
      </w:r>
      <w:r w:rsidRPr="0060549B">
        <w:rPr>
          <w:b/>
          <w:bCs/>
          <w:sz w:val="20"/>
          <w:szCs w:val="20"/>
        </w:rPr>
        <w:t xml:space="preserve">nebudou </w:t>
      </w:r>
      <w:r w:rsidR="00EB419C">
        <w:rPr>
          <w:b/>
          <w:bCs/>
          <w:sz w:val="20"/>
          <w:szCs w:val="20"/>
        </w:rPr>
        <w:t>p</w:t>
      </w:r>
      <w:r w:rsidRPr="0060549B">
        <w:rPr>
          <w:b/>
          <w:bCs/>
          <w:sz w:val="20"/>
          <w:szCs w:val="20"/>
        </w:rPr>
        <w:t>ostačovat k výplatě příspěvků všem zaměstnavatelům za kalendářní měsíc</w:t>
      </w:r>
      <w:r w:rsidR="008E0CE6">
        <w:rPr>
          <w:b/>
          <w:bCs/>
          <w:sz w:val="20"/>
          <w:szCs w:val="20"/>
        </w:rPr>
        <w:t xml:space="preserve"> z „programu Povodeň 2024, režim Sanace“</w:t>
      </w:r>
      <w:r w:rsidRPr="0060549B">
        <w:rPr>
          <w:b/>
          <w:bCs/>
          <w:sz w:val="20"/>
          <w:szCs w:val="20"/>
        </w:rPr>
        <w:t>, nebude za takovýto měsíc poskytnut příspěvek žádnému zaměstnavateli</w:t>
      </w:r>
      <w:r w:rsidRPr="004517B6">
        <w:rPr>
          <w:sz w:val="20"/>
          <w:szCs w:val="20"/>
        </w:rPr>
        <w:t>.</w:t>
      </w:r>
      <w:r>
        <w:rPr>
          <w:sz w:val="20"/>
          <w:szCs w:val="20"/>
        </w:rPr>
        <w:t xml:space="preserve"> </w:t>
      </w:r>
    </w:p>
    <w:p w14:paraId="27A38666" w14:textId="77777777" w:rsidR="0060549B" w:rsidRDefault="0060549B" w:rsidP="0060549B">
      <w:pPr>
        <w:pStyle w:val="Odstavecseseznamem"/>
        <w:spacing w:after="0" w:line="240" w:lineRule="auto"/>
        <w:ind w:left="426"/>
        <w:jc w:val="both"/>
        <w:rPr>
          <w:sz w:val="20"/>
          <w:szCs w:val="20"/>
        </w:rPr>
      </w:pPr>
    </w:p>
    <w:p w14:paraId="3FC56E11" w14:textId="3EB88959" w:rsidR="0060549B" w:rsidRDefault="0060549B" w:rsidP="0060549B">
      <w:pPr>
        <w:pStyle w:val="Odstavecseseznamem"/>
        <w:numPr>
          <w:ilvl w:val="0"/>
          <w:numId w:val="13"/>
        </w:numPr>
        <w:spacing w:after="0" w:line="240" w:lineRule="auto"/>
        <w:ind w:left="426" w:hanging="426"/>
        <w:jc w:val="both"/>
        <w:rPr>
          <w:b/>
          <w:bCs/>
          <w:sz w:val="20"/>
          <w:szCs w:val="20"/>
        </w:rPr>
      </w:pPr>
      <w:r w:rsidRPr="00915430">
        <w:rPr>
          <w:sz w:val="20"/>
          <w:szCs w:val="20"/>
        </w:rPr>
        <w:t>Příspěvek bude vyplácen převodem na bankovní účet. Příspěvek za daný</w:t>
      </w:r>
      <w:r w:rsidR="00ED5109">
        <w:rPr>
          <w:sz w:val="20"/>
          <w:szCs w:val="20"/>
        </w:rPr>
        <w:t xml:space="preserve"> kalendářní</w:t>
      </w:r>
      <w:r w:rsidRPr="00915430">
        <w:rPr>
          <w:sz w:val="20"/>
          <w:szCs w:val="20"/>
        </w:rPr>
        <w:t xml:space="preserve"> měsíc bude Úřadem práce ČR poskytnut na základě doložení </w:t>
      </w:r>
      <w:r w:rsidRPr="00915430">
        <w:rPr>
          <w:b/>
          <w:bCs/>
          <w:sz w:val="20"/>
          <w:szCs w:val="20"/>
        </w:rPr>
        <w:t>výkazu</w:t>
      </w:r>
      <w:r w:rsidRPr="00915430">
        <w:rPr>
          <w:sz w:val="20"/>
          <w:szCs w:val="20"/>
        </w:rPr>
        <w:t>.</w:t>
      </w:r>
      <w:r w:rsidR="00ED5109">
        <w:rPr>
          <w:sz w:val="20"/>
          <w:szCs w:val="20"/>
        </w:rPr>
        <w:t xml:space="preserve"> </w:t>
      </w:r>
    </w:p>
    <w:p w14:paraId="0215DCB7" w14:textId="77777777" w:rsidR="00EB419C" w:rsidRPr="00EB419C" w:rsidRDefault="00EB419C" w:rsidP="00EB419C">
      <w:pPr>
        <w:pStyle w:val="Odstavecseseznamem"/>
        <w:spacing w:after="0" w:line="240" w:lineRule="auto"/>
        <w:ind w:left="426"/>
        <w:jc w:val="both"/>
        <w:rPr>
          <w:b/>
          <w:bCs/>
          <w:sz w:val="20"/>
          <w:szCs w:val="20"/>
        </w:rPr>
      </w:pPr>
    </w:p>
    <w:p w14:paraId="73CD0BA5" w14:textId="5A658A25" w:rsidR="00EB419C" w:rsidRPr="00915430" w:rsidRDefault="00EB419C" w:rsidP="00EB419C">
      <w:pPr>
        <w:pStyle w:val="Odstavecseseznamem"/>
        <w:numPr>
          <w:ilvl w:val="0"/>
          <w:numId w:val="13"/>
        </w:numPr>
        <w:spacing w:after="0" w:line="240" w:lineRule="auto"/>
        <w:ind w:left="426" w:hanging="426"/>
        <w:jc w:val="both"/>
      </w:pPr>
      <w:r w:rsidRPr="00915430">
        <w:rPr>
          <w:sz w:val="20"/>
          <w:szCs w:val="20"/>
        </w:rPr>
        <w:t xml:space="preserve">Ve výkazu zaměstnavatel </w:t>
      </w:r>
      <w:r w:rsidR="00D863EA">
        <w:rPr>
          <w:sz w:val="20"/>
          <w:szCs w:val="20"/>
        </w:rPr>
        <w:t>uvádí</w:t>
      </w:r>
      <w:r w:rsidRPr="00915430">
        <w:rPr>
          <w:sz w:val="20"/>
          <w:szCs w:val="20"/>
        </w:rPr>
        <w:t xml:space="preserve"> </w:t>
      </w:r>
      <w:r w:rsidRPr="00D863EA">
        <w:rPr>
          <w:b/>
          <w:bCs/>
          <w:sz w:val="20"/>
          <w:szCs w:val="20"/>
        </w:rPr>
        <w:t xml:space="preserve">řádně vynakládané </w:t>
      </w:r>
      <w:r w:rsidR="00D863EA" w:rsidRPr="00D863EA">
        <w:rPr>
          <w:b/>
          <w:bCs/>
          <w:sz w:val="20"/>
          <w:szCs w:val="20"/>
        </w:rPr>
        <w:t xml:space="preserve">mzdové náklady </w:t>
      </w:r>
      <w:r w:rsidRPr="00D863EA">
        <w:rPr>
          <w:b/>
          <w:bCs/>
          <w:sz w:val="20"/>
          <w:szCs w:val="20"/>
        </w:rPr>
        <w:t>včetně povinných odvodů za jednotlivé kalendářní měsíce</w:t>
      </w:r>
      <w:r w:rsidR="00D863EA" w:rsidRPr="00D863EA">
        <w:rPr>
          <w:b/>
          <w:bCs/>
          <w:sz w:val="20"/>
          <w:szCs w:val="20"/>
        </w:rPr>
        <w:t>.</w:t>
      </w:r>
      <w:r w:rsidRPr="00915430">
        <w:rPr>
          <w:sz w:val="20"/>
          <w:szCs w:val="20"/>
        </w:rPr>
        <w:t xml:space="preserve"> Řádně vynakládanými mzdovými náklady se rozumí:</w:t>
      </w:r>
    </w:p>
    <w:p w14:paraId="1C44A2AC" w14:textId="4D5B103E" w:rsidR="00EB419C" w:rsidRDefault="00295FD5" w:rsidP="00EB419C">
      <w:pPr>
        <w:pStyle w:val="Boddohody"/>
        <w:numPr>
          <w:ilvl w:val="0"/>
          <w:numId w:val="15"/>
        </w:numPr>
        <w:tabs>
          <w:tab w:val="left" w:pos="1134"/>
        </w:tabs>
        <w:spacing w:after="120"/>
      </w:pPr>
      <w:r>
        <w:t xml:space="preserve">mzda nebo </w:t>
      </w:r>
      <w:r w:rsidR="00EB419C">
        <w:t xml:space="preserve">náhrada mzdy vyplacená v souladu s ustanovením § 141 odst. 1 zákona č. 262/2006 Sb., zákoník práce, ve znění pozdějších předpisů (dále jen „zákoník práce“), tj. nejpozději do konce kalendářního měsíce následujícího po měsíci, ve kterém vzniklo zaměstnanci právo na mzdu nebo některou její složku; </w:t>
      </w:r>
    </w:p>
    <w:p w14:paraId="69039D05" w14:textId="77777777" w:rsidR="00EB419C" w:rsidRDefault="00EB419C" w:rsidP="00EB419C">
      <w:pPr>
        <w:pStyle w:val="Boddohody"/>
        <w:numPr>
          <w:ilvl w:val="0"/>
          <w:numId w:val="15"/>
        </w:numPr>
        <w:tabs>
          <w:tab w:val="left" w:pos="1134"/>
        </w:tabs>
        <w:spacing w:after="120"/>
      </w:pPr>
      <w:r>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AABC0ED" w14:textId="47504EF8" w:rsidR="00EB419C" w:rsidRDefault="00EB419C" w:rsidP="00EB419C">
      <w:pPr>
        <w:pStyle w:val="Boddohody"/>
        <w:numPr>
          <w:ilvl w:val="0"/>
          <w:numId w:val="15"/>
        </w:numPr>
        <w:tabs>
          <w:tab w:val="left" w:pos="1134"/>
        </w:tabs>
        <w:spacing w:after="120"/>
      </w:pPr>
      <w:r>
        <w:t>pojistné na veřejné zdravotní pojištění odvedené za zaměstnavatele a za zaměstnance v</w:t>
      </w:r>
      <w:r w:rsidR="00E7788D">
        <w:t> </w:t>
      </w:r>
      <w:r>
        <w:t>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5AF3855" w14:textId="3AA6CF0E" w:rsidR="00581E02" w:rsidRPr="00D863EA" w:rsidRDefault="00295FD5" w:rsidP="00581E02">
      <w:pPr>
        <w:pStyle w:val="Odstavecseseznamem"/>
        <w:numPr>
          <w:ilvl w:val="0"/>
          <w:numId w:val="13"/>
        </w:numPr>
        <w:spacing w:after="0" w:line="240" w:lineRule="auto"/>
        <w:ind w:left="426" w:hanging="426"/>
        <w:jc w:val="both"/>
        <w:rPr>
          <w:sz w:val="20"/>
          <w:szCs w:val="20"/>
        </w:rPr>
      </w:pPr>
      <w:r w:rsidRPr="00D863EA">
        <w:rPr>
          <w:b/>
          <w:bCs/>
          <w:sz w:val="20"/>
          <w:szCs w:val="20"/>
        </w:rPr>
        <w:t xml:space="preserve">Příspěvek bude poskytován nejpozději do 30 kalendářních dnů ode dne uzavření písemné dohody podle bodu 2 tohoto článku </w:t>
      </w:r>
      <w:r w:rsidR="008E0CE6">
        <w:rPr>
          <w:b/>
          <w:bCs/>
          <w:sz w:val="20"/>
          <w:szCs w:val="20"/>
        </w:rPr>
        <w:t>„</w:t>
      </w:r>
      <w:r w:rsidRPr="00D863EA">
        <w:rPr>
          <w:b/>
          <w:bCs/>
          <w:sz w:val="20"/>
          <w:szCs w:val="20"/>
        </w:rPr>
        <w:t>programu</w:t>
      </w:r>
      <w:r w:rsidR="008E0CE6">
        <w:rPr>
          <w:b/>
          <w:bCs/>
          <w:sz w:val="20"/>
          <w:szCs w:val="20"/>
        </w:rPr>
        <w:t xml:space="preserve"> Povodeň 2024, režim Sanace“</w:t>
      </w:r>
      <w:r w:rsidR="00D863EA">
        <w:rPr>
          <w:b/>
          <w:bCs/>
          <w:sz w:val="20"/>
          <w:szCs w:val="20"/>
        </w:rPr>
        <w:t>.</w:t>
      </w:r>
    </w:p>
    <w:p w14:paraId="06A0AB7B" w14:textId="77777777" w:rsidR="00D863EA" w:rsidRPr="00D863EA" w:rsidRDefault="00D863EA" w:rsidP="00D863EA">
      <w:pPr>
        <w:pStyle w:val="Odstavecseseznamem"/>
        <w:spacing w:after="0" w:line="240" w:lineRule="auto"/>
        <w:ind w:left="426"/>
        <w:jc w:val="both"/>
        <w:rPr>
          <w:sz w:val="20"/>
          <w:szCs w:val="20"/>
        </w:rPr>
      </w:pPr>
    </w:p>
    <w:p w14:paraId="05A637CD" w14:textId="608E0D39" w:rsidR="00581E02" w:rsidRPr="00581E02" w:rsidRDefault="00581E02" w:rsidP="00581E02">
      <w:pPr>
        <w:pStyle w:val="Odstavecseseznamem"/>
        <w:numPr>
          <w:ilvl w:val="0"/>
          <w:numId w:val="13"/>
        </w:numPr>
        <w:spacing w:after="0" w:line="240" w:lineRule="auto"/>
        <w:ind w:left="426" w:hanging="426"/>
        <w:jc w:val="both"/>
        <w:rPr>
          <w:sz w:val="20"/>
          <w:szCs w:val="20"/>
        </w:rPr>
      </w:pPr>
      <w:r w:rsidRPr="00581E02">
        <w:rPr>
          <w:sz w:val="20"/>
          <w:szCs w:val="20"/>
        </w:rPr>
        <w:t>Při poskytování příspěvků se Úřad práce ČR řídí příslušnými právními předpisy k nakládání s veřejnými prostředky a zákonem o zaměstnanosti a rovněž příslušnými právními předpisy ČR a</w:t>
      </w:r>
      <w:r w:rsidR="00E7788D">
        <w:rPr>
          <w:sz w:val="20"/>
          <w:szCs w:val="20"/>
        </w:rPr>
        <w:t> </w:t>
      </w:r>
      <w:r w:rsidRPr="00581E02">
        <w:rPr>
          <w:sz w:val="20"/>
          <w:szCs w:val="20"/>
        </w:rPr>
        <w:t>EU upravujícími poskytování veřejné podpory.</w:t>
      </w:r>
    </w:p>
    <w:p w14:paraId="6190A8BD" w14:textId="77777777" w:rsidR="00581E02" w:rsidRDefault="00581E02" w:rsidP="00581E02">
      <w:pPr>
        <w:pStyle w:val="Odstavecseseznamem"/>
        <w:spacing w:after="0" w:line="240" w:lineRule="auto"/>
        <w:ind w:left="426"/>
        <w:jc w:val="both"/>
        <w:rPr>
          <w:sz w:val="20"/>
          <w:szCs w:val="20"/>
        </w:rPr>
      </w:pPr>
    </w:p>
    <w:p w14:paraId="2916317D" w14:textId="77777777" w:rsidR="00D863EA" w:rsidRDefault="00D863EA" w:rsidP="00581E02">
      <w:pPr>
        <w:pStyle w:val="Odstavecseseznamem"/>
        <w:spacing w:after="0" w:line="240" w:lineRule="auto"/>
        <w:ind w:left="426"/>
        <w:jc w:val="both"/>
        <w:rPr>
          <w:sz w:val="20"/>
          <w:szCs w:val="20"/>
        </w:rPr>
      </w:pPr>
    </w:p>
    <w:p w14:paraId="5862F445" w14:textId="77777777" w:rsidR="00EB419C" w:rsidRDefault="00EB419C" w:rsidP="00992BD5">
      <w:pPr>
        <w:jc w:val="center"/>
        <w:rPr>
          <w:b/>
          <w:bCs/>
          <w:szCs w:val="24"/>
        </w:rPr>
      </w:pPr>
    </w:p>
    <w:sectPr w:rsidR="00EB41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18A1" w14:textId="77777777" w:rsidR="00D863EA" w:rsidRDefault="00D863EA" w:rsidP="00D863EA">
      <w:pPr>
        <w:spacing w:after="0" w:line="240" w:lineRule="auto"/>
      </w:pPr>
      <w:r>
        <w:separator/>
      </w:r>
    </w:p>
  </w:endnote>
  <w:endnote w:type="continuationSeparator" w:id="0">
    <w:p w14:paraId="2ECD1DAD" w14:textId="77777777" w:rsidR="00D863EA" w:rsidRDefault="00D863EA" w:rsidP="00D8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3850"/>
      <w:docPartObj>
        <w:docPartGallery w:val="Page Numbers (Bottom of Page)"/>
        <w:docPartUnique/>
      </w:docPartObj>
    </w:sdtPr>
    <w:sdtEndPr/>
    <w:sdtContent>
      <w:p w14:paraId="7594D4F1" w14:textId="18D98C98" w:rsidR="00D863EA" w:rsidRDefault="00D863EA">
        <w:pPr>
          <w:pStyle w:val="Zpat"/>
          <w:jc w:val="center"/>
        </w:pPr>
        <w:r>
          <w:fldChar w:fldCharType="begin"/>
        </w:r>
        <w:r>
          <w:instrText>PAGE   \* MERGEFORMAT</w:instrText>
        </w:r>
        <w:r>
          <w:fldChar w:fldCharType="separate"/>
        </w:r>
        <w:r>
          <w:t>2</w:t>
        </w:r>
        <w:r>
          <w:fldChar w:fldCharType="end"/>
        </w:r>
      </w:p>
    </w:sdtContent>
  </w:sdt>
  <w:p w14:paraId="47034765" w14:textId="77777777" w:rsidR="00D863EA" w:rsidRDefault="00D86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281C" w14:textId="77777777" w:rsidR="00D863EA" w:rsidRDefault="00D863EA" w:rsidP="00D863EA">
      <w:pPr>
        <w:spacing w:after="0" w:line="240" w:lineRule="auto"/>
      </w:pPr>
      <w:r>
        <w:separator/>
      </w:r>
    </w:p>
  </w:footnote>
  <w:footnote w:type="continuationSeparator" w:id="0">
    <w:p w14:paraId="30E3919D" w14:textId="77777777" w:rsidR="00D863EA" w:rsidRDefault="00D863EA" w:rsidP="00D86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34E"/>
    <w:multiLevelType w:val="multilevel"/>
    <w:tmpl w:val="9774D0A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95333E"/>
    <w:multiLevelType w:val="hybridMultilevel"/>
    <w:tmpl w:val="715A1BC4"/>
    <w:lvl w:ilvl="0" w:tplc="B908142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B47409"/>
    <w:multiLevelType w:val="hybridMultilevel"/>
    <w:tmpl w:val="8272DB56"/>
    <w:lvl w:ilvl="0" w:tplc="3C56233E">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CF0A81"/>
    <w:multiLevelType w:val="multilevel"/>
    <w:tmpl w:val="1FD6AF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AF750C"/>
    <w:multiLevelType w:val="hybridMultilevel"/>
    <w:tmpl w:val="7BBC3FDA"/>
    <w:lvl w:ilvl="0" w:tplc="F640AF5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EC01E9"/>
    <w:multiLevelType w:val="multilevel"/>
    <w:tmpl w:val="9DCAB7A0"/>
    <w:lvl w:ilvl="0">
      <w:start w:val="1"/>
      <w:numFmt w:val="decimal"/>
      <w:lvlText w:val="%1."/>
      <w:lvlJc w:val="left"/>
      <w:pPr>
        <w:ind w:left="720" w:hanging="360"/>
      </w:pPr>
      <w:rPr>
        <w:rFonts w:hint="default"/>
        <w:b/>
        <w:bCs/>
        <w:sz w:val="20"/>
        <w:szCs w:val="2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482A72"/>
    <w:multiLevelType w:val="hybridMultilevel"/>
    <w:tmpl w:val="0728D08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F64279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B53A2C"/>
    <w:multiLevelType w:val="hybridMultilevel"/>
    <w:tmpl w:val="B1F8E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7F386E"/>
    <w:multiLevelType w:val="hybridMultilevel"/>
    <w:tmpl w:val="2D068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7166C3"/>
    <w:multiLevelType w:val="multilevel"/>
    <w:tmpl w:val="1416F5E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1" w15:restartNumberingAfterBreak="0">
    <w:nsid w:val="4C872E9D"/>
    <w:multiLevelType w:val="hybridMultilevel"/>
    <w:tmpl w:val="47529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962838"/>
    <w:multiLevelType w:val="hybridMultilevel"/>
    <w:tmpl w:val="317CC0E8"/>
    <w:lvl w:ilvl="0" w:tplc="2F82DE10">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E44AA6"/>
    <w:multiLevelType w:val="hybridMultilevel"/>
    <w:tmpl w:val="562C6C3A"/>
    <w:lvl w:ilvl="0" w:tplc="8D625840">
      <w:start w:val="1"/>
      <w:numFmt w:val="lowerLetter"/>
      <w:lvlText w:val="%1)"/>
      <w:lvlJc w:val="left"/>
      <w:pPr>
        <w:ind w:left="726" w:hanging="360"/>
      </w:pPr>
      <w:rPr>
        <w:rFonts w:hint="default"/>
        <w:b/>
        <w:bCs/>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4" w15:restartNumberingAfterBreak="0">
    <w:nsid w:val="56B227DF"/>
    <w:multiLevelType w:val="hybridMultilevel"/>
    <w:tmpl w:val="B73AB77C"/>
    <w:lvl w:ilvl="0" w:tplc="FA88D3B0">
      <w:start w:val="1"/>
      <w:numFmt w:val="bullet"/>
      <w:lvlText w:val="-"/>
      <w:lvlJc w:val="left"/>
      <w:pPr>
        <w:ind w:left="717" w:hanging="360"/>
      </w:pPr>
      <w:rPr>
        <w:rFonts w:ascii="Arial" w:eastAsiaTheme="minorHAnsi" w:hAnsi="Arial" w:cs="Arial" w:hint="default"/>
        <w:b/>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62A52880"/>
    <w:multiLevelType w:val="hybridMultilevel"/>
    <w:tmpl w:val="E3E8E29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6D4F99"/>
    <w:multiLevelType w:val="hybridMultilevel"/>
    <w:tmpl w:val="3D985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BC01DA"/>
    <w:multiLevelType w:val="multilevel"/>
    <w:tmpl w:val="CBE8233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B764F0"/>
    <w:multiLevelType w:val="hybridMultilevel"/>
    <w:tmpl w:val="A63CE4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7534446">
    <w:abstractNumId w:val="0"/>
  </w:num>
  <w:num w:numId="2" w16cid:durableId="1785610842">
    <w:abstractNumId w:val="3"/>
  </w:num>
  <w:num w:numId="3" w16cid:durableId="2109306498">
    <w:abstractNumId w:val="1"/>
  </w:num>
  <w:num w:numId="4" w16cid:durableId="1873037612">
    <w:abstractNumId w:val="7"/>
  </w:num>
  <w:num w:numId="5" w16cid:durableId="1482379453">
    <w:abstractNumId w:val="10"/>
  </w:num>
  <w:num w:numId="6" w16cid:durableId="251011245">
    <w:abstractNumId w:val="8"/>
  </w:num>
  <w:num w:numId="7" w16cid:durableId="1975405102">
    <w:abstractNumId w:val="9"/>
  </w:num>
  <w:num w:numId="8" w16cid:durableId="2136747566">
    <w:abstractNumId w:val="18"/>
  </w:num>
  <w:num w:numId="9" w16cid:durableId="1474132742">
    <w:abstractNumId w:val="17"/>
  </w:num>
  <w:num w:numId="10" w16cid:durableId="1939217635">
    <w:abstractNumId w:val="11"/>
  </w:num>
  <w:num w:numId="11" w16cid:durableId="70130428">
    <w:abstractNumId w:val="14"/>
  </w:num>
  <w:num w:numId="12" w16cid:durableId="2006593862">
    <w:abstractNumId w:val="12"/>
  </w:num>
  <w:num w:numId="13" w16cid:durableId="306596599">
    <w:abstractNumId w:val="5"/>
  </w:num>
  <w:num w:numId="14" w16cid:durableId="1988391872">
    <w:abstractNumId w:val="16"/>
  </w:num>
  <w:num w:numId="15" w16cid:durableId="56439074">
    <w:abstractNumId w:val="13"/>
  </w:num>
  <w:num w:numId="16" w16cid:durableId="1808817498">
    <w:abstractNumId w:val="15"/>
  </w:num>
  <w:num w:numId="17" w16cid:durableId="745883820">
    <w:abstractNumId w:val="6"/>
  </w:num>
  <w:num w:numId="18" w16cid:durableId="558975548">
    <w:abstractNumId w:val="4"/>
  </w:num>
  <w:num w:numId="19" w16cid:durableId="795293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98"/>
    <w:rsid w:val="0000100A"/>
    <w:rsid w:val="000051F6"/>
    <w:rsid w:val="00024BA5"/>
    <w:rsid w:val="00060F6B"/>
    <w:rsid w:val="00084A55"/>
    <w:rsid w:val="000A1F25"/>
    <w:rsid w:val="000F3F98"/>
    <w:rsid w:val="00162A3F"/>
    <w:rsid w:val="001B1ACC"/>
    <w:rsid w:val="001D32F4"/>
    <w:rsid w:val="001E2097"/>
    <w:rsid w:val="001F2006"/>
    <w:rsid w:val="00217B90"/>
    <w:rsid w:val="0022672F"/>
    <w:rsid w:val="00283EC7"/>
    <w:rsid w:val="00295FD5"/>
    <w:rsid w:val="002F6A38"/>
    <w:rsid w:val="003207B0"/>
    <w:rsid w:val="00390676"/>
    <w:rsid w:val="003C246B"/>
    <w:rsid w:val="003F63F7"/>
    <w:rsid w:val="003F6FE2"/>
    <w:rsid w:val="004517B6"/>
    <w:rsid w:val="00456895"/>
    <w:rsid w:val="00484F88"/>
    <w:rsid w:val="004F4CF9"/>
    <w:rsid w:val="00581E02"/>
    <w:rsid w:val="005A63BF"/>
    <w:rsid w:val="005A7109"/>
    <w:rsid w:val="0060549B"/>
    <w:rsid w:val="00661915"/>
    <w:rsid w:val="00665EAB"/>
    <w:rsid w:val="006B03BC"/>
    <w:rsid w:val="006F11BD"/>
    <w:rsid w:val="006F5E36"/>
    <w:rsid w:val="00727F65"/>
    <w:rsid w:val="007C1CDE"/>
    <w:rsid w:val="008212CD"/>
    <w:rsid w:val="00851C71"/>
    <w:rsid w:val="00875830"/>
    <w:rsid w:val="008C379D"/>
    <w:rsid w:val="008D6B77"/>
    <w:rsid w:val="008E0CE6"/>
    <w:rsid w:val="0097645E"/>
    <w:rsid w:val="00987D3A"/>
    <w:rsid w:val="00992BD5"/>
    <w:rsid w:val="009A6FBA"/>
    <w:rsid w:val="009C329E"/>
    <w:rsid w:val="00A14105"/>
    <w:rsid w:val="00A20999"/>
    <w:rsid w:val="00AC5F24"/>
    <w:rsid w:val="00AE0B15"/>
    <w:rsid w:val="00AE3A22"/>
    <w:rsid w:val="00B00FD1"/>
    <w:rsid w:val="00B24099"/>
    <w:rsid w:val="00B545FB"/>
    <w:rsid w:val="00B6623B"/>
    <w:rsid w:val="00BA00A0"/>
    <w:rsid w:val="00BC3D20"/>
    <w:rsid w:val="00C13941"/>
    <w:rsid w:val="00C54ED6"/>
    <w:rsid w:val="00CB1BE5"/>
    <w:rsid w:val="00CD6C65"/>
    <w:rsid w:val="00D167A4"/>
    <w:rsid w:val="00D513A4"/>
    <w:rsid w:val="00D863EA"/>
    <w:rsid w:val="00D90602"/>
    <w:rsid w:val="00D95A96"/>
    <w:rsid w:val="00DB1F91"/>
    <w:rsid w:val="00DB475C"/>
    <w:rsid w:val="00DE4921"/>
    <w:rsid w:val="00E10B04"/>
    <w:rsid w:val="00E13824"/>
    <w:rsid w:val="00E273EA"/>
    <w:rsid w:val="00E379EF"/>
    <w:rsid w:val="00E53D49"/>
    <w:rsid w:val="00E6032D"/>
    <w:rsid w:val="00E64DE3"/>
    <w:rsid w:val="00E74E9C"/>
    <w:rsid w:val="00E7788D"/>
    <w:rsid w:val="00EB419C"/>
    <w:rsid w:val="00ED5109"/>
    <w:rsid w:val="00EE26A2"/>
    <w:rsid w:val="00EF5D8E"/>
    <w:rsid w:val="00F36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6C81"/>
  <w15:chartTrackingRefBased/>
  <w15:docId w15:val="{91742832-F23B-4D56-B390-872B4D2A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1F91"/>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6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ltextbodudohody">
    <w:name w:val="Další text bodu dohody"/>
    <w:basedOn w:val="Normln"/>
    <w:link w:val="DaltextbodudohodyChar"/>
    <w:rsid w:val="00D90602"/>
    <w:pPr>
      <w:tabs>
        <w:tab w:val="left" w:pos="2520"/>
      </w:tabs>
      <w:spacing w:after="0" w:line="240" w:lineRule="auto"/>
      <w:ind w:left="360"/>
      <w:jc w:val="both"/>
    </w:pPr>
    <w:rPr>
      <w:rFonts w:eastAsia="Times New Roman" w:cs="Arial"/>
      <w:kern w:val="0"/>
      <w:sz w:val="20"/>
      <w:szCs w:val="20"/>
      <w:lang w:eastAsia="cs-CZ"/>
      <w14:ligatures w14:val="none"/>
    </w:rPr>
  </w:style>
  <w:style w:type="character" w:customStyle="1" w:styleId="DaltextbodudohodyChar">
    <w:name w:val="Další text bodu dohody Char"/>
    <w:link w:val="Daltextbodudohody"/>
    <w:rsid w:val="00D90602"/>
    <w:rPr>
      <w:rFonts w:ascii="Arial" w:eastAsia="Times New Roman" w:hAnsi="Arial" w:cs="Arial"/>
      <w:kern w:val="0"/>
      <w:sz w:val="20"/>
      <w:szCs w:val="20"/>
      <w:lang w:eastAsia="cs-CZ"/>
      <w14:ligatures w14:val="none"/>
    </w:rPr>
  </w:style>
  <w:style w:type="paragraph" w:customStyle="1" w:styleId="Boddohody">
    <w:name w:val="Bod dohody"/>
    <w:basedOn w:val="Normln"/>
    <w:next w:val="Daltextbodudohody"/>
    <w:link w:val="BoddohodyChar"/>
    <w:rsid w:val="00D90602"/>
    <w:pPr>
      <w:keepLines/>
      <w:spacing w:before="240" w:after="0" w:line="240" w:lineRule="auto"/>
      <w:jc w:val="both"/>
    </w:pPr>
    <w:rPr>
      <w:rFonts w:eastAsia="Times New Roman" w:cs="Arial"/>
      <w:kern w:val="0"/>
      <w:sz w:val="20"/>
      <w:szCs w:val="20"/>
      <w:lang w:eastAsia="cs-CZ"/>
      <w14:ligatures w14:val="none"/>
    </w:rPr>
  </w:style>
  <w:style w:type="character" w:customStyle="1" w:styleId="BoddohodyChar">
    <w:name w:val="Bod dohody Char"/>
    <w:link w:val="Boddohody"/>
    <w:rsid w:val="00D90602"/>
    <w:rPr>
      <w:rFonts w:ascii="Arial" w:eastAsia="Times New Roman" w:hAnsi="Arial" w:cs="Arial"/>
      <w:kern w:val="0"/>
      <w:sz w:val="20"/>
      <w:szCs w:val="20"/>
      <w:lang w:eastAsia="cs-CZ"/>
      <w14:ligatures w14:val="none"/>
    </w:rPr>
  </w:style>
  <w:style w:type="paragraph" w:styleId="Odstavecseseznamem">
    <w:name w:val="List Paragraph"/>
    <w:aliases w:val="List Paragraph,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D90602"/>
    <w:pPr>
      <w:ind w:left="720"/>
      <w:contextualSpacing/>
    </w:pPr>
  </w:style>
  <w:style w:type="paragraph" w:styleId="Bezmezer">
    <w:name w:val="No Spacing"/>
    <w:uiPriority w:val="1"/>
    <w:qFormat/>
    <w:rsid w:val="008212CD"/>
    <w:pPr>
      <w:spacing w:after="0" w:line="240" w:lineRule="auto"/>
      <w:jc w:val="both"/>
    </w:pPr>
    <w:rPr>
      <w:rFonts w:ascii="Arial" w:eastAsia="Times New Roman" w:hAnsi="Arial" w:cs="Times New Roman"/>
      <w:kern w:val="0"/>
      <w:sz w:val="20"/>
      <w:szCs w:val="24"/>
      <w:lang w:eastAsia="cs-CZ"/>
      <w14:ligatures w14:val="none"/>
    </w:rPr>
  </w:style>
  <w:style w:type="character" w:customStyle="1" w:styleId="OdstavecseseznamemChar">
    <w:name w:val="Odstavec se seznamem Char"/>
    <w:aliases w:val="List Paragraph Char,Odstavec_muj Char,Nad Char,Odstavec_muj1 Char,Odstavec_muj2 Char,Odstavec_muj3 Char,Nad1 Char,List Paragraph1 Char,Odstavec_muj4 Char,Nad2 Char,List Paragraph2 Char,Odstavec_muj5 Char,Odstavec_muj6 Char"/>
    <w:basedOn w:val="Standardnpsmoodstavce"/>
    <w:link w:val="Odstavecseseznamem"/>
    <w:uiPriority w:val="34"/>
    <w:locked/>
    <w:rsid w:val="00024BA5"/>
    <w:rPr>
      <w:rFonts w:ascii="Arial" w:hAnsi="Arial"/>
      <w:sz w:val="24"/>
    </w:rPr>
  </w:style>
  <w:style w:type="paragraph" w:styleId="Textkomente">
    <w:name w:val="annotation text"/>
    <w:basedOn w:val="Normln"/>
    <w:link w:val="TextkomenteChar"/>
    <w:uiPriority w:val="99"/>
    <w:unhideWhenUsed/>
    <w:rsid w:val="00661915"/>
    <w:pPr>
      <w:spacing w:line="240" w:lineRule="auto"/>
    </w:pPr>
    <w:rPr>
      <w:sz w:val="20"/>
      <w:szCs w:val="20"/>
    </w:rPr>
  </w:style>
  <w:style w:type="character" w:customStyle="1" w:styleId="TextkomenteChar">
    <w:name w:val="Text komentáře Char"/>
    <w:basedOn w:val="Standardnpsmoodstavce"/>
    <w:link w:val="Textkomente"/>
    <w:uiPriority w:val="99"/>
    <w:rsid w:val="00661915"/>
    <w:rPr>
      <w:rFonts w:ascii="Arial" w:hAnsi="Arial"/>
      <w:sz w:val="20"/>
      <w:szCs w:val="20"/>
    </w:rPr>
  </w:style>
  <w:style w:type="paragraph" w:styleId="Zhlav">
    <w:name w:val="header"/>
    <w:basedOn w:val="Normln"/>
    <w:link w:val="ZhlavChar"/>
    <w:uiPriority w:val="99"/>
    <w:unhideWhenUsed/>
    <w:rsid w:val="00D863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3EA"/>
    <w:rPr>
      <w:rFonts w:ascii="Arial" w:hAnsi="Arial"/>
      <w:sz w:val="24"/>
    </w:rPr>
  </w:style>
  <w:style w:type="paragraph" w:styleId="Zpat">
    <w:name w:val="footer"/>
    <w:basedOn w:val="Normln"/>
    <w:link w:val="ZpatChar"/>
    <w:uiPriority w:val="99"/>
    <w:unhideWhenUsed/>
    <w:rsid w:val="00D863EA"/>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3E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F5008-1899-4161-B250-BA6C643D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3459</Words>
  <Characters>20413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Pavel Mgr. (MPSV)</dc:creator>
  <cp:keywords/>
  <dc:description/>
  <cp:lastModifiedBy>Jiříček Petr Ing. (MPSV)</cp:lastModifiedBy>
  <cp:revision>5</cp:revision>
  <cp:lastPrinted>2025-03-18T09:54:00Z</cp:lastPrinted>
  <dcterms:created xsi:type="dcterms:W3CDTF">2025-04-09T08:03:00Z</dcterms:created>
  <dcterms:modified xsi:type="dcterms:W3CDTF">2025-04-09T08:53:00Z</dcterms:modified>
</cp:coreProperties>
</file>