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EC" w:rsidRDefault="009D3890">
      <w:r>
        <w:rPr>
          <w:noProof/>
          <w:lang w:eastAsia="cs-CZ"/>
        </w:rPr>
        <w:drawing>
          <wp:inline distT="0" distB="0" distL="0" distR="0">
            <wp:extent cx="8720681" cy="6165850"/>
            <wp:effectExtent l="0" t="0" r="4445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okresy 03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1568" cy="6166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890" w:rsidRDefault="009D3890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693150" cy="6146384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kraje 03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668" cy="614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D3890" w:rsidSect="009D38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90"/>
    <w:rsid w:val="009D3890"/>
    <w:rsid w:val="00A9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C4C0"/>
  <w15:chartTrackingRefBased/>
  <w15:docId w15:val="{31E44E63-14CA-4A83-A2EA-2FA1D2FB4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práce ČR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Ptáčníková Naděžda Ing. (GUP-AAA)</dc:creator>
  <cp:keywords/>
  <dc:description/>
  <cp:lastModifiedBy>Ptáčníková Naděžda Ing. (GUP-AAA)</cp:lastModifiedBy>
  <cp:revision>1</cp:revision>
  <dcterms:created xsi:type="dcterms:W3CDTF">2020-04-02T17:08:00Z</dcterms:created>
  <dcterms:modified xsi:type="dcterms:W3CDTF">2020-04-02T17:11:00Z</dcterms:modified>
</cp:coreProperties>
</file>